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880" w:type="dxa"/>
        <w:tblInd w:w="-175" w:type="dxa"/>
        <w:tblLook w:val="04A0"/>
      </w:tblPr>
      <w:tblGrid>
        <w:gridCol w:w="1560"/>
        <w:gridCol w:w="6518"/>
        <w:gridCol w:w="1802"/>
      </w:tblGrid>
      <w:tr w:rsidR="00F562AE">
        <w:tc>
          <w:tcPr>
            <w:tcW w:w="1560" w:type="dxa"/>
            <w:shd w:val="clear" w:color="auto" w:fill="auto"/>
            <w:vAlign w:val="center"/>
          </w:tcPr>
          <w:p w:rsidR="00F562AE" w:rsidRDefault="001461F4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2965"/>
                  <wp:effectExtent l="0" t="0" r="0" b="0"/>
                  <wp:docPr id="1" name="Picture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2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18" w:type="dxa"/>
            <w:shd w:val="clear" w:color="auto" w:fill="auto"/>
            <w:vAlign w:val="center"/>
          </w:tcPr>
          <w:p w:rsidR="00F562AE" w:rsidRDefault="001461F4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MINISTÉRIO DA EDUCAÇÃO</w:t>
            </w:r>
          </w:p>
          <w:p w:rsidR="00F562AE" w:rsidRDefault="001461F4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</w:rPr>
              <w:t>UNIVERSIDADE FEDERAL DOS VALES DO JEQUITINHONHA E MUCURI</w:t>
            </w:r>
          </w:p>
          <w:p w:rsidR="00F562AE" w:rsidRDefault="00F562AE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562AE" w:rsidRDefault="00F562AE">
            <w:pPr>
              <w:pStyle w:val="Cabealh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02" w:type="dxa"/>
            <w:shd w:val="clear" w:color="auto" w:fill="auto"/>
            <w:vAlign w:val="center"/>
          </w:tcPr>
          <w:p w:rsidR="00F562AE" w:rsidRDefault="001461F4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49300"/>
                  <wp:effectExtent l="0" t="0" r="0" b="0"/>
                  <wp:docPr id="2" name="Picture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62AE" w:rsidRDefault="00F562AE">
      <w:pPr>
        <w:pStyle w:val="Default"/>
        <w:jc w:val="center"/>
        <w:rPr>
          <w:b/>
          <w:color w:val="00000A"/>
          <w:sz w:val="28"/>
          <w:szCs w:val="28"/>
        </w:rPr>
      </w:pPr>
    </w:p>
    <w:p w:rsidR="00F562AE" w:rsidRDefault="00F562AE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ind w:left="0" w:firstLine="0"/>
        <w:rPr>
          <w:rFonts w:cs="Arial"/>
          <w:b w:val="0"/>
          <w:sz w:val="24"/>
          <w:szCs w:val="24"/>
        </w:rPr>
      </w:pPr>
    </w:p>
    <w:p w:rsidR="00F562AE" w:rsidRDefault="00F562AE">
      <w:pPr>
        <w:pStyle w:val="Ttulo1"/>
        <w:widowControl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center"/>
        <w:rPr>
          <w:rFonts w:cs="Arial"/>
          <w:b w:val="0"/>
          <w:sz w:val="24"/>
          <w:szCs w:val="24"/>
        </w:rPr>
      </w:pPr>
    </w:p>
    <w:p w:rsidR="00F562AE" w:rsidRDefault="001461F4">
      <w:pPr>
        <w:pStyle w:val="Ttulo1"/>
        <w:widowControl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REGULAMENTO DE CONSULTA PARA ESCOLHA DO REITOR E VICE–REITOR, PARA O MANDATO REFERENTE AO PERÍODO 2015–2019.</w:t>
      </w:r>
    </w:p>
    <w:p w:rsidR="00F562AE" w:rsidRDefault="00F562AE">
      <w:pPr>
        <w:pStyle w:val="Ttulo1"/>
        <w:widowControl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center"/>
        <w:rPr>
          <w:rFonts w:cs="Arial"/>
          <w:b w:val="0"/>
          <w:sz w:val="24"/>
          <w:szCs w:val="24"/>
        </w:rPr>
      </w:pPr>
    </w:p>
    <w:p w:rsidR="00F562AE" w:rsidRDefault="00F562AE">
      <w:pPr>
        <w:pStyle w:val="Ttulo1"/>
        <w:widowControl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center"/>
        <w:rPr>
          <w:rFonts w:cs="Arial"/>
          <w:b w:val="0"/>
          <w:sz w:val="24"/>
          <w:szCs w:val="24"/>
        </w:rPr>
      </w:pPr>
    </w:p>
    <w:p w:rsidR="00F562AE" w:rsidRDefault="00F562AE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center"/>
        <w:rPr>
          <w:rFonts w:cs="Arial"/>
          <w:b/>
          <w:bCs/>
          <w:sz w:val="24"/>
          <w:szCs w:val="24"/>
        </w:rPr>
      </w:pP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DA CONSTITUIÇÃO DA COMISSÃO ELEITORAL E SUAS </w:t>
      </w:r>
      <w:r>
        <w:rPr>
          <w:rFonts w:cs="Arial"/>
          <w:b/>
          <w:bCs/>
          <w:sz w:val="24"/>
          <w:szCs w:val="24"/>
        </w:rPr>
        <w:t>ATRIBUIÇÕES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1° A Comissão Eleitoral compõe-se de membros eleitos pela Assembleia Geral Unificada, realizada no dia 12 de março de 2</w:t>
      </w:r>
      <w:r>
        <w:rPr>
          <w:sz w:val="24"/>
          <w:szCs w:val="24"/>
        </w:rPr>
        <w:t>0</w:t>
      </w:r>
      <w:r>
        <w:rPr>
          <w:rFonts w:cs="Arial"/>
          <w:sz w:val="24"/>
          <w:szCs w:val="24"/>
        </w:rPr>
        <w:t>15, no Auditório 2</w:t>
      </w:r>
      <w:r>
        <w:rPr>
          <w:rFonts w:ascii="Arial" w:hAnsi="Arial" w:cs="Arial"/>
          <w:sz w:val="24"/>
          <w:szCs w:val="24"/>
        </w:rPr>
        <w:t>0</w:t>
      </w:r>
      <w:r>
        <w:rPr>
          <w:rFonts w:cs="Arial"/>
          <w:sz w:val="24"/>
          <w:szCs w:val="24"/>
        </w:rPr>
        <w:t xml:space="preserve">7, no Campus JK da UFVJM, e concomitantemente, nos demais Campi que compõem a UFVJM, em cumprimento </w:t>
      </w:r>
      <w:r>
        <w:rPr>
          <w:rFonts w:cs="Arial"/>
          <w:sz w:val="24"/>
          <w:szCs w:val="24"/>
        </w:rPr>
        <w:t>ao determinado em Reunião do CONSU, realizada em 6 de Março de 2</w:t>
      </w:r>
      <w:r>
        <w:rPr>
          <w:rFonts w:ascii="Arial" w:hAnsi="Arial" w:cs="Arial"/>
          <w:sz w:val="24"/>
          <w:szCs w:val="24"/>
        </w:rPr>
        <w:t>0</w:t>
      </w:r>
      <w:r>
        <w:rPr>
          <w:rFonts w:cs="Arial"/>
          <w:sz w:val="24"/>
          <w:szCs w:val="24"/>
        </w:rPr>
        <w:t>15.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2° A Comissão Eleitoral subsidiará o Conselho Universitário na elaboração da lista tríplice a ser encaminhada ao Ministério da Educação para a escolha do Reitor e do Vice-Reitor da U</w:t>
      </w:r>
      <w:r>
        <w:rPr>
          <w:rFonts w:cs="Arial"/>
          <w:sz w:val="24"/>
          <w:szCs w:val="24"/>
        </w:rPr>
        <w:t>FVJM.</w:t>
      </w:r>
    </w:p>
    <w:p w:rsidR="00F562AE" w:rsidRDefault="001461F4">
      <w:pPr>
        <w:widowControl/>
        <w:tabs>
          <w:tab w:val="left" w:pos="708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color w:val="FF0000"/>
          <w:sz w:val="24"/>
          <w:szCs w:val="24"/>
        </w:rPr>
      </w:pPr>
      <w:r>
        <w:rPr>
          <w:rFonts w:cs="Arial"/>
          <w:sz w:val="24"/>
          <w:szCs w:val="24"/>
        </w:rPr>
        <w:tab/>
        <w:t>Parágrafo único – O resultado apresentado pela Comissão Eleitoral respeitará a consulta feita à comunidade universitária, mantendo-se a ordem das chapas de acordo com a votação, ou seja, o primeiro da lista será a chapa mais votada, o segundo da lis</w:t>
      </w:r>
      <w:r>
        <w:rPr>
          <w:rFonts w:cs="Arial"/>
          <w:sz w:val="24"/>
          <w:szCs w:val="24"/>
        </w:rPr>
        <w:t>ta a segunda chapa mais votada e assim sucessivamente, atendendo ao inciso XIX, do artigo 12, do Estatuto da UFVJM.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3° O processo de consulta será promovido</w:t>
      </w:r>
      <w:r>
        <w:rPr>
          <w:rFonts w:cs="Arial"/>
          <w:color w:val="FF0000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pela Comissão Eleitoral, segundo as disposições deste ato normativo.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Art. 4° A Comissão </w:t>
      </w:r>
      <w:r>
        <w:rPr>
          <w:rFonts w:cs="Arial"/>
          <w:sz w:val="24"/>
          <w:szCs w:val="24"/>
        </w:rPr>
        <w:t>Eleitoral, em sua primeira reunião, escolherá entre seus membros o seu Presidente e Vice-Presidente e o seu Secretário(a).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color w:val="FF0000"/>
          <w:sz w:val="24"/>
          <w:szCs w:val="24"/>
        </w:rPr>
        <w:tab/>
      </w:r>
      <w:r>
        <w:rPr>
          <w:rFonts w:cs="Arial"/>
          <w:sz w:val="24"/>
          <w:szCs w:val="24"/>
        </w:rPr>
        <w:t>§ 1° A Comissão Eleitoral terá o apoio, por meio de convocação, de um(a) Secretário(a) Executivo(a) do quadro de servidores técnicos</w:t>
      </w:r>
      <w:r>
        <w:rPr>
          <w:rFonts w:cs="Arial"/>
          <w:sz w:val="24"/>
          <w:szCs w:val="24"/>
        </w:rPr>
        <w:t xml:space="preserve"> administrativos.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§ 2° O Secretário executivo será responsável por receber toda a correspondência encaminhada à Comissão Eleitoral, redigir, digitar, encaminhar e arquivar os ofícios, Atas, memorandos, normativos, dentre outros, sob delegação da Comissão </w:t>
      </w:r>
      <w:r>
        <w:rPr>
          <w:rFonts w:cs="Arial"/>
          <w:sz w:val="24"/>
          <w:szCs w:val="24"/>
        </w:rPr>
        <w:t>Eleitoral e/ou de seus membros.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§ 3° Serão lavradas atas de todas as reuniões da Comissão Eleitoral, a qual se reunirá com a presença da maioria absoluta, entendida como qualquer número </w:t>
      </w:r>
      <w:r>
        <w:rPr>
          <w:rFonts w:cs="Arial"/>
          <w:sz w:val="24"/>
          <w:szCs w:val="24"/>
        </w:rPr>
        <w:lastRenderedPageBreak/>
        <w:t>superior à metade de seus membros, sendo suas decisões tomadas por ma</w:t>
      </w:r>
      <w:r>
        <w:rPr>
          <w:rFonts w:cs="Arial"/>
          <w:sz w:val="24"/>
          <w:szCs w:val="24"/>
        </w:rPr>
        <w:t>ioria simples de votos.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5° Compete à Comissão Eleitoral: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596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receber inscrições das chapas;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coordenar o processo de consulta;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organizar debates entre as chapas inscritas e a comunidade universitária;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emitir instruções sobre a maneira de votar;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</w:t>
      </w:r>
      <w:r>
        <w:rPr>
          <w:rFonts w:cs="Arial"/>
          <w:sz w:val="24"/>
          <w:szCs w:val="24"/>
        </w:rPr>
        <w:t>videnciar o material necessário à consulta;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propiciar mecanismos de divulgação relativos ao processo de consulta, cuja utilização será facultada as chapas em suas respectivas campanhas;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solicitar aos órgãos competentes as listas de eleitores referentes a c</w:t>
      </w:r>
      <w:r>
        <w:rPr>
          <w:rFonts w:cs="Arial"/>
          <w:sz w:val="24"/>
          <w:szCs w:val="24"/>
        </w:rPr>
        <w:t>ada segmento;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publicar, com antecedência, as listas de eleitores e os respectivos locais de votação, 10 dias antes da eleição;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nomear os membros das Mesas Receptoras que serão compostas por representantes dos 03 (três) segmentos, docentes, discentes e técn</w:t>
      </w:r>
      <w:r>
        <w:rPr>
          <w:rFonts w:cs="Arial"/>
          <w:sz w:val="24"/>
          <w:szCs w:val="24"/>
        </w:rPr>
        <w:t>icos administrativos</w:t>
      </w:r>
      <w:r>
        <w:rPr>
          <w:rFonts w:cs="Arial"/>
          <w:b/>
          <w:sz w:val="24"/>
          <w:szCs w:val="24"/>
        </w:rPr>
        <w:t xml:space="preserve">, </w:t>
      </w:r>
      <w:r>
        <w:rPr>
          <w:rFonts w:cs="Arial"/>
          <w:sz w:val="24"/>
          <w:szCs w:val="24"/>
        </w:rPr>
        <w:t>determinando–lhes os locais de funcionamento e supervisionando–lhes as atividades;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providenciar tantas Mesas Receptoras quantas forem necessárias;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providenciar, para cada Mesa Receptora, o material necessário à consulta, a saber: rela</w:t>
      </w:r>
      <w:r>
        <w:rPr>
          <w:rFonts w:cs="Arial"/>
          <w:sz w:val="24"/>
          <w:szCs w:val="24"/>
        </w:rPr>
        <w:t>ção de eleitores, urna, cédulas, cabine, instruções de procedimentos, modelo de ata e outros que se fizerem necessários;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sz w:val="24"/>
          <w:szCs w:val="24"/>
        </w:rPr>
        <w:t xml:space="preserve">nomear os membros das Juntas Apuradoras, que serão compostas por representantes dos 03 (três) segmentos, determinando–lhes os locais de funcionamento e supervisionando–lhes as atividades. Cada Junta </w:t>
      </w:r>
      <w:r>
        <w:rPr>
          <w:rFonts w:cs="Arial"/>
          <w:color w:val="000000"/>
          <w:sz w:val="24"/>
          <w:szCs w:val="24"/>
        </w:rPr>
        <w:t>constará de um Presidente, um</w:t>
      </w:r>
      <w:r>
        <w:rPr>
          <w:rFonts w:cs="Arial"/>
          <w:b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>Secretário, até quatro escr</w:t>
      </w:r>
      <w:r>
        <w:rPr>
          <w:rFonts w:cs="Arial"/>
          <w:color w:val="000000"/>
          <w:sz w:val="24"/>
          <w:szCs w:val="24"/>
        </w:rPr>
        <w:t>utinadores e dois suplentes;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organizar reuniões de instrução para os membros das Mesas Receptoras e Juntas Apuradoras;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credenciar fiscais indicados pelas chapas;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julgar os recursos no âmbito de sua competência;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resolver casos omissos;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impugnar candidaturas</w:t>
      </w:r>
      <w:r>
        <w:rPr>
          <w:rFonts w:cs="Arial"/>
          <w:sz w:val="24"/>
          <w:szCs w:val="24"/>
        </w:rPr>
        <w:t xml:space="preserve"> que infrinjam a presente norma;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encaminhar o resultado da consulta ao Conselho Universitário para publicação;</w:t>
      </w:r>
    </w:p>
    <w:p w:rsidR="00F562AE" w:rsidRDefault="001461F4">
      <w:pPr>
        <w:widowControl/>
        <w:numPr>
          <w:ilvl w:val="0"/>
          <w:numId w:val="7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julgar os autores de infrações previstas neste regimento observado o princípio do contraditório e da ampla defesa.</w:t>
      </w:r>
    </w:p>
    <w:p w:rsidR="00F562AE" w:rsidRDefault="00F562AE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260"/>
        <w:jc w:val="both"/>
        <w:rPr>
          <w:rFonts w:cs="Arial"/>
          <w:b/>
          <w:sz w:val="24"/>
          <w:szCs w:val="24"/>
        </w:rPr>
      </w:pPr>
    </w:p>
    <w:p w:rsidR="00F562AE" w:rsidRDefault="001461F4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DO PROCESSO ELEITORAL</w:t>
      </w:r>
    </w:p>
    <w:p w:rsidR="00F562AE" w:rsidRDefault="00F562AE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260"/>
        <w:jc w:val="center"/>
        <w:rPr>
          <w:rFonts w:cs="Arial"/>
          <w:b/>
          <w:sz w:val="24"/>
          <w:szCs w:val="24"/>
        </w:rPr>
      </w:pPr>
    </w:p>
    <w:p w:rsidR="00F562AE" w:rsidRDefault="001461F4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center"/>
        <w:rPr>
          <w:rFonts w:cs="Arial"/>
          <w:b/>
          <w:caps/>
          <w:sz w:val="24"/>
          <w:szCs w:val="24"/>
        </w:rPr>
      </w:pPr>
      <w:r>
        <w:rPr>
          <w:rFonts w:cs="Arial"/>
          <w:b/>
          <w:caps/>
          <w:sz w:val="24"/>
          <w:szCs w:val="24"/>
        </w:rPr>
        <w:t>Do Cal</w:t>
      </w:r>
      <w:r>
        <w:rPr>
          <w:rFonts w:cs="Arial"/>
          <w:b/>
          <w:caps/>
          <w:sz w:val="24"/>
          <w:szCs w:val="24"/>
        </w:rPr>
        <w:t>endário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6º  O calendário da consulta à comunidade referente à escolha de Reitor e Vice–Reitor no ano de 2015 será o seguinte:</w:t>
      </w:r>
    </w:p>
    <w:p w:rsidR="00F562AE" w:rsidRDefault="00F562AE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color w:val="FF0000"/>
        </w:rPr>
      </w:pPr>
    </w:p>
    <w:tbl>
      <w:tblPr>
        <w:tblW w:w="9605" w:type="dxa"/>
        <w:tblInd w:w="11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4A0"/>
      </w:tblPr>
      <w:tblGrid>
        <w:gridCol w:w="2158"/>
        <w:gridCol w:w="7447"/>
      </w:tblGrid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23/03 a 27/03/15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Período para a inscrição das chapas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30/03/15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Reunião da Comissão Eleitoral para análise das inscrições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30/03/15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Divulgação dos nomes das chapas inscritas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31/03 a 01/04/15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Prazo para interposição de recursos contra as chapas inscritas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06/04 a 26//04/15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Período de campanha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17/04/15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Divulgação da lista de eleitores e locais de votação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17/04/15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Debate entre as chapas no </w:t>
            </w:r>
            <w:r>
              <w:rPr>
                <w:rFonts w:cs="Arial"/>
                <w:i/>
                <w:iCs/>
                <w:sz w:val="24"/>
                <w:szCs w:val="24"/>
              </w:rPr>
              <w:t>Campus</w:t>
            </w:r>
            <w:r>
              <w:rPr>
                <w:rFonts w:cs="Arial"/>
                <w:sz w:val="24"/>
                <w:szCs w:val="24"/>
              </w:rPr>
              <w:t xml:space="preserve"> do Mucuri, na cidade de Teófilo Otoni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23/04/15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Debate entre as chapas no </w:t>
            </w:r>
            <w:r>
              <w:rPr>
                <w:rFonts w:cs="Arial"/>
                <w:i/>
                <w:iCs/>
                <w:sz w:val="24"/>
                <w:szCs w:val="24"/>
              </w:rPr>
              <w:t>Campus</w:t>
            </w:r>
            <w:r>
              <w:rPr>
                <w:rFonts w:cs="Arial"/>
                <w:sz w:val="24"/>
                <w:szCs w:val="24"/>
              </w:rPr>
              <w:t xml:space="preserve"> de Janaúba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27/04/15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Debate entre as chapas no </w:t>
            </w:r>
            <w:r>
              <w:rPr>
                <w:rFonts w:cs="Arial"/>
                <w:i/>
                <w:iCs/>
                <w:sz w:val="24"/>
                <w:szCs w:val="24"/>
              </w:rPr>
              <w:t>Campus</w:t>
            </w:r>
            <w:r>
              <w:rPr>
                <w:rFonts w:cs="Arial"/>
                <w:sz w:val="24"/>
                <w:szCs w:val="24"/>
              </w:rPr>
              <w:t xml:space="preserve"> de Unaí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04/05/15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Debate entre as chapas no </w:t>
            </w:r>
            <w:r>
              <w:rPr>
                <w:rFonts w:cs="Arial"/>
                <w:i/>
                <w:iCs/>
                <w:sz w:val="24"/>
                <w:szCs w:val="24"/>
              </w:rPr>
              <w:t>Campus</w:t>
            </w:r>
            <w:r>
              <w:rPr>
                <w:rFonts w:cs="Arial"/>
                <w:sz w:val="24"/>
                <w:szCs w:val="24"/>
              </w:rPr>
              <w:t xml:space="preserve"> I, cidade de Diamantina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11/05/15</w:t>
            </w:r>
          </w:p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(das 9h às 21h)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Realização da consulta junto à comunidade universitária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11/05/15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Apuração dos votos nos </w:t>
            </w:r>
            <w:r>
              <w:rPr>
                <w:rFonts w:cs="Arial"/>
                <w:i/>
                <w:iCs/>
                <w:sz w:val="24"/>
                <w:szCs w:val="24"/>
              </w:rPr>
              <w:t xml:space="preserve">Campi </w:t>
            </w:r>
            <w:r>
              <w:rPr>
                <w:rFonts w:cs="Arial"/>
                <w:sz w:val="24"/>
                <w:szCs w:val="24"/>
              </w:rPr>
              <w:t>da UFVJM tão logo se encerre a consulta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Até 13/05/15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Divulgação e encaminhamento do resultado final da consulta à Presidência do Conselho </w:t>
            </w:r>
            <w:r>
              <w:rPr>
                <w:rFonts w:cs="Arial"/>
                <w:sz w:val="24"/>
                <w:szCs w:val="24"/>
              </w:rPr>
              <w:t>Universitário para homologação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14 e 15/05/15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Prazo para interposição de recursos ao resultado da consulta</w:t>
            </w:r>
          </w:p>
        </w:tc>
      </w:tr>
      <w:tr w:rsidR="00F562AE">
        <w:trPr>
          <w:cantSplit/>
        </w:trPr>
        <w:tc>
          <w:tcPr>
            <w:tcW w:w="21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jc w:val="righ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Até 20/05/15</w:t>
            </w:r>
          </w:p>
        </w:tc>
        <w:tc>
          <w:tcPr>
            <w:tcW w:w="74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F562AE" w:rsidRDefault="001461F4">
            <w:pPr>
              <w:widowControl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Divulgação e encaminhamento do resultado final da consulta à Presidência do Conselho Universitário para homologação</w:t>
            </w:r>
          </w:p>
        </w:tc>
      </w:tr>
    </w:tbl>
    <w:p w:rsidR="00F562AE" w:rsidRDefault="00F562AE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b/>
          <w:caps/>
          <w:sz w:val="24"/>
          <w:szCs w:val="24"/>
        </w:rPr>
      </w:pPr>
    </w:p>
    <w:p w:rsidR="00F562AE" w:rsidRDefault="001461F4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center"/>
        <w:rPr>
          <w:rFonts w:cs="Arial"/>
          <w:b/>
          <w:caps/>
          <w:sz w:val="24"/>
          <w:szCs w:val="24"/>
        </w:rPr>
      </w:pPr>
      <w:r>
        <w:rPr>
          <w:rFonts w:cs="Arial"/>
          <w:b/>
          <w:caps/>
          <w:sz w:val="24"/>
          <w:szCs w:val="24"/>
        </w:rPr>
        <w:t>Das Inscrições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7°  As inscrições deverão ser realizadas por meio de formulário próprio e entregues, juntamente com a documentação pertinente, ao(à) Secretário(a) Executivo(a), que deverá conferi-las e lacrá-las em envelope que será assinado pela chapa e pelo secretá</w:t>
      </w:r>
      <w:r>
        <w:rPr>
          <w:rFonts w:cs="Arial"/>
          <w:sz w:val="24"/>
          <w:szCs w:val="24"/>
        </w:rPr>
        <w:t>rio(a).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1° Serão aceitas apenas inscrições de candidaturas vinculadas de Reitor e Vice-Reitor, caracterizando-se uma chapa.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color w:val="FF0000"/>
          <w:sz w:val="24"/>
          <w:szCs w:val="24"/>
        </w:rPr>
      </w:pPr>
      <w:r>
        <w:rPr>
          <w:rFonts w:cs="Arial"/>
          <w:sz w:val="24"/>
          <w:szCs w:val="24"/>
        </w:rPr>
        <w:tab/>
        <w:t>§ 2° Poderão participar como chapas às funções de Reitor e de Vice–Reitor, no processo eleitoral em curso, os docentes integrant</w:t>
      </w:r>
      <w:r>
        <w:rPr>
          <w:rFonts w:cs="Arial"/>
          <w:sz w:val="24"/>
          <w:szCs w:val="24"/>
        </w:rPr>
        <w:t xml:space="preserve">es da Carreira de Magistério Superior, ocupantes dos cargos de Professor Titular ou de Professor Associado 4, ou que sejam portadores do título de doutor, neste caso </w:t>
      </w:r>
      <w:r>
        <w:rPr>
          <w:rFonts w:cs="Arial"/>
          <w:sz w:val="24"/>
          <w:szCs w:val="24"/>
        </w:rPr>
        <w:lastRenderedPageBreak/>
        <w:t>independentemente do nível ou da classe do cargo ocupado, de acordo com o Decreto 1.916, d</w:t>
      </w:r>
      <w:r>
        <w:rPr>
          <w:rFonts w:cs="Arial"/>
          <w:sz w:val="24"/>
          <w:szCs w:val="24"/>
        </w:rPr>
        <w:t>e 23 de maio de 1996.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3°  No ato da inscrição, as chapas apresentarão à Comissão Eleitoral a seguinte documentação:</w:t>
      </w:r>
    </w:p>
    <w:p w:rsidR="00F562AE" w:rsidRDefault="001461F4">
      <w:pPr>
        <w:widowControl/>
        <w:numPr>
          <w:ilvl w:val="0"/>
          <w:numId w:val="8"/>
        </w:numPr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iCs/>
          <w:sz w:val="24"/>
          <w:szCs w:val="24"/>
        </w:rPr>
        <w:t xml:space="preserve">Memorial com descrição resumida do currículo do candidato, em formato editado em papel A4, com margens 2 cm, fonte Arial 12, espaçamento </w:t>
      </w:r>
      <w:r>
        <w:rPr>
          <w:rFonts w:cs="Arial"/>
          <w:iCs/>
          <w:sz w:val="24"/>
          <w:szCs w:val="24"/>
        </w:rPr>
        <w:t>de 1.5 cm, e com o máximo de 1</w:t>
      </w:r>
      <w:r>
        <w:rPr>
          <w:sz w:val="24"/>
          <w:szCs w:val="24"/>
        </w:rPr>
        <w:t>0</w:t>
      </w:r>
      <w:r>
        <w:rPr>
          <w:rFonts w:cs="Arial"/>
          <w:iCs/>
          <w:sz w:val="24"/>
          <w:szCs w:val="24"/>
        </w:rPr>
        <w:t xml:space="preserve"> laudas;</w:t>
      </w:r>
    </w:p>
    <w:p w:rsidR="00F562AE" w:rsidRDefault="001461F4">
      <w:pPr>
        <w:widowControl/>
        <w:numPr>
          <w:ilvl w:val="0"/>
          <w:numId w:val="8"/>
        </w:numPr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Documento contendo as linhas básicas de seu programa de trabalho;</w:t>
      </w:r>
    </w:p>
    <w:p w:rsidR="00F562AE" w:rsidRDefault="001461F4">
      <w:pPr>
        <w:widowControl/>
        <w:numPr>
          <w:ilvl w:val="0"/>
          <w:numId w:val="8"/>
        </w:numPr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Cópia de documento oficial com foto;</w:t>
      </w:r>
    </w:p>
    <w:p w:rsidR="00F562AE" w:rsidRDefault="001461F4">
      <w:pPr>
        <w:widowControl/>
        <w:numPr>
          <w:ilvl w:val="0"/>
          <w:numId w:val="8"/>
        </w:numPr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Portaria que comprove a exigência do parágrafo 2º deste artigo.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§ 4° Somente serão aceitas inscrições de chapas </w:t>
      </w:r>
      <w:r>
        <w:rPr>
          <w:rFonts w:cs="Arial"/>
          <w:sz w:val="24"/>
          <w:szCs w:val="24"/>
        </w:rPr>
        <w:t xml:space="preserve">que apresentarem toda a documentação prevista no </w:t>
      </w:r>
      <w:r>
        <w:rPr>
          <w:rFonts w:cs="Arial"/>
          <w:i/>
          <w:iCs/>
          <w:sz w:val="24"/>
          <w:szCs w:val="24"/>
        </w:rPr>
        <w:t>caput</w:t>
      </w:r>
      <w:r>
        <w:rPr>
          <w:rFonts w:cs="Arial"/>
          <w:sz w:val="24"/>
          <w:szCs w:val="24"/>
        </w:rPr>
        <w:t xml:space="preserve"> deste artigo. 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color w:val="FF0000"/>
          <w:sz w:val="24"/>
          <w:szCs w:val="24"/>
        </w:rPr>
      </w:pPr>
      <w:r>
        <w:rPr>
          <w:rFonts w:cs="Arial"/>
          <w:sz w:val="24"/>
          <w:szCs w:val="24"/>
        </w:rPr>
        <w:tab/>
        <w:t>§ 5º Os docentes inscritos na consulta à comunidade universitária poderão afastar–se das funções administrativas na UFVJM nos 20 (vinte) dias anteriores à eleição.</w:t>
      </w:r>
      <w:r>
        <w:rPr>
          <w:rFonts w:cs="Arial"/>
          <w:color w:val="FF0000"/>
          <w:sz w:val="24"/>
          <w:szCs w:val="24"/>
        </w:rPr>
        <w:t xml:space="preserve"> 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6º  Os docentes i</w:t>
      </w:r>
      <w:r>
        <w:rPr>
          <w:rFonts w:cs="Arial"/>
          <w:sz w:val="24"/>
          <w:szCs w:val="24"/>
        </w:rPr>
        <w:t>nscritos na consulta à comunidade universitária poderão ser liberados de suas atividades didáticas, no mesmo período referido no parágrafo anterior, desde que autorizados pelos respectivos Departamentos ou órgãos equivalentes.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center"/>
        <w:rPr>
          <w:rFonts w:cs="Arial"/>
          <w:b/>
          <w:caps/>
          <w:sz w:val="24"/>
          <w:szCs w:val="24"/>
        </w:rPr>
      </w:pPr>
      <w:r>
        <w:rPr>
          <w:rFonts w:cs="Arial"/>
          <w:b/>
          <w:caps/>
          <w:sz w:val="24"/>
          <w:szCs w:val="24"/>
        </w:rPr>
        <w:t>Da Campanha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Art. 8° As </w:t>
      </w:r>
      <w:r>
        <w:rPr>
          <w:rFonts w:cs="Arial"/>
          <w:sz w:val="24"/>
          <w:szCs w:val="24"/>
        </w:rPr>
        <w:t>campanhas poderão ser financiadas, exclusivamente, com recursos arrecadados junto à comunidade universitária, através de doações nominais.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Parágrafo único: As chapas deverão apresentar o seu livro de registro de doações e um demonstrativo de prestação de </w:t>
      </w:r>
      <w:r>
        <w:rPr>
          <w:rFonts w:cs="Arial"/>
          <w:sz w:val="24"/>
          <w:szCs w:val="24"/>
        </w:rPr>
        <w:t>contas de suas campanhas, incluindo todas as receitas e despesas, demonstrativo esse que, juntamente com o livro de registro de doações, será incorporado ao relatório que a Comissão Eleitoral encaminhará ao Conselho Universitário, que publicará, em sua int</w:t>
      </w:r>
      <w:r>
        <w:rPr>
          <w:rFonts w:cs="Arial"/>
          <w:sz w:val="24"/>
          <w:szCs w:val="24"/>
        </w:rPr>
        <w:t>egra, à comunidade acadêmica, em seu sítio.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9º  A Comissão Eleitoral organizará debates entre as chapas, nas datas e locais determinados no calendário previsto no Artigo 6º desta Resolução, bem como promoverá ampla divulgação desses eventos.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Art. 10  </w:t>
      </w:r>
      <w:r>
        <w:rPr>
          <w:rFonts w:cs="Arial"/>
          <w:sz w:val="24"/>
          <w:szCs w:val="24"/>
        </w:rPr>
        <w:t xml:space="preserve"> Deverão</w:t>
      </w:r>
      <w:r>
        <w:rPr>
          <w:rFonts w:cs="Arial"/>
          <w:color w:val="FF0000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ser observadas as seguintes regras referente à propaganda eleitoral: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I – Será proibida a utilização de propaganda com carros de som e similares, dentro ou fora dos </w:t>
      </w:r>
      <w:r>
        <w:rPr>
          <w:rFonts w:cs="Arial"/>
          <w:i/>
          <w:sz w:val="24"/>
          <w:szCs w:val="24"/>
        </w:rPr>
        <w:t>campi</w:t>
      </w:r>
      <w:r>
        <w:rPr>
          <w:rFonts w:cs="Arial"/>
          <w:sz w:val="24"/>
          <w:szCs w:val="24"/>
        </w:rPr>
        <w:t xml:space="preserve"> da UFVJM, em qualquer tempo;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ab/>
        <w:t>II – É permitida a circulação de impressos con</w:t>
      </w:r>
      <w:r>
        <w:rPr>
          <w:rFonts w:cs="Arial"/>
          <w:sz w:val="24"/>
          <w:szCs w:val="24"/>
        </w:rPr>
        <w:t>tendo currículos e propostas dos candidatos, como forma de obtenção de apoios, de discussão de ideias, de divulgação de reuniões e de documentos, visando à avaliação da postulação dos candidatos junto à comunidade universitária;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III – Só é permitida a col</w:t>
      </w:r>
      <w:r>
        <w:rPr>
          <w:rFonts w:cs="Arial"/>
          <w:sz w:val="24"/>
          <w:szCs w:val="24"/>
        </w:rPr>
        <w:t>ocação de cartazes, faixas e galhardetes nos locais previamente designados pelas Unidades Administrativas e após a homologação das respectivas candidaturas;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IV – Os cartazes devem ser afixados sem cola, de forma a não comprometer a superfície das paredes </w:t>
      </w:r>
      <w:r>
        <w:rPr>
          <w:rFonts w:cs="Arial"/>
          <w:sz w:val="24"/>
          <w:szCs w:val="24"/>
        </w:rPr>
        <w:t>dos prédios das Unidades, em locais com dimensões equitativas dentre as candidaturas, previamente estabelecidas pelas Unidades Administrativas;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V – É proibida a distribuição de qualquer tipo de brindes, tais como chapéus, chaveiros, canetas, camisetas e s</w:t>
      </w:r>
      <w:r>
        <w:rPr>
          <w:rFonts w:cs="Arial"/>
          <w:sz w:val="24"/>
          <w:szCs w:val="24"/>
        </w:rPr>
        <w:t>imilares;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VI – Em hipótese nenhuma são admitidas pichações nos prédios dos </w:t>
      </w:r>
      <w:r>
        <w:rPr>
          <w:rFonts w:cs="Arial"/>
          <w:i/>
          <w:iCs/>
          <w:sz w:val="24"/>
          <w:szCs w:val="24"/>
        </w:rPr>
        <w:t>Campi</w:t>
      </w:r>
      <w:r>
        <w:rPr>
          <w:rFonts w:cs="Arial"/>
          <w:sz w:val="24"/>
          <w:szCs w:val="24"/>
        </w:rPr>
        <w:t xml:space="preserve"> Universitários;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VII – É permitida a criação de </w:t>
      </w:r>
      <w:r>
        <w:rPr>
          <w:rFonts w:cs="Arial"/>
          <w:i/>
          <w:iCs/>
          <w:sz w:val="24"/>
          <w:szCs w:val="24"/>
        </w:rPr>
        <w:t>homepages</w:t>
      </w:r>
      <w:r>
        <w:rPr>
          <w:rFonts w:cs="Arial"/>
          <w:sz w:val="24"/>
          <w:szCs w:val="24"/>
        </w:rPr>
        <w:t xml:space="preserve"> das candidaturas nos servidores da UFVJM, sendo a criação e o conteúdo responsabilidade dos candidatos; 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VIII – É </w:t>
      </w:r>
      <w:r>
        <w:rPr>
          <w:rFonts w:cs="Arial"/>
          <w:sz w:val="24"/>
          <w:szCs w:val="24"/>
        </w:rPr>
        <w:t>permitida a divulgação via Rádio Universitária, conforme Regulamento previsto pela Comissão Eleitoral;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IX – Os casos omissos serão resolvidos pela Comissão Eleitoral, mediante consulta.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11  No dia da consulta, será proibida a abordagem de</w:t>
      </w:r>
      <w:r>
        <w:rPr>
          <w:rFonts w:cs="Arial"/>
          <w:sz w:val="24"/>
          <w:szCs w:val="24"/>
        </w:rPr>
        <w:t xml:space="preserve"> eleitores (boca de urna)</w:t>
      </w:r>
      <w:r>
        <w:rPr>
          <w:rFonts w:cs="Arial"/>
          <w:sz w:val="24"/>
          <w:szCs w:val="24"/>
          <w:shd w:val="clear" w:color="auto" w:fill="FFFF00"/>
        </w:rPr>
        <w:t xml:space="preserve"> </w:t>
      </w:r>
      <w:r>
        <w:rPr>
          <w:rFonts w:cs="Arial"/>
          <w:sz w:val="24"/>
          <w:szCs w:val="24"/>
        </w:rPr>
        <w:t>dentro do recinto de votação, bem como qualquer tipo de propaganda nas áreas destinadas à votação.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center"/>
        <w:rPr>
          <w:rFonts w:cs="Arial"/>
          <w:b/>
          <w:caps/>
          <w:sz w:val="24"/>
          <w:szCs w:val="24"/>
        </w:rPr>
      </w:pPr>
      <w:r>
        <w:rPr>
          <w:rFonts w:cs="Arial"/>
          <w:b/>
          <w:caps/>
          <w:sz w:val="24"/>
          <w:szCs w:val="24"/>
        </w:rPr>
        <w:t>Da Votação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12  Poderão votar, de acordo com o § 4º, do Artigo 1º, do Decreto N° 1.916, de 23 de maio de 1996, os membros da co</w:t>
      </w:r>
      <w:r>
        <w:rPr>
          <w:rFonts w:cs="Arial"/>
          <w:sz w:val="24"/>
          <w:szCs w:val="24"/>
        </w:rPr>
        <w:t>munidade universitária, quais sejam, os docentes e técnico–administrativos em efetivo exercício, do quadro permanente de pessoal e os discentes regularmente matriculados nos cursos</w:t>
      </w:r>
      <w:r>
        <w:rPr>
          <w:rFonts w:cs="Arial"/>
          <w:color w:val="FF0000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de Graduação e de Pós–Graduação.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sz w:val="24"/>
        </w:rPr>
      </w:pPr>
      <w:r>
        <w:rPr>
          <w:rFonts w:cs="Arial"/>
          <w:sz w:val="24"/>
          <w:szCs w:val="24"/>
        </w:rPr>
        <w:tab/>
        <w:t xml:space="preserve">§ 1º  Define–se como efetivo exercício o </w:t>
      </w:r>
      <w:r>
        <w:rPr>
          <w:rFonts w:cs="Arial"/>
          <w:sz w:val="24"/>
          <w:szCs w:val="24"/>
        </w:rPr>
        <w:t>desempenho das atribuições do cargo público ou da função de confiança, conforme definido no Artigo 15 da Lei Nº 8.112/90, incluídos os afastamentos temporários previstos nos Artigos 87, 97 e 102 da mesma Lei, e Artigo 47 do anexo ao Decreto no 94.664/87, e</w:t>
      </w:r>
      <w:r>
        <w:rPr>
          <w:rFonts w:cs="Arial"/>
          <w:sz w:val="24"/>
          <w:szCs w:val="24"/>
        </w:rPr>
        <w:t xml:space="preserve">ntre outras: férias; afastamento para estudos dentro ou fora do país; licenças gestante ou paternidade, para tratamento de saúde e para capacitação, para o desempenho de mandato eletivo, exercício de cargo em comissão, ou </w:t>
      </w:r>
      <w:r>
        <w:rPr>
          <w:rFonts w:cs="Arial"/>
          <w:sz w:val="24"/>
          <w:szCs w:val="24"/>
        </w:rPr>
        <w:lastRenderedPageBreak/>
        <w:t xml:space="preserve">equivalente, em órgão ou entidade </w:t>
      </w:r>
      <w:r>
        <w:rPr>
          <w:rFonts w:cs="Arial"/>
          <w:sz w:val="24"/>
          <w:szCs w:val="24"/>
        </w:rPr>
        <w:t>dos Poderes da União, dos Estados, Municípios e Distrito Federal.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2°  A votação será presencial, mediante apresentação de Documento de identificação Oficial com foto ou ainda carteira funcional com foto, carteira de estudante fornecida pela UFVJM com fo</w:t>
      </w:r>
      <w:r>
        <w:rPr>
          <w:rFonts w:cs="Arial"/>
          <w:sz w:val="24"/>
          <w:szCs w:val="24"/>
        </w:rPr>
        <w:t>to, carteira fornecida pela biblioteca da UFVJM com foto, sendo vedado o voto cumulativo, por procuração, por correspondência ou por correio eletrônico.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3° – A lista de eleitores será elaborada e divulgada 10 dias antes da data da eleição.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§ 4° – Os </w:t>
      </w:r>
      <w:r>
        <w:rPr>
          <w:rFonts w:cs="Arial"/>
          <w:sz w:val="24"/>
          <w:szCs w:val="24"/>
        </w:rPr>
        <w:t>eleitores que pertencerem a mais de um segmento terão direito a um único voto e votarão da seguinte forma:</w:t>
      </w:r>
    </w:p>
    <w:p w:rsidR="00F562AE" w:rsidRDefault="001461F4">
      <w:pPr>
        <w:widowControl/>
        <w:numPr>
          <w:ilvl w:val="0"/>
          <w:numId w:val="3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se for discente e técnico–administrativo, votará como técnico–administrativo;</w:t>
      </w:r>
    </w:p>
    <w:p w:rsidR="00F562AE" w:rsidRDefault="001461F4">
      <w:pPr>
        <w:widowControl/>
        <w:numPr>
          <w:ilvl w:val="0"/>
          <w:numId w:val="3"/>
        </w:numPr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se for discente e docente, votará como docente.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13 As Mesas Recept</w:t>
      </w:r>
      <w:r>
        <w:rPr>
          <w:rFonts w:cs="Arial"/>
          <w:sz w:val="24"/>
          <w:szCs w:val="24"/>
        </w:rPr>
        <w:t>oras funcionarão nos locais designados pela Comissão Eleitoral.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14   Cada Mesa Receptora, designada pela</w:t>
      </w:r>
      <w:r>
        <w:rPr>
          <w:rFonts w:cs="Arial"/>
          <w:b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Comissão Eleitoral, será composta de um presidente, um secretário, dois mesários, identificados como primeiro e segundo, e dois suplentes.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1° C</w:t>
      </w:r>
      <w:r>
        <w:rPr>
          <w:rFonts w:cs="Arial"/>
          <w:sz w:val="24"/>
          <w:szCs w:val="24"/>
        </w:rPr>
        <w:t>ompete ao Presidente:</w:t>
      </w:r>
    </w:p>
    <w:p w:rsidR="00F562AE" w:rsidRDefault="001461F4">
      <w:pPr>
        <w:widowControl/>
        <w:numPr>
          <w:ilvl w:val="0"/>
          <w:numId w:val="6"/>
        </w:numPr>
        <w:tabs>
          <w:tab w:val="left" w:pos="131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sz w:val="24"/>
          <w:szCs w:val="24"/>
        </w:rPr>
      </w:pPr>
      <w:r>
        <w:rPr>
          <w:sz w:val="24"/>
          <w:szCs w:val="24"/>
        </w:rPr>
        <w:t>cumprir as determinações da Comissão Eleitoral;</w:t>
      </w:r>
    </w:p>
    <w:p w:rsidR="00F562AE" w:rsidRDefault="001461F4">
      <w:pPr>
        <w:widowControl/>
        <w:numPr>
          <w:ilvl w:val="0"/>
          <w:numId w:val="6"/>
        </w:numPr>
        <w:tabs>
          <w:tab w:val="left" w:pos="131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dirigir os trabalhos;</w:t>
      </w:r>
    </w:p>
    <w:p w:rsidR="00F562AE" w:rsidRDefault="001461F4">
      <w:pPr>
        <w:widowControl/>
        <w:numPr>
          <w:ilvl w:val="0"/>
          <w:numId w:val="6"/>
        </w:numPr>
        <w:tabs>
          <w:tab w:val="left" w:pos="131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dirimir dúvidas. </w:t>
      </w:r>
    </w:p>
    <w:p w:rsidR="00F562AE" w:rsidRDefault="001461F4">
      <w:pPr>
        <w:widowControl/>
        <w:numPr>
          <w:ilvl w:val="0"/>
          <w:numId w:val="6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lacrar a urna e rubricar o lacre;</w:t>
      </w:r>
    </w:p>
    <w:p w:rsidR="00F562AE" w:rsidRDefault="001461F4">
      <w:pPr>
        <w:widowControl/>
        <w:numPr>
          <w:ilvl w:val="0"/>
          <w:numId w:val="6"/>
        </w:numPr>
        <w:tabs>
          <w:tab w:val="left" w:pos="131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inutilizar, nas listas, os espaços não utilizados pelos eleitores;</w:t>
      </w:r>
    </w:p>
    <w:p w:rsidR="00F562AE" w:rsidRDefault="001461F4">
      <w:pPr>
        <w:widowControl/>
        <w:numPr>
          <w:ilvl w:val="0"/>
          <w:numId w:val="6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mandar lavrar, pelo Secretário, a ata da </w:t>
      </w:r>
      <w:r>
        <w:rPr>
          <w:rFonts w:cs="Arial"/>
          <w:sz w:val="24"/>
          <w:szCs w:val="24"/>
        </w:rPr>
        <w:t>consulta, que deverá constar o número de votantes, o número de cédulas não utilizadas e o número de cédulas inutilizadas;</w:t>
      </w:r>
    </w:p>
    <w:p w:rsidR="00F562AE" w:rsidRDefault="001461F4">
      <w:pPr>
        <w:widowControl/>
        <w:numPr>
          <w:ilvl w:val="0"/>
          <w:numId w:val="6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assinar a ata, assim como os demais membros da Mesa Receptora;</w:t>
      </w:r>
    </w:p>
    <w:p w:rsidR="00F562AE" w:rsidRDefault="001461F4">
      <w:pPr>
        <w:widowControl/>
        <w:numPr>
          <w:ilvl w:val="0"/>
          <w:numId w:val="6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entregar a urna e demais documentos à Junta Apuradora.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2°  Compete a</w:t>
      </w:r>
      <w:r>
        <w:rPr>
          <w:rFonts w:cs="Arial"/>
          <w:sz w:val="24"/>
          <w:szCs w:val="24"/>
        </w:rPr>
        <w:t>o Secretário:</w:t>
      </w:r>
    </w:p>
    <w:p w:rsidR="00F562AE" w:rsidRDefault="001461F4">
      <w:pPr>
        <w:widowControl/>
        <w:numPr>
          <w:ilvl w:val="0"/>
          <w:numId w:val="2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cumprir as determinações do Presidente;</w:t>
      </w:r>
    </w:p>
    <w:p w:rsidR="00F562AE" w:rsidRDefault="001461F4">
      <w:pPr>
        <w:widowControl/>
        <w:numPr>
          <w:ilvl w:val="0"/>
          <w:numId w:val="2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substituir o Presidente em sua falta ou impedimento ocasional;</w:t>
      </w:r>
    </w:p>
    <w:p w:rsidR="00F562AE" w:rsidRDefault="001461F4">
      <w:pPr>
        <w:widowControl/>
        <w:numPr>
          <w:ilvl w:val="0"/>
          <w:numId w:val="2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lavrar a ata referente aos trabalhos da Mesa Receptora.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ab/>
        <w:t xml:space="preserve">§ 3°  Compete ao Primeiro Mesário: </w:t>
      </w:r>
    </w:p>
    <w:p w:rsidR="00F562AE" w:rsidRDefault="001461F4">
      <w:pPr>
        <w:widowControl/>
        <w:numPr>
          <w:ilvl w:val="0"/>
          <w:numId w:val="5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cumprir as determinações do Presidente;</w:t>
      </w:r>
    </w:p>
    <w:p w:rsidR="00F562AE" w:rsidRDefault="001461F4">
      <w:pPr>
        <w:widowControl/>
        <w:numPr>
          <w:ilvl w:val="0"/>
          <w:numId w:val="5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substituir o Secretário em sua falta ou impedimento ocasional;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4°  Compete ao Segundo Mesário:</w:t>
      </w:r>
    </w:p>
    <w:p w:rsidR="00F562AE" w:rsidRDefault="001461F4">
      <w:pPr>
        <w:widowControl/>
        <w:numPr>
          <w:ilvl w:val="0"/>
          <w:numId w:val="4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cumprir as determinações do Presidente;</w:t>
      </w:r>
    </w:p>
    <w:p w:rsidR="00F562AE" w:rsidRDefault="001461F4">
      <w:pPr>
        <w:widowControl/>
        <w:numPr>
          <w:ilvl w:val="0"/>
          <w:numId w:val="4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120"/>
        <w:ind w:left="131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substituir o Primeiro Mesário em sua falta ou impedimento ocasional.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15  As cédulas, confeccionadas de acordo com</w:t>
      </w:r>
      <w:r>
        <w:rPr>
          <w:rFonts w:cs="Arial"/>
          <w:sz w:val="24"/>
          <w:szCs w:val="24"/>
        </w:rPr>
        <w:t xml:space="preserve"> as determinações da Comissão Eleitoral, terão as seguintes cores: amarela, destinada ao corpo docente; azul, destinada ao corpo técnico–administrativo; branca, destinada ao corpo discente.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1° – As cédulas terão na parte superior, instruções para votaçã</w:t>
      </w:r>
      <w:r>
        <w:rPr>
          <w:rFonts w:cs="Arial"/>
          <w:sz w:val="24"/>
          <w:szCs w:val="24"/>
        </w:rPr>
        <w:t>o e, na parte inferior, os nomes das chapas, por ordem de inscrição.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2° – As cédulas de cada um dos três segmentos da comunidade universitária serão depositadas em urnas independentes.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16  Cada eleitor deverá assinalar apenas em uma chapa na relaçã</w:t>
      </w:r>
      <w:r>
        <w:rPr>
          <w:rFonts w:cs="Arial"/>
          <w:sz w:val="24"/>
          <w:szCs w:val="24"/>
        </w:rPr>
        <w:t>o constante da cédula.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Parágrafo único – Votarão em separado as pessoas que se julgarem com direito a voto, mas cujos nomes não constarem nas relações oficiais, cabendo à Comissão Eleitoral decidir sobre a validade desses votos antes de iniciar a apuração</w:t>
      </w:r>
      <w:r>
        <w:rPr>
          <w:rFonts w:cs="Arial"/>
          <w:sz w:val="24"/>
          <w:szCs w:val="24"/>
        </w:rPr>
        <w:t>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17  Será facultada a cada chapa inscrita no processo de consulta a indicação de fiscais para acompanharem os trabalhos em cada Mesa Receptora de votos.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§ 1° Em uma mesma Mesa Receptora de votos não poderá haver mais de um fiscal de uma mesma chapa </w:t>
      </w:r>
      <w:r>
        <w:rPr>
          <w:rFonts w:cs="Arial"/>
          <w:sz w:val="24"/>
          <w:szCs w:val="24"/>
        </w:rPr>
        <w:t>atuando simultaneamente.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2°  A indicação de fiscais deverá ser realizada em até 10 dias antes da consulta em oficio dirigido ao presidente da Comissão Eleitoral e entregue ao Secretário Executivo(a).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center"/>
        <w:rPr>
          <w:rFonts w:cs="Arial"/>
          <w:b/>
          <w:caps/>
          <w:sz w:val="24"/>
          <w:szCs w:val="24"/>
        </w:rPr>
      </w:pPr>
      <w:r>
        <w:rPr>
          <w:rFonts w:cs="Arial"/>
          <w:b/>
          <w:caps/>
          <w:sz w:val="24"/>
          <w:szCs w:val="24"/>
        </w:rPr>
        <w:t>Da apuração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Art. 18 Terminada a votação e declarado o seu encerramento, o Presidente da Mesa Receptora tomará as providências cabíveis, conforme Art. 15 </w:t>
      </w:r>
      <w:r>
        <w:rPr>
          <w:rFonts w:cs="Arial"/>
          <w:color w:val="FF0000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deste Regulamento.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19    A apuração deverá ser realizada por meio de mapas fornecidos pela Comissão Eleitoral</w:t>
      </w:r>
      <w:r>
        <w:rPr>
          <w:rFonts w:cs="Arial"/>
          <w:sz w:val="24"/>
          <w:szCs w:val="24"/>
        </w:rPr>
        <w:t>, apresentando os resultados por cada um dos três segmentos votantes.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Art. 20  A apuração será iniciada logo após o encerramento da consulta.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1°  Serão impugnadas as urnas que apresentarem violação do lacre.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 xml:space="preserve">§ 2°  Serão anuladas as cédulas com mais de </w:t>
      </w:r>
      <w:r>
        <w:rPr>
          <w:rFonts w:cs="Arial"/>
          <w:sz w:val="24"/>
          <w:szCs w:val="24"/>
        </w:rPr>
        <w:t>uma chapa marcada e/ou rasuradas e/ou aquelas que permitam a identificação do votante.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3° As urnas dos Campi do Mucuri, Janaúba e Unaí serão apuradas naquele Campus e a totalização transmitida para Diamantina por meio eletrônico.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21   Será facultad</w:t>
      </w:r>
      <w:r>
        <w:rPr>
          <w:rFonts w:cs="Arial"/>
          <w:sz w:val="24"/>
          <w:szCs w:val="24"/>
        </w:rPr>
        <w:t>a a cada chapa inscrita no processo de consulta a indicação de fiscais para acompanhar os trabalhos de cada Junta Apuradora.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1° Em uma mesma Junta Apuradora não poderá haver mais de um fiscal de uma mesma chapa atuando simultaneamente.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  <w:t>§ 2° A indicação</w:t>
      </w:r>
      <w:r>
        <w:rPr>
          <w:rFonts w:cs="Arial"/>
          <w:sz w:val="24"/>
          <w:szCs w:val="24"/>
        </w:rPr>
        <w:t xml:space="preserve"> de fiscais deverá ser realizada em até 10 dias antes da consulta em oficio dirigido ao presidente da Comissão Eleitoral e entregue ao Secretário Executivo(a).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22  Computados os votos, será apurado o coeficiente eleitoral de cada chapa, considerando–s</w:t>
      </w:r>
      <w:r>
        <w:rPr>
          <w:rFonts w:cs="Arial"/>
          <w:sz w:val="24"/>
          <w:szCs w:val="24"/>
        </w:rPr>
        <w:t>e a paridade entre os seguimentos docente, discente e técnico–administrativo, aplicando–se a seguinte fórmula:</w:t>
      </w:r>
    </w:p>
    <w:p w:rsidR="00F562AE" w:rsidRDefault="00F562AE">
      <w:pPr>
        <w:pStyle w:val="Corpodotexto"/>
        <w:rPr>
          <w:sz w:val="24"/>
          <w:szCs w:val="24"/>
        </w:rPr>
      </w:pP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562AE" w:rsidRPr="00F562AE">
        <w:rPr>
          <w:sz w:val="24"/>
          <w:szCs w:val="24"/>
        </w:rPr>
        <w:object w:dxaOrig="15" w:dyaOrig="15">
          <v:shape id="ole_rId4" o:spid="_x0000_i1025" style="width:28.2pt;height:28.2pt" coordsize="" o:spt="100" adj="0,,0" path="" stroked="f">
            <v:stroke joinstyle="miter"/>
            <v:imagedata r:id="rId10" o:title=""/>
            <v:formulas/>
            <v:path o:connecttype="segments"/>
          </v:shape>
          <o:OLEObject Type="Embed" ProgID="Equation.3" ShapeID="ole_rId4" DrawAspect="Content" ObjectID="_1488097990" r:id="rId11"/>
        </w:objec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em que: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NVDOi = Número de votos docentes na chapa i;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NTVDO = Número total de votos docentes;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 xml:space="preserve">NVTAi = Número de votos </w:t>
      </w:r>
      <w:r>
        <w:rPr>
          <w:sz w:val="24"/>
          <w:szCs w:val="24"/>
        </w:rPr>
        <w:t>técnico–administrativos na chapa i;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NTVTA = Número total de votos técnico–administrativos;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NVDIi = Número de votos discentes na chapa i;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NTVDI = Número total de votos discentes.</w:t>
      </w:r>
    </w:p>
    <w:p w:rsidR="00F562AE" w:rsidRDefault="00F562AE">
      <w:pPr>
        <w:pStyle w:val="Corpodotexto"/>
        <w:rPr>
          <w:sz w:val="24"/>
          <w:szCs w:val="24"/>
        </w:rPr>
      </w:pPr>
    </w:p>
    <w:p w:rsidR="00F562AE" w:rsidRDefault="001461F4">
      <w:pPr>
        <w:pStyle w:val="Corpodotexto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§ 1º</w:t>
      </w:r>
      <w:r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 xml:space="preserve">A mesma fórmula será utilizada para o cálculo dos votos brancos e </w:t>
      </w:r>
      <w:r>
        <w:rPr>
          <w:sz w:val="24"/>
          <w:szCs w:val="24"/>
        </w:rPr>
        <w:t>nulos, a saber:</w:t>
      </w:r>
    </w:p>
    <w:p w:rsidR="00F562AE" w:rsidRDefault="00F562AE">
      <w:pPr>
        <w:pStyle w:val="Corpodotexto"/>
        <w:rPr>
          <w:sz w:val="24"/>
          <w:szCs w:val="24"/>
        </w:rPr>
      </w:pPr>
    </w:p>
    <w:p w:rsidR="00F562AE" w:rsidRDefault="00F562AE">
      <w:pPr>
        <w:pStyle w:val="Corpodotexto"/>
        <w:rPr>
          <w:sz w:val="24"/>
          <w:szCs w:val="24"/>
        </w:rPr>
      </w:pPr>
      <w:r>
        <w:object w:dxaOrig="15" w:dyaOrig="15">
          <v:shape id="ole_rId6" o:spid="_x0000_i1026" style="width:28.2pt;height:28.2pt" coordsize="" o:spt="100" adj="0,,0" path="" stroked="f">
            <v:stroke joinstyle="miter"/>
            <v:imagedata r:id="rId10" o:title=""/>
            <v:formulas/>
            <v:path o:connecttype="segments"/>
          </v:shape>
          <o:OLEObject Type="Embed" ProgID="Equation.3" ShapeID="ole_rId6" DrawAspect="Content" ObjectID="_1488097991" r:id="rId12"/>
        </w:objec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lastRenderedPageBreak/>
        <w:t>em que: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NVDOb = Número de votos brancos docentes;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NVTAb = Número de votos brancos técnicos–administrativos;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NVDIb = Número de votos brancos discentes.</w:t>
      </w:r>
    </w:p>
    <w:p w:rsidR="00F562AE" w:rsidRDefault="00F562AE">
      <w:pPr>
        <w:pStyle w:val="Corpodotexto"/>
        <w:rPr>
          <w:sz w:val="24"/>
          <w:szCs w:val="24"/>
        </w:rPr>
      </w:pPr>
    </w:p>
    <w:p w:rsidR="00F562AE" w:rsidRDefault="00F562AE">
      <w:pPr>
        <w:pStyle w:val="Corpodotexto"/>
        <w:rPr>
          <w:sz w:val="24"/>
          <w:szCs w:val="24"/>
        </w:rPr>
      </w:pPr>
      <w:r>
        <w:object w:dxaOrig="15" w:dyaOrig="15">
          <v:shape id="ole_rId8" o:spid="_x0000_i1027" style="width:28.2pt;height:28.2pt" coordsize="" o:spt="100" adj="0,,0" path="" stroked="f">
            <v:stroke joinstyle="miter"/>
            <v:imagedata r:id="rId10" o:title=""/>
            <v:formulas/>
            <v:path o:connecttype="segments"/>
          </v:shape>
          <o:OLEObject Type="Embed" ProgID="Equation.3" ShapeID="ole_rId8" DrawAspect="Content" ObjectID="_1488097992" r:id="rId13"/>
        </w:objec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em que: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NVDOn = Número de votos nulos doc</w:t>
      </w:r>
      <w:r>
        <w:rPr>
          <w:sz w:val="24"/>
          <w:szCs w:val="24"/>
        </w:rPr>
        <w:t>entes;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NVTAn = Número de votos nulos técnicos–administrativos;</w:t>
      </w:r>
    </w:p>
    <w:p w:rsidR="00F562AE" w:rsidRDefault="001461F4">
      <w:pPr>
        <w:pStyle w:val="Corpodotexto"/>
        <w:rPr>
          <w:sz w:val="24"/>
          <w:szCs w:val="24"/>
        </w:rPr>
      </w:pPr>
      <w:r>
        <w:rPr>
          <w:sz w:val="24"/>
          <w:szCs w:val="24"/>
        </w:rPr>
        <w:t>NVDIn = Número de votos nulos discentes.</w:t>
      </w:r>
    </w:p>
    <w:p w:rsidR="00F562AE" w:rsidRDefault="00F562AE">
      <w:pPr>
        <w:pStyle w:val="Corpodotexto"/>
        <w:rPr>
          <w:sz w:val="24"/>
          <w:szCs w:val="24"/>
        </w:rPr>
      </w:pP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jc w:val="both"/>
        <w:rPr>
          <w:rFonts w:cs="Arial"/>
          <w:b/>
          <w:color w:val="943634"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ab/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Art. 23    Encerrado o processo de apuração, a Comissão Eleitoral, tendo recebido toda documentação das Juntas Apuradoras, encaminhará o resultado d</w:t>
      </w:r>
      <w:r>
        <w:rPr>
          <w:rFonts w:cs="Arial"/>
          <w:sz w:val="24"/>
          <w:szCs w:val="24"/>
        </w:rPr>
        <w:t>a consulta ao Conselho Universitário em ata sucinta para homologação e divulgação.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Art. 24  A Comissão Eleitoral dará por encerradas suas atividades com o envio ao Conselho Universitário do resultado da consulta, bem como toda a documentação pertinente ao </w:t>
      </w:r>
      <w:r>
        <w:rPr>
          <w:rFonts w:cs="Arial"/>
          <w:sz w:val="24"/>
          <w:szCs w:val="24"/>
        </w:rPr>
        <w:t>processo eleitoral.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Art. 25  Caberá recurso à Comissão Eleitoral até 48 horas após a divulgação oficial do resultado da consulta. </w:t>
      </w:r>
    </w:p>
    <w:p w:rsidR="00F562AE" w:rsidRDefault="00F562AE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center"/>
        <w:rPr>
          <w:rFonts w:cs="Arial"/>
          <w:b/>
          <w:caps/>
          <w:sz w:val="24"/>
          <w:szCs w:val="24"/>
        </w:rPr>
      </w:pPr>
      <w:r>
        <w:rPr>
          <w:rFonts w:cs="Arial"/>
          <w:b/>
          <w:caps/>
          <w:sz w:val="24"/>
          <w:szCs w:val="24"/>
        </w:rPr>
        <w:t>Das Disposições Finais</w:t>
      </w: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color w:val="FF0000"/>
          <w:sz w:val="24"/>
          <w:szCs w:val="24"/>
        </w:rPr>
      </w:pPr>
      <w:r>
        <w:rPr>
          <w:rFonts w:cs="Arial"/>
          <w:sz w:val="24"/>
          <w:szCs w:val="24"/>
        </w:rPr>
        <w:t xml:space="preserve">Art. 26  A chapa, ou qualquer outro membro do Colégio Eleitoral, que se sentir prejudicado por </w:t>
      </w:r>
      <w:r>
        <w:rPr>
          <w:rFonts w:cs="Arial"/>
          <w:sz w:val="24"/>
          <w:szCs w:val="24"/>
        </w:rPr>
        <w:t>decisões emitidas pela Comissão Eleitoral, referentes aos recursos interpostos junto àquele órgão, poderá recorrer diretamente ao Conselho Universitário em até 48 horas após a manifestação da Comissão Eleitoral.</w:t>
      </w:r>
      <w:r>
        <w:rPr>
          <w:rFonts w:cs="Arial"/>
          <w:color w:val="FF0000"/>
          <w:sz w:val="24"/>
          <w:szCs w:val="24"/>
        </w:rPr>
        <w:t xml:space="preserve"> </w:t>
      </w:r>
    </w:p>
    <w:p w:rsidR="00F562AE" w:rsidRDefault="001461F4">
      <w:pPr>
        <w:jc w:val="both"/>
        <w:rPr>
          <w:color w:val="000000"/>
          <w:sz w:val="24"/>
          <w:szCs w:val="24"/>
        </w:rPr>
      </w:pPr>
      <w:r>
        <w:rPr>
          <w:rFonts w:cs="Arial"/>
          <w:sz w:val="24"/>
          <w:szCs w:val="24"/>
        </w:rPr>
        <w:t>Art. 27  O presente Regulamento aplica–se a</w:t>
      </w:r>
      <w:r>
        <w:rPr>
          <w:rFonts w:cs="Arial"/>
          <w:sz w:val="24"/>
          <w:szCs w:val="24"/>
        </w:rPr>
        <w:t xml:space="preserve">o processo de consulta à comunidade universitária para a escolha do Reitor e do Vice–Reitor da UFVJM para o mandato 2015–2019, </w:t>
      </w:r>
      <w:r>
        <w:rPr>
          <w:sz w:val="24"/>
          <w:szCs w:val="24"/>
        </w:rPr>
        <w:t>revogada a Resolução 02 de 04 de fevereiro de 2011.</w:t>
      </w:r>
    </w:p>
    <w:p w:rsidR="00F562AE" w:rsidRDefault="00F562AE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</w:p>
    <w:p w:rsidR="00F562AE" w:rsidRDefault="001461F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center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Diamantina, 17 de março de 2</w:t>
      </w:r>
      <w:r>
        <w:rPr>
          <w:sz w:val="24"/>
          <w:szCs w:val="24"/>
        </w:rPr>
        <w:t>015</w:t>
      </w:r>
      <w:r>
        <w:rPr>
          <w:rFonts w:cs="Arial"/>
          <w:bCs/>
          <w:sz w:val="24"/>
          <w:szCs w:val="24"/>
        </w:rPr>
        <w:t>.</w:t>
      </w:r>
    </w:p>
    <w:p w:rsidR="00F562AE" w:rsidRDefault="00F562AE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before="240"/>
        <w:ind w:left="993" w:hanging="993"/>
        <w:jc w:val="both"/>
        <w:rPr>
          <w:rFonts w:cs="Arial"/>
          <w:sz w:val="24"/>
          <w:szCs w:val="24"/>
        </w:rPr>
      </w:pPr>
    </w:p>
    <w:p w:rsidR="00F562AE" w:rsidRDefault="001461F4">
      <w:pPr>
        <w:pStyle w:val="Corpodo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Prof. Wellington Oliveira</w:t>
      </w:r>
    </w:p>
    <w:p w:rsidR="00F562AE" w:rsidRDefault="001461F4">
      <w:pPr>
        <w:pStyle w:val="Corpodo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>
        <w:rPr>
          <w:b/>
          <w:i/>
          <w:sz w:val="24"/>
          <w:szCs w:val="24"/>
        </w:rPr>
        <w:t>Presidente da Co</w:t>
      </w:r>
      <w:r>
        <w:rPr>
          <w:b/>
          <w:i/>
          <w:sz w:val="24"/>
          <w:szCs w:val="24"/>
        </w:rPr>
        <w:t xml:space="preserve">missão Eleitoral de consulta à escolha de Reitor e Vice-Reitor </w:t>
      </w:r>
      <w:r>
        <w:rPr>
          <w:b/>
          <w:sz w:val="24"/>
          <w:szCs w:val="24"/>
        </w:rPr>
        <w:t>2015-2019</w:t>
      </w:r>
    </w:p>
    <w:sectPr w:rsidR="00F562AE" w:rsidSect="00F562AE">
      <w:footerReference w:type="default" r:id="rId14"/>
      <w:pgSz w:w="11906" w:h="16838"/>
      <w:pgMar w:top="2352" w:right="1701" w:bottom="1176" w:left="1701" w:header="0" w:footer="709" w:gutter="0"/>
      <w:cols w:space="720"/>
      <w:formProt w:val="0"/>
      <w:docGrid w:linePitch="360" w:charSpace="-14337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1F4" w:rsidRDefault="001461F4" w:rsidP="00F562AE">
      <w:r>
        <w:separator/>
      </w:r>
    </w:p>
  </w:endnote>
  <w:endnote w:type="continuationSeparator" w:id="0">
    <w:p w:rsidR="001461F4" w:rsidRDefault="001461F4" w:rsidP="00F562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itstream Vera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2AE" w:rsidRDefault="00F562AE">
    <w:pPr>
      <w:pBdr>
        <w:bottom w:val="single" w:sz="12" w:space="1" w:color="00000A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F562AE" w:rsidRDefault="001461F4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 km 583, n.º 5000 - Alto da Jacuba - Diamantina - MG-Brasil / PABX: (38) 3532-1200</w:t>
    </w:r>
  </w:p>
  <w:p w:rsidR="00F562AE" w:rsidRDefault="001461F4">
    <w:pPr>
      <w:pStyle w:val="Rodap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                                           Campus do Mucuri - Rua do Cruzeiro - n.º 1 - Jardim São Paulo - CEP: 39803-371 - Teófilo Otoni - MG – Brasil</w:t>
    </w:r>
  </w:p>
  <w:p w:rsidR="00F562AE" w:rsidRDefault="00F562AE">
    <w:pPr>
      <w:pStyle w:val="Rodap"/>
      <w:jc w:val="right"/>
      <w:rPr>
        <w:sz w:val="20"/>
        <w:szCs w:val="20"/>
      </w:rPr>
    </w:pPr>
    <w:r>
      <w:fldChar w:fldCharType="begin"/>
    </w:r>
    <w:r w:rsidR="001461F4">
      <w:instrText>PAGE</w:instrText>
    </w:r>
    <w:r>
      <w:fldChar w:fldCharType="separate"/>
    </w:r>
    <w:r w:rsidR="00F45ACD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1F4" w:rsidRDefault="001461F4" w:rsidP="00F562AE">
      <w:r>
        <w:separator/>
      </w:r>
    </w:p>
  </w:footnote>
  <w:footnote w:type="continuationSeparator" w:id="0">
    <w:p w:rsidR="001461F4" w:rsidRDefault="001461F4" w:rsidP="00F562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82A94"/>
    <w:multiLevelType w:val="multilevel"/>
    <w:tmpl w:val="4C6A01E2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18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82529AD"/>
    <w:multiLevelType w:val="multilevel"/>
    <w:tmpl w:val="25C8E6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18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29D197F"/>
    <w:multiLevelType w:val="multilevel"/>
    <w:tmpl w:val="A6FA33C0"/>
    <w:lvl w:ilvl="0">
      <w:start w:val="1"/>
      <w:numFmt w:val="upperRoman"/>
      <w:suff w:val="space"/>
      <w:lvlText w:val="%1."/>
      <w:lvlJc w:val="left"/>
      <w:pPr>
        <w:ind w:left="1440" w:hanging="18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24FA3496"/>
    <w:multiLevelType w:val="multilevel"/>
    <w:tmpl w:val="381E3BD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18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2D3D386D"/>
    <w:multiLevelType w:val="multilevel"/>
    <w:tmpl w:val="FE349C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40181D3C"/>
    <w:multiLevelType w:val="multilevel"/>
    <w:tmpl w:val="93580A7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18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602700FB"/>
    <w:multiLevelType w:val="multilevel"/>
    <w:tmpl w:val="7EA6036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18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62261B9F"/>
    <w:multiLevelType w:val="multilevel"/>
    <w:tmpl w:val="BAFE3D7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688C22E9"/>
    <w:multiLevelType w:val="multilevel"/>
    <w:tmpl w:val="D8F01CB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18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62AE"/>
    <w:rsid w:val="001461F4"/>
    <w:rsid w:val="00F45ACD"/>
    <w:rsid w:val="00F56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A3B"/>
    <w:pPr>
      <w:widowControl w:val="0"/>
      <w:suppressAutoHyphens/>
    </w:pPr>
    <w:rPr>
      <w:sz w:val="28"/>
      <w:szCs w:val="28"/>
      <w:lang w:eastAsia="ar-SA"/>
    </w:rPr>
  </w:style>
  <w:style w:type="paragraph" w:styleId="Ttulo1">
    <w:name w:val="heading 1"/>
    <w:basedOn w:val="Normal"/>
    <w:qFormat/>
    <w:rsid w:val="004D1A3B"/>
    <w:pPr>
      <w:keepLines/>
      <w:ind w:left="432" w:hanging="432"/>
      <w:jc w:val="both"/>
      <w:outlineLvl w:val="0"/>
    </w:pPr>
    <w:rPr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4D1A3B"/>
  </w:style>
  <w:style w:type="character" w:customStyle="1" w:styleId="Fontepargpadro3">
    <w:name w:val="Fonte parág. padrão3"/>
    <w:rsid w:val="004D1A3B"/>
  </w:style>
  <w:style w:type="character" w:customStyle="1" w:styleId="WW-Absatz-Standardschriftart">
    <w:name w:val="WW-Absatz-Standardschriftart"/>
    <w:rsid w:val="004D1A3B"/>
  </w:style>
  <w:style w:type="character" w:customStyle="1" w:styleId="WW-Absatz-Standardschriftart1">
    <w:name w:val="WW-Absatz-Standardschriftart1"/>
    <w:rsid w:val="004D1A3B"/>
  </w:style>
  <w:style w:type="character" w:customStyle="1" w:styleId="Fontepargpadro2">
    <w:name w:val="Fonte parág. padrão2"/>
    <w:rsid w:val="004D1A3B"/>
  </w:style>
  <w:style w:type="character" w:customStyle="1" w:styleId="CaracteresdeNotadeRodap">
    <w:name w:val="Caracteres de Nota de Rodapé"/>
    <w:rsid w:val="004D1A3B"/>
  </w:style>
  <w:style w:type="character" w:customStyle="1" w:styleId="Fontepargpadro1">
    <w:name w:val="Fonte parág. padrão1"/>
    <w:rsid w:val="004D1A3B"/>
  </w:style>
  <w:style w:type="character" w:styleId="Nmerodepgina">
    <w:name w:val="page number"/>
    <w:basedOn w:val="Fontepargpadro1"/>
    <w:rsid w:val="004D1A3B"/>
  </w:style>
  <w:style w:type="character" w:customStyle="1" w:styleId="Smbolosdenumerao">
    <w:name w:val="Símbolos de numeração"/>
    <w:rsid w:val="004D1A3B"/>
  </w:style>
  <w:style w:type="character" w:customStyle="1" w:styleId="CaracteresdeNotadeFim">
    <w:name w:val="Caracteres de Nota de Fim"/>
    <w:rsid w:val="004D1A3B"/>
  </w:style>
  <w:style w:type="character" w:styleId="Nmerodelinha">
    <w:name w:val="line number"/>
    <w:rsid w:val="004D1A3B"/>
  </w:style>
  <w:style w:type="character" w:customStyle="1" w:styleId="Caracteresdenotaderodap0">
    <w:name w:val="Caracteres de nota de rodapé"/>
    <w:rsid w:val="004D1A3B"/>
    <w:rPr>
      <w:vertAlign w:val="superscript"/>
    </w:rPr>
  </w:style>
  <w:style w:type="character" w:customStyle="1" w:styleId="Caracteresdenotadefim0">
    <w:name w:val="Caracteres de nota de fim"/>
    <w:rsid w:val="004D1A3B"/>
    <w:rPr>
      <w:vertAlign w:val="superscript"/>
    </w:rPr>
  </w:style>
  <w:style w:type="character" w:customStyle="1" w:styleId="WW-Absatz-Standardschriftart11">
    <w:name w:val="WW-Absatz-Standardschriftart11"/>
    <w:rsid w:val="004D1A3B"/>
  </w:style>
  <w:style w:type="character" w:customStyle="1" w:styleId="Refdecomentrio1">
    <w:name w:val="Ref. de comentário1"/>
    <w:basedOn w:val="Fontepargpadro2"/>
    <w:rsid w:val="004D1A3B"/>
    <w:rPr>
      <w:sz w:val="16"/>
      <w:szCs w:val="16"/>
    </w:rPr>
  </w:style>
  <w:style w:type="character" w:customStyle="1" w:styleId="TextodecomentrioChar">
    <w:name w:val="Texto de comentário Char"/>
    <w:basedOn w:val="Fontepargpadro2"/>
    <w:rsid w:val="004D1A3B"/>
  </w:style>
  <w:style w:type="character" w:customStyle="1" w:styleId="AssuntodocomentrioChar">
    <w:name w:val="Assunto do comentário Char"/>
    <w:basedOn w:val="TextodecomentrioChar"/>
    <w:rsid w:val="004D1A3B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5C6FB1"/>
    <w:rPr>
      <w:sz w:val="16"/>
      <w:szCs w:val="16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5C6FB1"/>
    <w:rPr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C6FB1"/>
    <w:rPr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5C6FB1"/>
    <w:rPr>
      <w:vertAlign w:val="superscript"/>
    </w:rPr>
  </w:style>
  <w:style w:type="character" w:customStyle="1" w:styleId="RodapChar">
    <w:name w:val="Rodapé Char"/>
    <w:basedOn w:val="Fontepargpadro"/>
    <w:link w:val="Rodap"/>
    <w:uiPriority w:val="99"/>
    <w:rsid w:val="00CE699D"/>
    <w:rPr>
      <w:sz w:val="28"/>
      <w:szCs w:val="28"/>
      <w:lang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F87CAE"/>
    <w:rPr>
      <w:sz w:val="28"/>
      <w:szCs w:val="28"/>
      <w:lang w:eastAsia="ar-SA"/>
    </w:rPr>
  </w:style>
  <w:style w:type="paragraph" w:styleId="Ttulo">
    <w:name w:val="Title"/>
    <w:basedOn w:val="Normal"/>
    <w:next w:val="Corpodotexto"/>
    <w:rsid w:val="00F562AE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customStyle="1" w:styleId="Corpodotexto">
    <w:name w:val="Corpo do texto"/>
    <w:basedOn w:val="Normal"/>
    <w:rsid w:val="004D1A3B"/>
    <w:pPr>
      <w:spacing w:after="120" w:line="288" w:lineRule="auto"/>
    </w:pPr>
  </w:style>
  <w:style w:type="paragraph" w:styleId="Lista">
    <w:name w:val="List"/>
    <w:basedOn w:val="Corpodotexto"/>
    <w:rsid w:val="004D1A3B"/>
    <w:rPr>
      <w:rFonts w:cs="Tahoma"/>
    </w:rPr>
  </w:style>
  <w:style w:type="paragraph" w:styleId="Legenda">
    <w:name w:val="caption"/>
    <w:basedOn w:val="Normal"/>
    <w:rsid w:val="00F562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D1A3B"/>
    <w:pPr>
      <w:suppressLineNumbers/>
    </w:pPr>
    <w:rPr>
      <w:rFonts w:cs="Tahoma"/>
    </w:rPr>
  </w:style>
  <w:style w:type="paragraph" w:customStyle="1" w:styleId="Ttulododocumento">
    <w:name w:val="Título do documento"/>
    <w:basedOn w:val="Normal"/>
    <w:rsid w:val="00F562AE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customStyle="1" w:styleId="Ttulo2">
    <w:name w:val="Título2"/>
    <w:basedOn w:val="Normal"/>
    <w:rsid w:val="004D1A3B"/>
    <w:pPr>
      <w:keepNext/>
      <w:spacing w:before="240" w:after="120"/>
    </w:pPr>
    <w:rPr>
      <w:rFonts w:ascii="Arial" w:eastAsia="Bitstream Vera Sans" w:hAnsi="Arial" w:cs="Bitstream Vera Sans"/>
    </w:rPr>
  </w:style>
  <w:style w:type="paragraph" w:customStyle="1" w:styleId="Legenda3">
    <w:name w:val="Legenda3"/>
    <w:basedOn w:val="Normal"/>
    <w:rsid w:val="004D1A3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Ttulo10">
    <w:name w:val="Título1"/>
    <w:basedOn w:val="Normal"/>
    <w:rsid w:val="004D1A3B"/>
    <w:pPr>
      <w:keepNext/>
      <w:spacing w:before="240" w:after="120"/>
    </w:pPr>
    <w:rPr>
      <w:rFonts w:ascii="Arial" w:eastAsia="Bitstream Vera Sans" w:hAnsi="Arial" w:cs="Bitstream Vera Sans"/>
    </w:rPr>
  </w:style>
  <w:style w:type="paragraph" w:customStyle="1" w:styleId="Legenda2">
    <w:name w:val="Legenda2"/>
    <w:basedOn w:val="Normal"/>
    <w:rsid w:val="004D1A3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Captulo">
    <w:name w:val="Capítulo"/>
    <w:basedOn w:val="Normal"/>
    <w:rsid w:val="004D1A3B"/>
    <w:pPr>
      <w:keepNext/>
      <w:spacing w:before="240" w:after="120"/>
    </w:pPr>
    <w:rPr>
      <w:rFonts w:ascii="Arial" w:eastAsia="Lucida Sans Unicode" w:hAnsi="Arial" w:cs="Tahoma"/>
    </w:rPr>
  </w:style>
  <w:style w:type="paragraph" w:styleId="Cabealho">
    <w:name w:val="header"/>
    <w:basedOn w:val="Normal"/>
    <w:link w:val="CabealhoChar"/>
    <w:uiPriority w:val="99"/>
    <w:rsid w:val="004D1A3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D1A3B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Normal"/>
    <w:rsid w:val="004D1A3B"/>
    <w:pPr>
      <w:suppressLineNumbers/>
    </w:pPr>
  </w:style>
  <w:style w:type="paragraph" w:customStyle="1" w:styleId="Ttulodatabela">
    <w:name w:val="Título da tabela"/>
    <w:basedOn w:val="Contedodatabela"/>
    <w:rsid w:val="004D1A3B"/>
    <w:pPr>
      <w:jc w:val="center"/>
    </w:pPr>
    <w:rPr>
      <w:b/>
      <w:bCs/>
    </w:rPr>
  </w:style>
  <w:style w:type="paragraph" w:customStyle="1" w:styleId="Legenda1">
    <w:name w:val="Legenda1"/>
    <w:basedOn w:val="Normal"/>
    <w:rsid w:val="004D1A3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Contedodoquadro">
    <w:name w:val="Conteúdo do quadro"/>
    <w:basedOn w:val="Corpodotexto"/>
    <w:rsid w:val="004D1A3B"/>
  </w:style>
  <w:style w:type="paragraph" w:customStyle="1" w:styleId="Corpodetexto31">
    <w:name w:val="Corpo de texto 31"/>
    <w:basedOn w:val="Normal"/>
    <w:rsid w:val="004D1A3B"/>
    <w:pPr>
      <w:spacing w:before="120"/>
      <w:jc w:val="both"/>
    </w:pPr>
  </w:style>
  <w:style w:type="paragraph" w:styleId="Textodebalo">
    <w:name w:val="Balloon Text"/>
    <w:basedOn w:val="Normal"/>
    <w:rsid w:val="004D1A3B"/>
    <w:rPr>
      <w:rFonts w:ascii="Tahoma" w:hAnsi="Tahoma" w:cs="Tahoma"/>
      <w:sz w:val="16"/>
      <w:szCs w:val="16"/>
    </w:rPr>
  </w:style>
  <w:style w:type="paragraph" w:customStyle="1" w:styleId="Textodecomentrio1">
    <w:name w:val="Texto de comentário1"/>
    <w:basedOn w:val="Normal"/>
    <w:rsid w:val="004D1A3B"/>
    <w:rPr>
      <w:sz w:val="20"/>
      <w:szCs w:val="20"/>
    </w:rPr>
  </w:style>
  <w:style w:type="paragraph" w:styleId="Assuntodocomentrio">
    <w:name w:val="annotation subject"/>
    <w:basedOn w:val="Textodecomentrio1"/>
    <w:rsid w:val="004D1A3B"/>
    <w:rPr>
      <w:b/>
      <w:bCs/>
    </w:rPr>
  </w:style>
  <w:style w:type="paragraph" w:customStyle="1" w:styleId="Contedodetabela">
    <w:name w:val="Conteúdo de tabela"/>
    <w:basedOn w:val="Normal"/>
    <w:rsid w:val="004D1A3B"/>
    <w:pPr>
      <w:suppressLineNumbers/>
    </w:pPr>
  </w:style>
  <w:style w:type="paragraph" w:customStyle="1" w:styleId="Ttulodetabela">
    <w:name w:val="Título de tabela"/>
    <w:basedOn w:val="Contedodetabela"/>
    <w:rsid w:val="004D1A3B"/>
    <w:pPr>
      <w:jc w:val="center"/>
    </w:pPr>
    <w:rPr>
      <w:b/>
      <w:bCs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5C6FB1"/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C6FB1"/>
    <w:rPr>
      <w:sz w:val="20"/>
      <w:szCs w:val="20"/>
    </w:rPr>
  </w:style>
  <w:style w:type="paragraph" w:customStyle="1" w:styleId="Default">
    <w:name w:val="Default"/>
    <w:rsid w:val="000A67A9"/>
    <w:pPr>
      <w:suppressAutoHyphens/>
    </w:pPr>
    <w:rPr>
      <w:rFonts w:eastAsia="Arial"/>
      <w:color w:val="000000"/>
      <w:sz w:val="24"/>
      <w:szCs w:val="24"/>
      <w:lang w:eastAsia="ar-SA"/>
    </w:rPr>
  </w:style>
  <w:style w:type="table" w:styleId="Tabelacomgrade">
    <w:name w:val="Table Grid"/>
    <w:basedOn w:val="Tabelanormal"/>
    <w:rsid w:val="005C6FB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3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A1677-C086-490C-A6CD-4A8F6E96E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2652</Words>
  <Characters>14326</Characters>
  <Application>Microsoft Office Word</Application>
  <DocSecurity>0</DocSecurity>
  <Lines>119</Lines>
  <Paragraphs>33</Paragraphs>
  <ScaleCrop>false</ScaleCrop>
  <Company/>
  <LinksUpToDate>false</LinksUpToDate>
  <CharactersWithSpaces>16945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Unificada dos Docentes, Técnicos- Administrativos, Discentes e representante da Comunidade Externa para o Regimento Eleitoral para escolha dos nomes que comporão a lista tríplice que será encaminhada ao Ministério da Educação para escolha do Rei</dc:title>
  <dc:creator>UFVJM</dc:creator>
  <cp:lastModifiedBy>usuario</cp:lastModifiedBy>
  <cp:revision>2</cp:revision>
  <cp:lastPrinted>2011-02-25T20:31:00Z</cp:lastPrinted>
  <dcterms:created xsi:type="dcterms:W3CDTF">2015-03-17T14:47:00Z</dcterms:created>
  <dcterms:modified xsi:type="dcterms:W3CDTF">2015-03-17T14:47:00Z</dcterms:modified>
  <dc:language>pt-BR</dc:language>
</cp:coreProperties>
</file>