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Override PartName="/word/media/image2.jpeg" ContentType="image/jpeg"/>
  <Override PartName="/word/media/image1.jpeg" ContentType="image/jpeg"/>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Style w:val="Tabelacomgrade"/>
        <w:tblpPr w:bottomFromText="0" w:horzAnchor="margin" w:leftFromText="141" w:rightFromText="141" w:tblpX="0" w:tblpXSpec="" w:tblpY="-999" w:tblpYSpec="" w:topFromText="0" w:vertAnchor="margin"/>
        <w:tblW w:w="9354" w:type="dxa"/>
        <w:jc w:val="left"/>
        <w:tblInd w:w="113" w:type="dxa"/>
        <w:tblBorders>
          <w:top w:val="nil"/>
          <w:left w:val="nil"/>
          <w:bottom w:val="nil"/>
          <w:right w:val="nil"/>
          <w:insideH w:val="nil"/>
          <w:insideV w:val="nil"/>
        </w:tblBorders>
        <w:tblCellMar>
          <w:top w:w="0" w:type="dxa"/>
          <w:left w:w="113" w:type="dxa"/>
          <w:bottom w:w="0" w:type="dxa"/>
          <w:right w:w="108" w:type="dxa"/>
        </w:tblCellMar>
      </w:tblPr>
      <w:tblGrid>
        <w:gridCol w:w="1498"/>
        <w:gridCol w:w="5878"/>
        <w:gridCol w:w="1978"/>
      </w:tblGrid>
      <w:tr>
        <w:trPr/>
        <w:tc>
          <w:tcPr>
            <w:tcW w:w="1498" w:type="dxa"/>
            <w:tcBorders>
              <w:top w:val="nil"/>
              <w:left w:val="nil"/>
              <w:bottom w:val="nil"/>
              <w:right w:val="nil"/>
              <w:insideH w:val="nil"/>
              <w:insideV w:val="nil"/>
            </w:tcBorders>
            <w:shd w:color="auto" w:fill="auto" w:val="clear"/>
            <w:vAlign w:val="center"/>
          </w:tcPr>
          <w:p>
            <w:pPr>
              <w:pStyle w:val="Cabealho"/>
              <w:widowControl w:val="false"/>
              <w:suppressAutoHyphens w:val="true"/>
              <w:jc w:val="both"/>
              <w:textAlignment w:val="baseline"/>
              <w:rPr>
                <w:sz w:val="24"/>
                <w:sz w:val="24"/>
                <w:rFonts w:ascii="Times New Roman" w:hAnsi="Times New Roman" w:eastAsia="Droid Sans Fallback" w:cs="Times New Roman"/>
              </w:rPr>
            </w:pPr>
            <w:r>
              <w:rPr>
                <w:szCs w:val="24"/>
                <w:lang w:eastAsia="zh-CN" w:bidi="hi-IN"/>
              </w:rPr>
              <w:drawing>
                <wp:inline distT="0" distB="0" distL="0" distR="0">
                  <wp:extent cx="828040" cy="864235"/>
                  <wp:effectExtent l="0" t="0" r="0" b="0"/>
                  <wp:docPr id="1" name="Picture" descr="Brasão República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Brasão República pb"/>
                          <pic:cNvPicPr>
                            <a:picLocks noChangeAspect="1" noChangeArrowheads="1"/>
                          </pic:cNvPicPr>
                        </pic:nvPicPr>
                        <pic:blipFill>
                          <a:blip r:embed="rId2"/>
                          <a:stretch>
                            <a:fillRect/>
                          </a:stretch>
                        </pic:blipFill>
                        <pic:spPr bwMode="auto">
                          <a:xfrm>
                            <a:off x="0" y="0"/>
                            <a:ext cx="828040" cy="864235"/>
                          </a:xfrm>
                          <a:prstGeom prst="rect">
                            <a:avLst/>
                          </a:prstGeom>
                          <a:noFill/>
                          <a:ln w="9525">
                            <a:noFill/>
                            <a:miter lim="800000"/>
                            <a:headEnd/>
                            <a:tailEnd/>
                          </a:ln>
                        </pic:spPr>
                      </pic:pic>
                    </a:graphicData>
                  </a:graphic>
                </wp:inline>
              </w:drawing>
            </w:r>
            <w:r/>
          </w:p>
        </w:tc>
        <w:tc>
          <w:tcPr>
            <w:tcW w:w="5878" w:type="dxa"/>
            <w:tcBorders>
              <w:top w:val="nil"/>
              <w:left w:val="nil"/>
              <w:bottom w:val="nil"/>
              <w:right w:val="nil"/>
              <w:insideH w:val="nil"/>
              <w:insideV w:val="nil"/>
            </w:tcBorders>
            <w:shd w:color="auto" w:fill="auto" w:val="clear"/>
            <w:vAlign w:val="center"/>
          </w:tcPr>
          <w:p>
            <w:pPr>
              <w:pStyle w:val="Cabealho"/>
              <w:widowControl w:val="false"/>
              <w:suppressAutoHyphens w:val="true"/>
              <w:jc w:val="center"/>
              <w:textAlignment w:val="baseline"/>
              <w:rPr>
                <w:sz w:val="16"/>
                <w:b/>
                <w:sz w:val="16"/>
                <w:b/>
                <w:szCs w:val="16"/>
                <w:rFonts w:ascii="Times New Roman" w:hAnsi="Times New Roman" w:cs="Times New Roman"/>
              </w:rPr>
            </w:pPr>
            <w:r>
              <w:rPr>
                <w:rFonts w:eastAsia="Droid Sans Fallback" w:cs="Times New Roman" w:ascii="Times New Roman" w:hAnsi="Times New Roman"/>
                <w:b/>
                <w:sz w:val="16"/>
                <w:szCs w:val="16"/>
                <w:lang w:eastAsia="zh-CN" w:bidi="hi-IN"/>
              </w:rPr>
              <w:t>MINISTÉRIO DA EDUCAÇÃO</w:t>
            </w:r>
            <w:r/>
          </w:p>
          <w:p>
            <w:pPr>
              <w:pStyle w:val="Cabealho"/>
              <w:widowControl w:val="false"/>
              <w:suppressAutoHyphens w:val="true"/>
              <w:jc w:val="center"/>
              <w:textAlignment w:val="baseline"/>
              <w:rPr>
                <w:sz w:val="16"/>
                <w:b/>
                <w:sz w:val="16"/>
                <w:b/>
                <w:szCs w:val="16"/>
                <w:rFonts w:ascii="Times New Roman" w:hAnsi="Times New Roman" w:cs="Times New Roman"/>
              </w:rPr>
            </w:pPr>
            <w:r>
              <w:rPr>
                <w:rFonts w:eastAsia="Droid Sans Fallback" w:cs="Times New Roman" w:ascii="Times New Roman" w:hAnsi="Times New Roman"/>
                <w:b/>
                <w:sz w:val="16"/>
                <w:szCs w:val="16"/>
                <w:lang w:eastAsia="zh-CN" w:bidi="hi-IN"/>
              </w:rPr>
              <w:t>UNIVERSIDADE FEDERAL DOS VALES DO JEQUITINHONHA E MUCURI</w:t>
            </w:r>
            <w:r/>
          </w:p>
          <w:p>
            <w:pPr>
              <w:pStyle w:val="Cabealho"/>
              <w:widowControl w:val="false"/>
              <w:suppressAutoHyphens w:val="true"/>
              <w:jc w:val="center"/>
              <w:textAlignment w:val="baseline"/>
              <w:rPr>
                <w:sz w:val="16"/>
                <w:b/>
                <w:sz w:val="16"/>
                <w:b/>
                <w:szCs w:val="16"/>
                <w:rFonts w:ascii="Times New Roman" w:hAnsi="Times New Roman" w:cs="Times New Roman"/>
              </w:rPr>
            </w:pPr>
            <w:r>
              <w:rPr>
                <w:rFonts w:eastAsia="Droid Sans Fallback" w:cs="Times New Roman" w:ascii="Times New Roman" w:hAnsi="Times New Roman"/>
                <w:b/>
                <w:sz w:val="16"/>
                <w:szCs w:val="16"/>
                <w:lang w:eastAsia="zh-CN" w:bidi="hi-IN"/>
              </w:rPr>
              <w:t>CONSELHO DE ENSINO PESQUISA E EXTENSÃO (CONSEPE)</w:t>
            </w:r>
            <w:r/>
          </w:p>
          <w:p>
            <w:pPr>
              <w:pStyle w:val="Cabealho"/>
              <w:widowControl w:val="false"/>
              <w:suppressAutoHyphens w:val="true"/>
              <w:jc w:val="both"/>
              <w:textAlignment w:val="baseline"/>
              <w:rPr>
                <w:sz w:val="24"/>
                <w:sz w:val="24"/>
                <w:rFonts w:ascii="Times New Roman" w:hAnsi="Times New Roman" w:cs="Times New Roman"/>
                <w:color w:val="00000A"/>
                <w:lang w:eastAsia="zh-CN" w:bidi="hi-IN"/>
              </w:rPr>
            </w:pPr>
            <w:r>
              <w:rPr>
                <w:rFonts w:cs="Times New Roman" w:ascii="Times New Roman" w:hAnsi="Times New Roman"/>
                <w:sz w:val="24"/>
                <w:lang w:eastAsia="zh-CN" w:bidi="hi-IN"/>
              </w:rPr>
            </w:r>
            <w:r/>
          </w:p>
        </w:tc>
        <w:tc>
          <w:tcPr>
            <w:tcW w:w="1978" w:type="dxa"/>
            <w:tcBorders>
              <w:top w:val="nil"/>
              <w:left w:val="nil"/>
              <w:bottom w:val="nil"/>
              <w:right w:val="nil"/>
              <w:insideH w:val="nil"/>
              <w:insideV w:val="nil"/>
            </w:tcBorders>
            <w:shd w:color="auto" w:fill="auto" w:val="clear"/>
            <w:vAlign w:val="center"/>
          </w:tcPr>
          <w:p>
            <w:pPr>
              <w:pStyle w:val="Cabealho"/>
              <w:widowControl w:val="false"/>
              <w:suppressAutoHyphens w:val="true"/>
              <w:jc w:val="both"/>
              <w:textAlignment w:val="baseline"/>
              <w:rPr>
                <w:sz w:val="24"/>
                <w:sz w:val="24"/>
                <w:rFonts w:ascii="Times New Roman" w:hAnsi="Times New Roman" w:eastAsia="Droid Sans Fallback" w:cs="Times New Roman"/>
              </w:rPr>
            </w:pPr>
            <w:r>
              <w:rPr>
                <w:szCs w:val="24"/>
                <w:lang w:eastAsia="zh-CN" w:bidi="hi-IN"/>
              </w:rPr>
              <w:drawing>
                <wp:inline distT="0" distB="0" distL="0" distR="0">
                  <wp:extent cx="982345" cy="791210"/>
                  <wp:effectExtent l="0" t="0" r="0" b="0"/>
                  <wp:docPr id="2" name="Picture" descr="logomarca ufvjm 02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descr="logomarca ufvjm 02 pb"/>
                          <pic:cNvPicPr>
                            <a:picLocks noChangeAspect="1" noChangeArrowheads="1"/>
                          </pic:cNvPicPr>
                        </pic:nvPicPr>
                        <pic:blipFill>
                          <a:blip r:embed="rId3"/>
                          <a:stretch>
                            <a:fillRect/>
                          </a:stretch>
                        </pic:blipFill>
                        <pic:spPr bwMode="auto">
                          <a:xfrm>
                            <a:off x="0" y="0"/>
                            <a:ext cx="982345" cy="791210"/>
                          </a:xfrm>
                          <a:prstGeom prst="rect">
                            <a:avLst/>
                          </a:prstGeom>
                          <a:noFill/>
                          <a:ln w="9525">
                            <a:noFill/>
                            <a:miter lim="800000"/>
                            <a:headEnd/>
                            <a:tailEnd/>
                          </a:ln>
                        </pic:spPr>
                      </pic:pic>
                    </a:graphicData>
                  </a:graphic>
                </wp:inline>
              </w:drawing>
            </w:r>
            <w:r/>
          </w:p>
        </w:tc>
      </w:tr>
    </w:tbl>
    <w:p>
      <w:pPr>
        <w:pStyle w:val="Normal"/>
        <w:spacing w:before="60" w:after="60"/>
        <w:jc w:val="center"/>
        <w:rPr>
          <w:sz w:val="24"/>
          <w:b/>
          <w:sz w:val="24"/>
          <w:b/>
          <w:szCs w:val="24"/>
          <w:rFonts w:ascii="Times New Roman" w:hAnsi="Times New Roman" w:cs="Times New Roman"/>
        </w:rPr>
      </w:pPr>
      <w:r>
        <w:rPr>
          <w:rFonts w:cs="Times New Roman" w:ascii="Times New Roman" w:hAnsi="Times New Roman"/>
          <w:b/>
          <w:sz w:val="24"/>
          <w:szCs w:val="24"/>
        </w:rPr>
        <w:t>ANEXO DA RESOLUÇÃO Nº. 11 – CONSEPE, DE 25 DE ABRIL DE 2014.</w:t>
      </w:r>
      <w:r/>
    </w:p>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jc w:val="both"/>
        <w:rPr>
          <w:sz w:val="24"/>
          <w:sz w:val="24"/>
          <w:szCs w:val="24"/>
          <w:rFonts w:ascii="Times New Roman" w:hAnsi="Times New Roman" w:cs="Times New Roman"/>
        </w:rPr>
      </w:pPr>
      <w:r>
        <w:rPr>
          <w:rFonts w:cs="Times New Roman" w:ascii="Times New Roman" w:hAnsi="Times New Roman"/>
          <w:sz w:val="24"/>
          <w:szCs w:val="24"/>
        </w:rPr>
        <w:t>Senhores(as) conselhei</w:t>
      </w:r>
      <w:bookmarkStart w:id="0" w:name="_GoBack"/>
      <w:bookmarkEnd w:id="0"/>
      <w:r>
        <w:rPr>
          <w:rFonts w:cs="Times New Roman" w:ascii="Times New Roman" w:hAnsi="Times New Roman"/>
          <w:sz w:val="24"/>
          <w:szCs w:val="24"/>
        </w:rPr>
        <w:t xml:space="preserve">ros(as) - As adequações aprovadas pelo CPPG nesta resolução foram realizadas da seguinte forma: Texto a ser eliminado está </w:t>
      </w:r>
      <w:r>
        <w:rPr>
          <w:rFonts w:cs="Times New Roman" w:ascii="Times New Roman" w:hAnsi="Times New Roman"/>
          <w:strike/>
          <w:sz w:val="24"/>
          <w:szCs w:val="24"/>
        </w:rPr>
        <w:t>grifado</w:t>
      </w:r>
      <w:r>
        <w:rPr>
          <w:rFonts w:cs="Times New Roman" w:ascii="Times New Roman" w:hAnsi="Times New Roman"/>
          <w:sz w:val="24"/>
          <w:szCs w:val="24"/>
        </w:rPr>
        <w:t xml:space="preserve">; </w:t>
      </w:r>
      <w:r>
        <w:rPr>
          <w:rFonts w:cs="Times New Roman" w:ascii="Times New Roman" w:hAnsi="Times New Roman"/>
          <w:sz w:val="24"/>
          <w:szCs w:val="24"/>
          <w:shd w:fill="FFFF00" w:val="clear"/>
        </w:rPr>
        <w:t>Texto acrescentado/adequado está com realce amarelo</w:t>
      </w:r>
      <w:r/>
    </w:p>
    <w:p>
      <w:pPr>
        <w:pStyle w:val="Normal"/>
        <w:spacing w:before="60" w:after="60"/>
        <w:jc w:val="center"/>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jc w:val="center"/>
        <w:rPr>
          <w:strike/>
          <w:sz w:val="24"/>
          <w:b/>
          <w:sz w:val="24"/>
          <w:b/>
          <w:szCs w:val="24"/>
          <w:rFonts w:ascii="Times New Roman" w:hAnsi="Times New Roman" w:cs="Times New Roman"/>
        </w:rPr>
      </w:pPr>
      <w:r>
        <w:rPr>
          <w:rFonts w:cs="Times New Roman" w:ascii="Times New Roman" w:hAnsi="Times New Roman"/>
          <w:b/>
          <w:strike/>
          <w:sz w:val="24"/>
          <w:szCs w:val="24"/>
        </w:rPr>
        <w:t>REGULAMENTO DO PROGRAMA INSTITUCIONAL DE BOLSAS DE ESTUDOS E</w:t>
      </w:r>
      <w:r/>
    </w:p>
    <w:p>
      <w:pPr>
        <w:pStyle w:val="Normal"/>
        <w:spacing w:before="60" w:after="60"/>
        <w:jc w:val="center"/>
        <w:rPr>
          <w:strike/>
          <w:sz w:val="24"/>
          <w:b/>
          <w:sz w:val="24"/>
          <w:b/>
          <w:szCs w:val="24"/>
          <w:rFonts w:ascii="Times New Roman" w:hAnsi="Times New Roman" w:cs="Times New Roman"/>
        </w:rPr>
      </w:pPr>
      <w:r>
        <w:rPr>
          <w:rFonts w:cs="Times New Roman" w:ascii="Times New Roman" w:hAnsi="Times New Roman"/>
          <w:b/>
          <w:strike/>
          <w:sz w:val="24"/>
          <w:szCs w:val="24"/>
        </w:rPr>
        <w:t>PESQUISAS DE INICIAÇÃO CIENTÍFICA, INICIAÇÃO TECNOLÓGICA E PÓS</w:t>
      </w:r>
      <w:r/>
    </w:p>
    <w:p>
      <w:pPr>
        <w:pStyle w:val="Normal"/>
        <w:spacing w:before="60" w:after="60"/>
        <w:jc w:val="center"/>
        <w:rPr>
          <w:sz w:val="24"/>
          <w:b/>
          <w:sz w:val="24"/>
          <w:b/>
          <w:szCs w:val="24"/>
          <w:rFonts w:ascii="Times New Roman" w:hAnsi="Times New Roman" w:cs="Times New Roman"/>
        </w:rPr>
      </w:pPr>
      <w:r>
        <w:rPr>
          <w:rFonts w:cs="Times New Roman" w:ascii="Times New Roman" w:hAnsi="Times New Roman"/>
          <w:b/>
          <w:strike/>
          <w:sz w:val="24"/>
          <w:szCs w:val="24"/>
        </w:rPr>
        <w:t>GRADUAÇÃO</w:t>
      </w:r>
      <w:r/>
    </w:p>
    <w:p>
      <w:pPr>
        <w:pStyle w:val="Normal"/>
        <w:spacing w:before="60" w:after="60"/>
        <w:jc w:val="both"/>
        <w:rPr>
          <w:sz w:val="24"/>
          <w:b/>
          <w:sz w:val="24"/>
          <w:b/>
          <w:szCs w:val="24"/>
          <w:rFonts w:ascii="Times New Roman" w:hAnsi="Times New Roman" w:cs="Times New Roman"/>
        </w:rPr>
      </w:pPr>
      <w:r>
        <w:rPr>
          <w:rFonts w:cs="Times New Roman" w:ascii="Times New Roman" w:hAnsi="Times New Roman"/>
          <w:b/>
          <w:sz w:val="24"/>
          <w:szCs w:val="24"/>
          <w:shd w:fill="FFFF00" w:val="clear"/>
        </w:rPr>
        <w:t>REGULAMENTO DO PROGRAMA INSTITUCIONAL DE BOLSAS DE ESTUDOS E PESQUISAS DE INICIAÇÃO CIENTÍFICA, INICIAÇÃO TECNOLÓGICA E PÓS-GRADUAÇÃO CONCEDIDAS COM RECURSOS PRÓPRIOS, DE EMPRESAS PRIVADAS OUDE AGÊNCIAS DE FOMENTO PÚBLICAS OU PRIVADAS</w:t>
      </w:r>
      <w:r/>
    </w:p>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b/>
          <w:sz w:val="24"/>
          <w:szCs w:val="24"/>
        </w:rPr>
        <w:t>Art. 1º</w:t>
      </w:r>
      <w:r>
        <w:rPr>
          <w:rFonts w:cs="Times New Roman" w:ascii="Times New Roman" w:hAnsi="Times New Roman"/>
          <w:sz w:val="24"/>
          <w:szCs w:val="24"/>
        </w:rPr>
        <w:t xml:space="preserve"> O Programa Institucional de Bolsas de Estudos e Pesquisas para graduação e pós-graduação da Universidade Federal dos Vales do Jequitinhonha e Mucuri – UFVJM destina-se ao oferecimento de Bolsas de estudos e de pesquisa a discentes da UFVJM vinculados a cursos de graduação ou pós-graduação desta IFES e </w:t>
      </w:r>
      <w:r>
        <w:rPr>
          <w:rFonts w:cs="Times New Roman" w:ascii="Times New Roman" w:hAnsi="Times New Roman"/>
          <w:sz w:val="24"/>
          <w:szCs w:val="24"/>
          <w:u w:val="single"/>
          <w:shd w:fill="FFFF00" w:val="clear"/>
        </w:rPr>
        <w:t>a</w:t>
      </w:r>
      <w:r>
        <w:rPr>
          <w:rFonts w:cs="Times New Roman" w:ascii="Times New Roman" w:hAnsi="Times New Roman"/>
          <w:sz w:val="24"/>
          <w:szCs w:val="24"/>
        </w:rPr>
        <w:t xml:space="preserve"> estudantes do ensino médio.</w:t>
      </w:r>
      <w:r/>
    </w:p>
    <w:p>
      <w:pPr>
        <w:pStyle w:val="Normal"/>
        <w:spacing w:before="60" w:after="60"/>
        <w:ind w:firstLine="708"/>
        <w:jc w:val="both"/>
        <w:rPr>
          <w:strike/>
          <w:sz w:val="24"/>
          <w:sz w:val="24"/>
          <w:szCs w:val="24"/>
          <w:rFonts w:ascii="Times New Roman" w:hAnsi="Times New Roman" w:cs="Times New Roman"/>
        </w:rPr>
      </w:pPr>
      <w:r>
        <w:rPr>
          <w:rFonts w:cs="Times New Roman" w:ascii="Times New Roman" w:hAnsi="Times New Roman"/>
          <w:b/>
          <w:strike/>
          <w:sz w:val="24"/>
          <w:szCs w:val="24"/>
        </w:rPr>
        <w:t>Parágrafo único</w:t>
      </w:r>
      <w:r>
        <w:rPr>
          <w:rFonts w:cs="Times New Roman" w:ascii="Times New Roman" w:hAnsi="Times New Roman"/>
          <w:strike/>
          <w:sz w:val="24"/>
          <w:szCs w:val="24"/>
        </w:rPr>
        <w:t xml:space="preserve"> – A PRPPG adotará critérios diferenciados para as bolsas </w:t>
      </w:r>
      <w:r>
        <w:rPr>
          <w:rFonts w:cs="Times New Roman" w:ascii="Times New Roman" w:hAnsi="Times New Roman"/>
          <w:b/>
          <w:strike/>
          <w:sz w:val="24"/>
          <w:szCs w:val="24"/>
        </w:rPr>
        <w:t>de iniciação</w:t>
      </w:r>
      <w:r>
        <w:rPr>
          <w:rFonts w:cs="Times New Roman" w:ascii="Times New Roman" w:hAnsi="Times New Roman"/>
          <w:strike/>
          <w:sz w:val="24"/>
          <w:szCs w:val="24"/>
        </w:rPr>
        <w:t xml:space="preserve"> </w:t>
      </w:r>
      <w:r>
        <w:rPr>
          <w:rFonts w:cs="Times New Roman" w:ascii="Times New Roman" w:hAnsi="Times New Roman"/>
          <w:b/>
          <w:strike/>
          <w:sz w:val="24"/>
          <w:szCs w:val="24"/>
        </w:rPr>
        <w:t>científica, iniciação tecnológica</w:t>
      </w:r>
      <w:r>
        <w:rPr>
          <w:rFonts w:cs="Times New Roman" w:ascii="Times New Roman" w:hAnsi="Times New Roman"/>
          <w:strike/>
          <w:sz w:val="24"/>
          <w:szCs w:val="24"/>
        </w:rPr>
        <w:t xml:space="preserve"> e pós-graduação, sendo as duas primeiras regulamentadas por editais próprios e a ultima por meio de cotas destinadas diretamente aos seus programas de pós-graduação stricto sensu.</w:t>
      </w:r>
      <w:r/>
    </w:p>
    <w:p>
      <w:pPr>
        <w:pStyle w:val="Normal"/>
        <w:spacing w:before="60" w:after="60"/>
        <w:ind w:firstLine="708"/>
        <w:jc w:val="both"/>
        <w:rPr>
          <w:sz w:val="24"/>
          <w:shd w:fill="FFFF00" w:val="clear"/>
          <w:sz w:val="24"/>
          <w:szCs w:val="24"/>
          <w:rFonts w:ascii="Times New Roman" w:hAnsi="Times New Roman" w:cs="Times New Roman"/>
        </w:rPr>
      </w:pPr>
      <w:r>
        <w:rPr>
          <w:rFonts w:cs="Times New Roman" w:ascii="Times New Roman" w:hAnsi="Times New Roman"/>
          <w:b/>
          <w:sz w:val="24"/>
          <w:szCs w:val="24"/>
          <w:shd w:fill="FFFF00" w:val="clear"/>
        </w:rPr>
        <w:t>§ 1º</w:t>
      </w:r>
      <w:r>
        <w:rPr>
          <w:rFonts w:cs="Times New Roman" w:ascii="Times New Roman" w:hAnsi="Times New Roman"/>
          <w:sz w:val="24"/>
          <w:szCs w:val="24"/>
          <w:shd w:fill="FFFF00" w:val="clear"/>
        </w:rPr>
        <w:t xml:space="preserve"> A PRPPG adotará critérios diferenciados para as bolsas de iniciação científica, iniciação tecnológica e pós-graduação, sendo as duas primeiras regulamentadas por editais próprios e a última por meio de cotas destinadas diretamente aos seus programas de pós-graduação </w:t>
      </w:r>
      <w:r>
        <w:rPr>
          <w:rFonts w:cs="Times New Roman" w:ascii="Times New Roman" w:hAnsi="Times New Roman"/>
          <w:b/>
          <w:i/>
          <w:sz w:val="24"/>
          <w:szCs w:val="24"/>
          <w:shd w:fill="FFFF00" w:val="clear"/>
        </w:rPr>
        <w:t>stricto sensu</w:t>
      </w:r>
      <w:r>
        <w:rPr>
          <w:rFonts w:cs="Times New Roman" w:ascii="Times New Roman" w:hAnsi="Times New Roman"/>
          <w:sz w:val="24"/>
          <w:szCs w:val="24"/>
          <w:shd w:fill="FFFF00" w:val="clear"/>
        </w:rPr>
        <w:t>.</w:t>
      </w:r>
      <w:r/>
    </w:p>
    <w:p>
      <w:pPr>
        <w:pStyle w:val="Normal"/>
        <w:spacing w:before="60" w:after="60"/>
        <w:ind w:firstLine="708"/>
        <w:jc w:val="both"/>
        <w:rPr>
          <w:sz w:val="24"/>
          <w:shd w:fill="FFFF00" w:val="clear"/>
          <w:sz w:val="24"/>
          <w:szCs w:val="24"/>
          <w:rFonts w:ascii="Times New Roman" w:hAnsi="Times New Roman" w:cs="Times New Roman"/>
        </w:rPr>
      </w:pPr>
      <w:r>
        <w:rPr>
          <w:rFonts w:cs="Times New Roman" w:ascii="Times New Roman" w:hAnsi="Times New Roman"/>
          <w:b/>
          <w:sz w:val="24"/>
          <w:szCs w:val="24"/>
          <w:shd w:fill="FFFF00" w:val="clear"/>
        </w:rPr>
        <w:t>§ 2º</w:t>
      </w:r>
      <w:r>
        <w:rPr>
          <w:rFonts w:cs="Times New Roman" w:ascii="Times New Roman" w:hAnsi="Times New Roman"/>
          <w:sz w:val="24"/>
          <w:szCs w:val="24"/>
          <w:shd w:fill="FFFF00" w:val="clear"/>
        </w:rPr>
        <w:t xml:space="preserve"> As bolsas concedidas por agências de fomento públicas ou privadas ou por empresas públicas ou privadas estão sujeitas às mesmas regras que as bolsas concedidas com recursos próprios da UFVJM.</w:t>
      </w:r>
      <w:r/>
    </w:p>
    <w:p>
      <w:pPr>
        <w:pStyle w:val="Normal"/>
        <w:spacing w:before="60" w:after="60"/>
        <w:ind w:firstLine="708"/>
        <w:jc w:val="both"/>
        <w:rPr>
          <w:sz w:val="24"/>
          <w:shd w:fill="FFFF00" w:val="clear"/>
          <w:sz w:val="24"/>
          <w:szCs w:val="24"/>
          <w:rFonts w:ascii="Times New Roman" w:hAnsi="Times New Roman" w:cs="Times New Roman"/>
        </w:rPr>
      </w:pPr>
      <w:r>
        <w:rPr>
          <w:rFonts w:cs="Times New Roman" w:ascii="Times New Roman" w:hAnsi="Times New Roman"/>
          <w:b/>
          <w:sz w:val="24"/>
          <w:szCs w:val="24"/>
          <w:shd w:fill="FFFF00" w:val="clear"/>
        </w:rPr>
        <w:t>§ 3º</w:t>
      </w:r>
      <w:r>
        <w:rPr>
          <w:rFonts w:cs="Times New Roman" w:ascii="Times New Roman" w:hAnsi="Times New Roman"/>
          <w:sz w:val="24"/>
          <w:szCs w:val="24"/>
          <w:shd w:fill="FFFF00" w:val="clear"/>
        </w:rPr>
        <w:t xml:space="preserve"> Não será concedida bolsa de estudos a discente que possua vínculo empregatício e que receba remuneração mensal igual ou superior ao valor da respectiva bolsa.</w:t>
      </w:r>
      <w:r/>
    </w:p>
    <w:p>
      <w:pPr>
        <w:pStyle w:val="Normal"/>
        <w:spacing w:before="60" w:after="60"/>
        <w:ind w:firstLine="708"/>
        <w:jc w:val="both"/>
        <w:rPr>
          <w:sz w:val="24"/>
          <w:shd w:fill="FFFF00" w:val="clear"/>
          <w:sz w:val="24"/>
          <w:szCs w:val="24"/>
          <w:rFonts w:ascii="Times New Roman" w:hAnsi="Times New Roman" w:cs="Times New Roman"/>
        </w:rPr>
      </w:pPr>
      <w:r>
        <w:rPr>
          <w:rFonts w:cs="Times New Roman" w:ascii="Times New Roman" w:hAnsi="Times New Roman"/>
          <w:b/>
          <w:sz w:val="24"/>
          <w:szCs w:val="24"/>
          <w:shd w:fill="FFFF00" w:val="clear"/>
        </w:rPr>
        <w:t>§ 4º</w:t>
      </w:r>
      <w:r>
        <w:rPr>
          <w:rFonts w:cs="Times New Roman" w:ascii="Times New Roman" w:hAnsi="Times New Roman"/>
          <w:sz w:val="24"/>
          <w:szCs w:val="24"/>
          <w:shd w:fill="FFFF00" w:val="clear"/>
        </w:rPr>
        <w:t xml:space="preserve"> Ao discente que receba remuneração mensal inferior ao valor da respectiva bolsa de estudos poderá, a critério do CPPG, receber uma complementação até atingir o valor igual ao da respectiva bolsa de estudos.</w:t>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b/>
          <w:sz w:val="24"/>
          <w:szCs w:val="24"/>
          <w:shd w:fill="FFFF00" w:val="clear"/>
        </w:rPr>
        <w:t>§ 5º</w:t>
      </w:r>
      <w:r>
        <w:rPr>
          <w:rFonts w:cs="Times New Roman" w:ascii="Times New Roman" w:hAnsi="Times New Roman"/>
          <w:sz w:val="24"/>
          <w:szCs w:val="24"/>
          <w:shd w:fill="FFFF00" w:val="clear"/>
        </w:rPr>
        <w:t xml:space="preserve"> O discente que receber bolsa de estudos por pelo menos um mês fica obrigado a defender o trabalho de conclusão de curso de mestrado ou de doutorado, conforme o caso, e em acordo com o Regulamento Geral dos Programas de Pós-graduação da UFVJM e em acordo com o Regimento Interno do Programa de Pós-graduação em que está matriculado.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jc w:val="center"/>
        <w:rPr>
          <w:sz w:val="24"/>
          <w:b/>
          <w:sz w:val="24"/>
          <w:b/>
          <w:szCs w:val="24"/>
          <w:rFonts w:ascii="Times New Roman" w:hAnsi="Times New Roman" w:cs="Times New Roman"/>
        </w:rPr>
      </w:pPr>
      <w:r>
        <w:rPr>
          <w:rFonts w:cs="Times New Roman" w:ascii="Times New Roman" w:hAnsi="Times New Roman"/>
          <w:b/>
          <w:sz w:val="24"/>
          <w:szCs w:val="24"/>
        </w:rPr>
        <w:t>CAPÍTULO I</w:t>
      </w:r>
      <w:r/>
    </w:p>
    <w:p>
      <w:pPr>
        <w:pStyle w:val="Normal"/>
        <w:spacing w:before="60" w:after="60"/>
        <w:jc w:val="center"/>
        <w:rPr>
          <w:sz w:val="24"/>
          <w:b/>
          <w:sz w:val="24"/>
          <w:b/>
          <w:szCs w:val="24"/>
          <w:rFonts w:ascii="Times New Roman" w:hAnsi="Times New Roman" w:cs="Times New Roman"/>
        </w:rPr>
      </w:pPr>
      <w:r>
        <w:rPr>
          <w:rFonts w:cs="Times New Roman" w:ascii="Times New Roman" w:hAnsi="Times New Roman"/>
          <w:b/>
          <w:sz w:val="24"/>
          <w:szCs w:val="24"/>
        </w:rPr>
        <w:t>DOS OBJETIVOS</w:t>
      </w:r>
      <w:r/>
    </w:p>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b/>
          <w:sz w:val="24"/>
          <w:szCs w:val="24"/>
        </w:rPr>
        <w:t>Art. 2º</w:t>
      </w:r>
      <w:r>
        <w:rPr>
          <w:rFonts w:cs="Times New Roman" w:ascii="Times New Roman" w:hAnsi="Times New Roman"/>
          <w:sz w:val="24"/>
          <w:szCs w:val="24"/>
        </w:rPr>
        <w:t xml:space="preserve"> São objetivos do programa de concessão de bolsas:</w:t>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sz w:val="24"/>
          <w:szCs w:val="24"/>
        </w:rPr>
        <w:t xml:space="preserve">I – estimular a participação de estudantes do ensino médio, da comunidade acadêmica da </w:t>
      </w:r>
      <w:r/>
    </w:p>
    <w:p>
      <w:pPr>
        <w:pStyle w:val="Normal"/>
        <w:spacing w:before="60" w:after="60"/>
        <w:jc w:val="both"/>
        <w:rPr>
          <w:sz w:val="24"/>
          <w:sz w:val="24"/>
          <w:szCs w:val="24"/>
          <w:rFonts w:ascii="Times New Roman" w:hAnsi="Times New Roman" w:cs="Times New Roman"/>
        </w:rPr>
      </w:pPr>
      <w:r>
        <w:rPr>
          <w:rFonts w:cs="Times New Roman" w:ascii="Times New Roman" w:hAnsi="Times New Roman"/>
          <w:sz w:val="24"/>
          <w:szCs w:val="24"/>
        </w:rPr>
        <w:t>graduação e pós-graduação em ações de pesquisa;</w:t>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sz w:val="24"/>
          <w:szCs w:val="24"/>
        </w:rPr>
        <w:t>II – possibilitar ao discente da graduação participação em projetos de pesquisa devidamente cadastrados na Diretoria de Pesquisa e coordenados por docentes da UFVJM;</w:t>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sz w:val="24"/>
          <w:szCs w:val="24"/>
        </w:rPr>
        <w:t>III – apoiar o discente da pós-graduação regularmente matriculado em cursos stricto sensu;</w:t>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sz w:val="24"/>
          <w:szCs w:val="24"/>
        </w:rPr>
        <w:t>IV – contribuir para a formação discente na graduação e aperfeiçoamento superior;</w:t>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sz w:val="24"/>
          <w:szCs w:val="24"/>
        </w:rPr>
        <w:t>V – qualificar os discentes beneficiários, tornando-os capacitados para os desafios da pesquisa aos níveis de graduação e pós-graduação;</w:t>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sz w:val="24"/>
          <w:szCs w:val="24"/>
        </w:rPr>
        <w:t xml:space="preserve">VI-integrar os programas de pós-graduação com os alunos da educação básica. </w:t>
      </w:r>
      <w:r/>
    </w:p>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jc w:val="center"/>
        <w:rPr>
          <w:sz w:val="24"/>
          <w:b/>
          <w:sz w:val="24"/>
          <w:b/>
          <w:szCs w:val="24"/>
          <w:rFonts w:ascii="Times New Roman" w:hAnsi="Times New Roman" w:cs="Times New Roman"/>
        </w:rPr>
      </w:pPr>
      <w:r>
        <w:rPr>
          <w:rFonts w:cs="Times New Roman" w:ascii="Times New Roman" w:hAnsi="Times New Roman"/>
          <w:b/>
          <w:sz w:val="24"/>
          <w:szCs w:val="24"/>
        </w:rPr>
        <w:t>CAPÍTULO II</w:t>
      </w:r>
      <w:r/>
    </w:p>
    <w:p>
      <w:pPr>
        <w:pStyle w:val="Normal"/>
        <w:spacing w:before="60" w:after="60"/>
        <w:jc w:val="center"/>
        <w:rPr>
          <w:sz w:val="24"/>
          <w:b/>
          <w:sz w:val="24"/>
          <w:b/>
          <w:szCs w:val="24"/>
          <w:rFonts w:ascii="Times New Roman" w:hAnsi="Times New Roman" w:cs="Times New Roman"/>
        </w:rPr>
      </w:pPr>
      <w:r>
        <w:rPr>
          <w:rFonts w:cs="Times New Roman" w:ascii="Times New Roman" w:hAnsi="Times New Roman"/>
          <w:b/>
          <w:sz w:val="24"/>
          <w:szCs w:val="24"/>
        </w:rPr>
        <w:t>DA COORDENAÇÃO</w:t>
      </w:r>
      <w:r/>
    </w:p>
    <w:p>
      <w:pPr>
        <w:pStyle w:val="Normal"/>
        <w:spacing w:before="60" w:after="60"/>
        <w:jc w:val="both"/>
        <w:rPr>
          <w:sz w:val="24"/>
          <w:b/>
          <w:sz w:val="24"/>
          <w:b/>
          <w:szCs w:val="24"/>
          <w:rFonts w:ascii="Times New Roman" w:hAnsi="Times New Roman" w:cs="Times New Roman"/>
          <w:color w:val="00000A"/>
        </w:rPr>
      </w:pPr>
      <w:r>
        <w:rPr>
          <w:rFonts w:cs="Times New Roman" w:ascii="Times New Roman" w:hAnsi="Times New Roman"/>
          <w:b/>
          <w:sz w:val="24"/>
          <w:szCs w:val="24"/>
        </w:rPr>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b/>
          <w:sz w:val="24"/>
          <w:szCs w:val="24"/>
        </w:rPr>
        <w:t>Art. 3º</w:t>
      </w:r>
      <w:r>
        <w:rPr>
          <w:rFonts w:cs="Times New Roman" w:ascii="Times New Roman" w:hAnsi="Times New Roman"/>
          <w:sz w:val="24"/>
          <w:szCs w:val="24"/>
        </w:rPr>
        <w:t xml:space="preserve"> O Programa de bolsas de estudos e pesquisas será coordenado pela Pró-Reitoria de Pesquisa e Pós-Graduação -PRPPG da UFVJM.</w:t>
      </w:r>
      <w:r/>
    </w:p>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jc w:val="center"/>
        <w:rPr>
          <w:sz w:val="24"/>
          <w:b/>
          <w:sz w:val="24"/>
          <w:b/>
          <w:szCs w:val="24"/>
          <w:rFonts w:ascii="Times New Roman" w:hAnsi="Times New Roman" w:cs="Times New Roman"/>
        </w:rPr>
      </w:pPr>
      <w:r>
        <w:rPr>
          <w:rFonts w:cs="Times New Roman" w:ascii="Times New Roman" w:hAnsi="Times New Roman"/>
          <w:b/>
          <w:sz w:val="24"/>
          <w:szCs w:val="24"/>
        </w:rPr>
        <w:t>CAPÍTULO III</w:t>
      </w:r>
      <w:r/>
    </w:p>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jc w:val="center"/>
        <w:rPr>
          <w:sz w:val="24"/>
          <w:b/>
          <w:sz w:val="24"/>
          <w:b/>
          <w:szCs w:val="24"/>
          <w:rFonts w:ascii="Times New Roman" w:hAnsi="Times New Roman" w:cs="Times New Roman"/>
        </w:rPr>
      </w:pPr>
      <w:r>
        <w:rPr>
          <w:rFonts w:cs="Times New Roman" w:ascii="Times New Roman" w:hAnsi="Times New Roman"/>
          <w:b/>
          <w:sz w:val="24"/>
          <w:szCs w:val="24"/>
        </w:rPr>
        <w:t>DAS BOLSAS PARA ALUNOS DO ENSINO MÉDIO E DA GRADUAÇÃO</w:t>
      </w:r>
      <w:r/>
    </w:p>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b/>
          <w:sz w:val="24"/>
          <w:szCs w:val="24"/>
        </w:rPr>
        <w:t>Art. 4º</w:t>
      </w:r>
      <w:r>
        <w:rPr>
          <w:rFonts w:cs="Times New Roman" w:ascii="Times New Roman" w:hAnsi="Times New Roman"/>
          <w:sz w:val="24"/>
          <w:szCs w:val="24"/>
        </w:rPr>
        <w:t xml:space="preserve"> As bolsas de iniciação científica e iniciação tecnológica serão oferecidas por meio de editais divulgados pela PRPPG, normatizados pela Comissão de Iniciação Científica e Tecnológica – CICT.</w:t>
      </w:r>
      <w:r/>
    </w:p>
    <w:p>
      <w:pPr>
        <w:pStyle w:val="Normal"/>
        <w:spacing w:before="60" w:after="60"/>
        <w:ind w:firstLine="708"/>
        <w:jc w:val="both"/>
        <w:rPr>
          <w:sz w:val="24"/>
          <w:b/>
          <w:sz w:val="24"/>
          <w:b/>
          <w:szCs w:val="24"/>
          <w:rFonts w:ascii="Times New Roman" w:hAnsi="Times New Roman" w:cs="Times New Roman"/>
          <w:color w:val="00000A"/>
        </w:rPr>
      </w:pPr>
      <w:r>
        <w:rPr>
          <w:rFonts w:cs="Times New Roman" w:ascii="Times New Roman" w:hAnsi="Times New Roman"/>
          <w:b/>
          <w:sz w:val="24"/>
          <w:szCs w:val="24"/>
        </w:rPr>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b/>
          <w:sz w:val="24"/>
          <w:szCs w:val="24"/>
        </w:rPr>
        <w:t>Art. 5º</w:t>
      </w:r>
      <w:r>
        <w:rPr>
          <w:rFonts w:cs="Times New Roman" w:ascii="Times New Roman" w:hAnsi="Times New Roman"/>
          <w:sz w:val="24"/>
          <w:szCs w:val="24"/>
        </w:rPr>
        <w:t xml:space="preserve"> As cotas de bolsas serão concedidas a docentes efetivos da UFVJM, que indicarão os alunos regularmente matriculados no ensino médio e em cursos de graduação da UFVJM, de acordo com as diretrizes dos editais específicos.</w:t>
      </w:r>
      <w:r/>
    </w:p>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jc w:val="center"/>
        <w:rPr>
          <w:sz w:val="24"/>
          <w:b/>
          <w:sz w:val="24"/>
          <w:b/>
          <w:szCs w:val="24"/>
          <w:rFonts w:ascii="Times New Roman" w:hAnsi="Times New Roman" w:cs="Times New Roman"/>
        </w:rPr>
      </w:pPr>
      <w:r>
        <w:rPr>
          <w:rFonts w:cs="Times New Roman" w:ascii="Times New Roman" w:hAnsi="Times New Roman"/>
          <w:b/>
          <w:sz w:val="24"/>
          <w:szCs w:val="24"/>
        </w:rPr>
        <w:t>CAPÍTULO IV</w:t>
      </w:r>
      <w:r/>
    </w:p>
    <w:p>
      <w:pPr>
        <w:pStyle w:val="Normal"/>
        <w:spacing w:before="60" w:after="60"/>
        <w:jc w:val="center"/>
        <w:rPr>
          <w:sz w:val="24"/>
          <w:b/>
          <w:sz w:val="24"/>
          <w:b/>
          <w:szCs w:val="24"/>
          <w:rFonts w:ascii="Times New Roman" w:hAnsi="Times New Roman" w:cs="Times New Roman"/>
        </w:rPr>
      </w:pPr>
      <w:r>
        <w:rPr>
          <w:rFonts w:cs="Times New Roman" w:ascii="Times New Roman" w:hAnsi="Times New Roman"/>
          <w:b/>
          <w:sz w:val="24"/>
          <w:szCs w:val="24"/>
        </w:rPr>
        <w:t>DAS BOLSAS PARA ALUNOS DA PÓS-GRADUAÇÃO</w:t>
      </w:r>
      <w:r/>
    </w:p>
    <w:p>
      <w:pPr>
        <w:pStyle w:val="Normal"/>
        <w:spacing w:before="60" w:after="60"/>
        <w:jc w:val="both"/>
        <w:rPr>
          <w:sz w:val="24"/>
          <w:b/>
          <w:sz w:val="24"/>
          <w:b/>
          <w:szCs w:val="24"/>
          <w:rFonts w:ascii="Times New Roman" w:hAnsi="Times New Roman" w:cs="Times New Roman"/>
          <w:color w:val="00000A"/>
        </w:rPr>
      </w:pPr>
      <w:r>
        <w:rPr>
          <w:rFonts w:cs="Times New Roman" w:ascii="Times New Roman" w:hAnsi="Times New Roman"/>
          <w:b/>
          <w:sz w:val="24"/>
          <w:szCs w:val="24"/>
        </w:rPr>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b/>
          <w:sz w:val="24"/>
          <w:szCs w:val="24"/>
        </w:rPr>
        <w:t>Art. 6º</w:t>
      </w:r>
      <w:r>
        <w:rPr>
          <w:rFonts w:cs="Times New Roman" w:ascii="Times New Roman" w:hAnsi="Times New Roman"/>
          <w:sz w:val="24"/>
          <w:szCs w:val="24"/>
        </w:rPr>
        <w:t xml:space="preserve"> As bolsas de pós-graduação serão concedidas a alunos regularmente matriculados em cursos de pós-graduação stricto sensu da UFVJM que não possuem vínculo empregatício.</w:t>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b/>
          <w:sz w:val="24"/>
          <w:szCs w:val="24"/>
        </w:rPr>
        <w:t>Parágrafo único</w:t>
      </w:r>
      <w:r>
        <w:rPr>
          <w:rFonts w:cs="Times New Roman" w:ascii="Times New Roman" w:hAnsi="Times New Roman"/>
          <w:sz w:val="24"/>
          <w:szCs w:val="24"/>
        </w:rPr>
        <w:t xml:space="preserve"> O aluno que possuir vínculo empregatício e estiver liberado das atividades profissionais e sem a percepção de vencimento fará jus a bolsa.</w:t>
      </w:r>
      <w:r/>
    </w:p>
    <w:p>
      <w:pPr>
        <w:pStyle w:val="Normal"/>
        <w:spacing w:before="60" w:after="60"/>
        <w:ind w:firstLine="708"/>
        <w:jc w:val="both"/>
        <w:rPr>
          <w:sz w:val="24"/>
          <w:b/>
          <w:sz w:val="24"/>
          <w:b/>
          <w:szCs w:val="24"/>
          <w:rFonts w:ascii="Times New Roman" w:hAnsi="Times New Roman" w:cs="Times New Roman"/>
          <w:color w:val="00000A"/>
        </w:rPr>
      </w:pPr>
      <w:r>
        <w:rPr>
          <w:rFonts w:cs="Times New Roman" w:ascii="Times New Roman" w:hAnsi="Times New Roman"/>
          <w:b/>
          <w:sz w:val="24"/>
          <w:szCs w:val="24"/>
        </w:rPr>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b/>
          <w:sz w:val="24"/>
          <w:szCs w:val="24"/>
        </w:rPr>
        <w:t>Art. 7º</w:t>
      </w:r>
      <w:r>
        <w:rPr>
          <w:rFonts w:cs="Times New Roman" w:ascii="Times New Roman" w:hAnsi="Times New Roman"/>
          <w:sz w:val="24"/>
          <w:szCs w:val="24"/>
        </w:rPr>
        <w:t xml:space="preserve"> Os valores das bolsas de mestrado e doutorado serão determinados por ocasião do </w:t>
      </w:r>
      <w:r/>
    </w:p>
    <w:p>
      <w:pPr>
        <w:pStyle w:val="Normal"/>
        <w:spacing w:before="60" w:after="60"/>
        <w:jc w:val="both"/>
        <w:rPr>
          <w:sz w:val="24"/>
          <w:sz w:val="24"/>
          <w:szCs w:val="24"/>
          <w:rFonts w:ascii="Times New Roman" w:hAnsi="Times New Roman" w:cs="Times New Roman"/>
        </w:rPr>
      </w:pPr>
      <w:r>
        <w:rPr>
          <w:rFonts w:cs="Times New Roman" w:ascii="Times New Roman" w:hAnsi="Times New Roman"/>
          <w:sz w:val="24"/>
          <w:szCs w:val="24"/>
        </w:rPr>
        <w:t>planejamento anual institucional, tendo como referência os valores praticados pela CAPES.</w:t>
      </w:r>
      <w:r/>
    </w:p>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b/>
          <w:sz w:val="24"/>
          <w:szCs w:val="24"/>
        </w:rPr>
        <w:t>Art. 8º</w:t>
      </w:r>
      <w:r>
        <w:rPr>
          <w:rFonts w:cs="Times New Roman" w:ascii="Times New Roman" w:hAnsi="Times New Roman"/>
          <w:sz w:val="24"/>
          <w:szCs w:val="24"/>
        </w:rPr>
        <w:t xml:space="preserve"> As cotas de bolsas serão repassadas às coordenações dos cursos de pós-graduação stricto sensu, semestralmente, que procederão à distribuição por meio de comissão própria de bolsas ou do seu respectivo colegiado.</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b/>
          <w:sz w:val="24"/>
          <w:szCs w:val="24"/>
        </w:rPr>
        <w:t>Art. 9º</w:t>
      </w:r>
      <w:r>
        <w:rPr>
          <w:rFonts w:cs="Times New Roman" w:ascii="Times New Roman" w:hAnsi="Times New Roman"/>
          <w:sz w:val="24"/>
          <w:szCs w:val="24"/>
        </w:rPr>
        <w:t xml:space="preserve"> O número total de cotas de bolsas repassadas pela PRPPG a cada programa levará em consideração:</w:t>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sz w:val="24"/>
          <w:szCs w:val="24"/>
        </w:rPr>
        <w:t>I – Recursos institucionais disponíveis;</w:t>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sz w:val="24"/>
          <w:szCs w:val="24"/>
        </w:rPr>
        <w:t>II – Número total de Programas de Pós-Graduação stricto sensu;</w:t>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sz w:val="24"/>
          <w:szCs w:val="24"/>
        </w:rPr>
        <w:t>III – Número total de alunos, sem vínculo empregatício, matriculados por curso;</w:t>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sz w:val="24"/>
          <w:szCs w:val="24"/>
        </w:rPr>
        <w:t xml:space="preserve">IV – Cotas da CAPES ou outras instituições públicas de fomento já destinadas ao programa. </w:t>
      </w:r>
      <w:r/>
    </w:p>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ind w:firstLine="708"/>
        <w:jc w:val="both"/>
        <w:rPr>
          <w:strike/>
          <w:sz w:val="24"/>
          <w:b/>
          <w:sz w:val="24"/>
          <w:b/>
          <w:szCs w:val="24"/>
          <w:rFonts w:ascii="Times New Roman" w:hAnsi="Times New Roman" w:cs="Times New Roman"/>
        </w:rPr>
      </w:pPr>
      <w:r>
        <w:rPr>
          <w:rFonts w:cs="Times New Roman" w:ascii="Times New Roman" w:hAnsi="Times New Roman"/>
          <w:b/>
          <w:strike/>
          <w:sz w:val="24"/>
          <w:szCs w:val="24"/>
        </w:rPr>
        <w:t>Art. 10</w:t>
      </w:r>
      <w:r>
        <w:rPr>
          <w:rFonts w:cs="Times New Roman" w:ascii="Times New Roman" w:hAnsi="Times New Roman"/>
          <w:strike/>
          <w:sz w:val="24"/>
          <w:szCs w:val="24"/>
        </w:rPr>
        <w:t xml:space="preserve"> O aluno bolsista da cota institucional será obrigado a apresentar termo de compromisso do bolsista constante no ANEXO I dessa resolução que deverá ser assinado pelo discente beneficiário da bolsa e pelo coordenador do Programa de Pós-Graduação stricto sensu a ele vinculado.</w:t>
      </w:r>
      <w:r/>
    </w:p>
    <w:p>
      <w:pPr>
        <w:pStyle w:val="Normal"/>
        <w:spacing w:lineRule="auto" w:line="240" w:before="0" w:after="0"/>
        <w:ind w:firstLine="708"/>
        <w:jc w:val="both"/>
        <w:rPr>
          <w:sz w:val="24"/>
          <w:sz w:val="24"/>
          <w:szCs w:val="24"/>
          <w:rFonts w:ascii="Times New Roman" w:hAnsi="Times New Roman" w:cs="Times New Roman"/>
          <w:color w:val="00000A"/>
        </w:rPr>
      </w:pPr>
      <w:r>
        <w:rPr>
          <w:rFonts w:cs="Times New Roman" w:ascii="Times New Roman" w:hAnsi="Times New Roman"/>
          <w:b/>
          <w:color w:val="00000A"/>
          <w:sz w:val="24"/>
          <w:szCs w:val="24"/>
          <w:shd w:fill="FFFF00" w:val="clear"/>
        </w:rPr>
        <w:t>Art. 10</w:t>
      </w:r>
      <w:r>
        <w:rPr>
          <w:rFonts w:cs="Times New Roman" w:ascii="Times New Roman" w:hAnsi="Times New Roman"/>
          <w:color w:val="00000A"/>
          <w:sz w:val="24"/>
          <w:szCs w:val="24"/>
          <w:shd w:fill="FFFF00" w:val="clear"/>
        </w:rPr>
        <w:t xml:space="preserve"> O aluno bolsista será obrigado a apresentar termo de compromisso do bolsista constante no ANEXO I dessa resolução assinado pelo discente beneficiário da bolsa, pelo coordenador do Programa de Pós-Graduação </w:t>
      </w:r>
      <w:r>
        <w:rPr>
          <w:rFonts w:cs="Times New Roman" w:ascii="Times New Roman" w:hAnsi="Times New Roman"/>
          <w:b/>
          <w:bCs/>
          <w:i/>
          <w:iCs/>
          <w:color w:val="00000A"/>
          <w:sz w:val="24"/>
          <w:szCs w:val="24"/>
          <w:shd w:fill="FFFF00" w:val="clear"/>
        </w:rPr>
        <w:t xml:space="preserve">stricto sensu </w:t>
      </w:r>
      <w:r>
        <w:rPr>
          <w:rFonts w:cs="Times New Roman" w:ascii="Times New Roman" w:hAnsi="Times New Roman"/>
          <w:color w:val="00000A"/>
          <w:sz w:val="24"/>
          <w:szCs w:val="24"/>
          <w:shd w:fill="FFFF00" w:val="clear"/>
        </w:rPr>
        <w:t>ao qual o discente está vinculado e pelo orientador do discente beneficiário da bolsa.</w:t>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b/>
          <w:sz w:val="24"/>
          <w:szCs w:val="24"/>
        </w:rPr>
        <w:t>Parágrafo único</w:t>
      </w:r>
      <w:r>
        <w:rPr>
          <w:rFonts w:cs="Times New Roman" w:ascii="Times New Roman" w:hAnsi="Times New Roman"/>
          <w:sz w:val="24"/>
          <w:szCs w:val="24"/>
        </w:rPr>
        <w:t xml:space="preserve"> Fica proibido o acúmulo da bolsa com qualquer modalidade de auxílio ou bolsa de outro programa das agências de fomento pública, nacional ou internacional ou empresa pública ou privada.</w:t>
      </w:r>
      <w:r/>
    </w:p>
    <w:p>
      <w:pPr>
        <w:pStyle w:val="Normal"/>
        <w:spacing w:before="60" w:after="60"/>
        <w:ind w:firstLine="708"/>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b/>
          <w:sz w:val="24"/>
          <w:szCs w:val="24"/>
        </w:rPr>
        <w:t>Art. 11</w:t>
      </w:r>
      <w:r>
        <w:rPr>
          <w:rFonts w:cs="Times New Roman" w:ascii="Times New Roman" w:hAnsi="Times New Roman"/>
          <w:sz w:val="24"/>
          <w:szCs w:val="24"/>
        </w:rPr>
        <w:t xml:space="preserve"> Todo aluno beneficiário da cota institucional estará obrigado a realizar atividades de estágio em docência. </w:t>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b/>
          <w:sz w:val="24"/>
          <w:szCs w:val="24"/>
        </w:rPr>
        <w:t>Parágrafo único</w:t>
      </w:r>
      <w:r>
        <w:rPr>
          <w:rFonts w:cs="Times New Roman" w:ascii="Times New Roman" w:hAnsi="Times New Roman"/>
          <w:sz w:val="24"/>
          <w:szCs w:val="24"/>
        </w:rPr>
        <w:t xml:space="preserve"> A regulamentação da atividade de estágio em docência será elaborada pelo colegiado de cada programa atendendo as especificidades das diferentes áreas do conhecimento e das modalidades acadêmico ou profissional.</w:t>
      </w:r>
      <w:r/>
    </w:p>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ind w:firstLine="708"/>
        <w:jc w:val="both"/>
        <w:rPr>
          <w:strike/>
          <w:sz w:val="24"/>
          <w:sz w:val="24"/>
          <w:szCs w:val="24"/>
          <w:rFonts w:ascii="Times New Roman" w:hAnsi="Times New Roman" w:cs="Times New Roman"/>
        </w:rPr>
      </w:pPr>
      <w:r>
        <w:rPr>
          <w:rFonts w:cs="Times New Roman" w:ascii="Times New Roman" w:hAnsi="Times New Roman"/>
          <w:b/>
          <w:strike/>
          <w:sz w:val="24"/>
          <w:szCs w:val="24"/>
        </w:rPr>
        <w:t>Art. 12</w:t>
      </w:r>
      <w:r>
        <w:rPr>
          <w:rFonts w:cs="Times New Roman" w:ascii="Times New Roman" w:hAnsi="Times New Roman"/>
          <w:strike/>
          <w:sz w:val="24"/>
          <w:szCs w:val="24"/>
        </w:rPr>
        <w:t xml:space="preserve"> Caso o bolsista estabeleça vínculo empregatício durante a vigência da bolsa, deverá comunicar a PRPPG, no prazo máximo de 15(quinze) dias, para cancelamento da bolsa.</w:t>
      </w:r>
      <w:r/>
    </w:p>
    <w:p>
      <w:pPr>
        <w:pStyle w:val="Normal"/>
        <w:spacing w:lineRule="auto" w:line="240" w:before="0" w:after="0"/>
        <w:ind w:firstLine="708"/>
        <w:rPr>
          <w:sz w:val="24"/>
          <w:sz w:val="24"/>
          <w:szCs w:val="24"/>
          <w:rFonts w:ascii="Times New Roman" w:hAnsi="Times New Roman" w:cs="Times New Roman"/>
        </w:rPr>
      </w:pPr>
      <w:r>
        <w:rPr>
          <w:rFonts w:cs="Times New Roman" w:ascii="Times New Roman" w:hAnsi="Times New Roman"/>
          <w:b/>
          <w:color w:val="00000A"/>
          <w:sz w:val="24"/>
          <w:szCs w:val="24"/>
          <w:shd w:fill="FFFF00" w:val="clear"/>
        </w:rPr>
        <w:t>Art. 12</w:t>
      </w:r>
      <w:r>
        <w:rPr>
          <w:rFonts w:cs="Times New Roman" w:ascii="Times New Roman" w:hAnsi="Times New Roman"/>
          <w:color w:val="00000A"/>
          <w:sz w:val="24"/>
          <w:szCs w:val="24"/>
          <w:shd w:fill="FFFF00" w:val="clear"/>
        </w:rPr>
        <w:t xml:space="preserve"> Caso o bolsista estabeleça vínculo empregatício durante a vigência da bolsa, o mesmo deverá comunicar à PRPPG, no prazo máximo de 5 (cinco) dias úteis após o estabelecimento formal do vínculo, o ocorrido para que a PRPPG proceda ao cancelamento da bolsa</w:t>
      </w:r>
      <w:r>
        <w:rPr>
          <w:rFonts w:cs="LiberationSerif" w:ascii="LiberationSerif" w:hAnsi="LiberationSerif"/>
          <w:color w:val="000000"/>
          <w:sz w:val="24"/>
          <w:szCs w:val="24"/>
          <w:shd w:fill="FFFF00" w:val="clear"/>
        </w:rPr>
        <w:t>.</w:t>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b/>
          <w:sz w:val="24"/>
          <w:szCs w:val="24"/>
        </w:rPr>
        <w:t>Art. 13</w:t>
      </w:r>
      <w:r>
        <w:rPr>
          <w:rFonts w:cs="Times New Roman" w:ascii="Times New Roman" w:hAnsi="Times New Roman"/>
          <w:sz w:val="24"/>
          <w:szCs w:val="24"/>
        </w:rPr>
        <w:t xml:space="preserve"> O aluno de mestrado poderá receber bolsa por um prazo máximo de 24 meses e o aluno de doutorado poderá receber bolsa por um prazo máximo de 48 meses.</w:t>
      </w:r>
      <w:r/>
    </w:p>
    <w:p>
      <w:pPr>
        <w:pStyle w:val="Normal"/>
        <w:spacing w:before="60" w:after="60"/>
        <w:ind w:firstLine="708"/>
        <w:jc w:val="both"/>
        <w:rPr>
          <w:sz w:val="24"/>
          <w:sz w:val="24"/>
          <w:szCs w:val="24"/>
          <w:rFonts w:ascii="Times New Roman" w:hAnsi="Times New Roman" w:cs="Times New Roman"/>
        </w:rPr>
      </w:pPr>
      <w:r>
        <w:rPr>
          <w:rFonts w:cs="Times New Roman" w:ascii="Times New Roman" w:hAnsi="Times New Roman"/>
          <w:b/>
          <w:sz w:val="24"/>
          <w:szCs w:val="24"/>
          <w:shd w:fill="FFFF00" w:val="clear"/>
        </w:rPr>
        <w:t>Parágrafo único</w:t>
      </w:r>
      <w:r>
        <w:rPr>
          <w:rFonts w:cs="Times New Roman" w:ascii="Times New Roman" w:hAnsi="Times New Roman"/>
          <w:sz w:val="24"/>
          <w:szCs w:val="24"/>
          <w:shd w:fill="FFFF00" w:val="clear"/>
        </w:rPr>
        <w:t xml:space="preserve"> – Os prazos descritos no caput iniciam-se a partir da data da primeira matrícula do aluno no respectivo curso de mestrado ou doutorado.</w:t>
      </w:r>
      <w:r/>
    </w:p>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jc w:val="center"/>
        <w:rPr>
          <w:sz w:val="24"/>
          <w:b/>
          <w:sz w:val="24"/>
          <w:b/>
          <w:szCs w:val="24"/>
          <w:rFonts w:ascii="Times New Roman" w:hAnsi="Times New Roman" w:cs="Times New Roman"/>
        </w:rPr>
      </w:pPr>
      <w:r>
        <w:rPr>
          <w:rFonts w:cs="Times New Roman" w:ascii="Times New Roman" w:hAnsi="Times New Roman"/>
          <w:b/>
          <w:sz w:val="24"/>
          <w:szCs w:val="24"/>
        </w:rPr>
        <w:t>CAPÍTULO V</w:t>
      </w:r>
      <w:r/>
    </w:p>
    <w:p>
      <w:pPr>
        <w:pStyle w:val="Normal"/>
        <w:spacing w:before="60" w:after="60"/>
        <w:jc w:val="center"/>
        <w:rPr>
          <w:sz w:val="24"/>
          <w:sz w:val="24"/>
          <w:szCs w:val="24"/>
          <w:rFonts w:ascii="Times New Roman" w:hAnsi="Times New Roman" w:cs="Times New Roman"/>
        </w:rPr>
      </w:pPr>
      <w:r>
        <w:rPr>
          <w:rFonts w:cs="Times New Roman" w:ascii="Times New Roman" w:hAnsi="Times New Roman"/>
          <w:b/>
          <w:sz w:val="24"/>
          <w:szCs w:val="24"/>
        </w:rPr>
        <w:t>DAS PENALIDADES</w:t>
      </w:r>
      <w:r/>
    </w:p>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ind w:firstLine="708"/>
        <w:jc w:val="both"/>
        <w:rPr>
          <w:strike/>
          <w:sz w:val="24"/>
          <w:sz w:val="24"/>
          <w:szCs w:val="24"/>
          <w:rFonts w:ascii="Times New Roman" w:hAnsi="Times New Roman" w:cs="Times New Roman"/>
        </w:rPr>
      </w:pPr>
      <w:r>
        <w:rPr>
          <w:rFonts w:cs="Times New Roman" w:ascii="Times New Roman" w:hAnsi="Times New Roman"/>
          <w:b/>
          <w:strike/>
          <w:sz w:val="24"/>
          <w:szCs w:val="24"/>
        </w:rPr>
        <w:t>Art. 14</w:t>
      </w:r>
      <w:r>
        <w:rPr>
          <w:rFonts w:cs="Times New Roman" w:ascii="Times New Roman" w:hAnsi="Times New Roman"/>
          <w:strike/>
          <w:sz w:val="24"/>
          <w:szCs w:val="24"/>
        </w:rPr>
        <w:t xml:space="preserve"> O bolsista que não cumprir as determinações contidas nesta resolução terá a bolsa cancelada devendo ressarcir a UFVJM os valores recebidos indevidamente.</w:t>
      </w:r>
      <w:r/>
    </w:p>
    <w:p>
      <w:pPr>
        <w:pStyle w:val="Normal"/>
        <w:spacing w:lineRule="auto" w:line="240" w:before="0" w:after="0"/>
        <w:ind w:firstLine="708"/>
        <w:jc w:val="both"/>
        <w:rPr>
          <w:sz w:val="24"/>
          <w:sz w:val="24"/>
          <w:szCs w:val="24"/>
          <w:rFonts w:ascii="Times New Roman" w:hAnsi="Times New Roman" w:cs="Times New Roman"/>
          <w:color w:val="000000"/>
        </w:rPr>
      </w:pPr>
      <w:r>
        <w:rPr>
          <w:rFonts w:cs="Times New Roman" w:ascii="Times New Roman" w:hAnsi="Times New Roman"/>
          <w:b/>
          <w:color w:val="000000"/>
          <w:sz w:val="24"/>
          <w:szCs w:val="24"/>
          <w:shd w:fill="FFFF00" w:val="clear"/>
        </w:rPr>
        <w:t>Art. 14</w:t>
      </w:r>
      <w:r>
        <w:rPr>
          <w:rFonts w:cs="Times New Roman" w:ascii="Times New Roman" w:hAnsi="Times New Roman"/>
          <w:color w:val="000000"/>
          <w:sz w:val="24"/>
          <w:szCs w:val="24"/>
          <w:shd w:fill="FFFF00" w:val="clear"/>
        </w:rPr>
        <w:t xml:space="preserve"> O bolsista que não cumprir as </w:t>
      </w:r>
      <w:r>
        <w:rPr>
          <w:rFonts w:cs="Times New Roman" w:ascii="Times New Roman" w:hAnsi="Times New Roman"/>
          <w:color w:val="00000A"/>
          <w:sz w:val="24"/>
          <w:szCs w:val="24"/>
          <w:shd w:fill="FFFF00" w:val="clear"/>
        </w:rPr>
        <w:t>determinações contidas nesta resolução terá a bolsa cancelada e obriga-se a devolver ao agente financiador (UFVJM, agência de fomento, empresa) os valores recebidos indevidamente acrescidos dos juros e correções monetárias.</w:t>
      </w:r>
      <w:r/>
    </w:p>
    <w:p>
      <w:pPr>
        <w:pStyle w:val="Normal"/>
        <w:spacing w:lineRule="auto" w:line="240" w:before="0" w:after="0"/>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jc w:val="center"/>
        <w:rPr>
          <w:sz w:val="24"/>
          <w:b/>
          <w:sz w:val="24"/>
          <w:b/>
          <w:szCs w:val="24"/>
          <w:rFonts w:ascii="Times New Roman" w:hAnsi="Times New Roman" w:cs="Times New Roman"/>
        </w:rPr>
      </w:pPr>
      <w:r>
        <w:rPr>
          <w:rFonts w:cs="Times New Roman" w:ascii="Times New Roman" w:hAnsi="Times New Roman"/>
          <w:b/>
          <w:sz w:val="24"/>
          <w:szCs w:val="24"/>
        </w:rPr>
        <w:t>CAPÍTULO VI</w:t>
      </w:r>
      <w:r/>
    </w:p>
    <w:p>
      <w:pPr>
        <w:pStyle w:val="Normal"/>
        <w:spacing w:before="60" w:after="60"/>
        <w:jc w:val="center"/>
        <w:rPr>
          <w:sz w:val="24"/>
          <w:b/>
          <w:sz w:val="24"/>
          <w:b/>
          <w:szCs w:val="24"/>
          <w:rFonts w:ascii="Times New Roman" w:hAnsi="Times New Roman" w:cs="Times New Roman"/>
        </w:rPr>
      </w:pPr>
      <w:r>
        <w:rPr>
          <w:rFonts w:cs="Times New Roman" w:ascii="Times New Roman" w:hAnsi="Times New Roman"/>
          <w:b/>
          <w:sz w:val="24"/>
          <w:szCs w:val="24"/>
        </w:rPr>
        <w:t>DAS DISPOSIÇÕES</w:t>
      </w:r>
      <w:r>
        <w:rPr>
          <w:rFonts w:cs="Times New Roman" w:ascii="Times New Roman" w:hAnsi="Times New Roman"/>
          <w:sz w:val="24"/>
          <w:szCs w:val="24"/>
        </w:rPr>
        <w:t xml:space="preserve"> </w:t>
      </w:r>
      <w:r>
        <w:rPr>
          <w:rFonts w:cs="Times New Roman" w:ascii="Times New Roman" w:hAnsi="Times New Roman"/>
          <w:b/>
          <w:sz w:val="24"/>
          <w:szCs w:val="24"/>
        </w:rPr>
        <w:t>FINAIS</w:t>
      </w:r>
      <w:r/>
    </w:p>
    <w:p>
      <w:pPr>
        <w:pStyle w:val="Normal"/>
        <w:spacing w:before="60" w:after="60"/>
        <w:jc w:val="center"/>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jc w:val="both"/>
        <w:rPr>
          <w:sz w:val="24"/>
          <w:sz w:val="24"/>
          <w:szCs w:val="24"/>
          <w:rFonts w:ascii="Times New Roman" w:hAnsi="Times New Roman" w:cs="Times New Roman"/>
        </w:rPr>
      </w:pPr>
      <w:r>
        <w:rPr>
          <w:rFonts w:cs="Times New Roman" w:ascii="Times New Roman" w:hAnsi="Times New Roman"/>
          <w:b/>
          <w:sz w:val="24"/>
          <w:szCs w:val="24"/>
        </w:rPr>
        <w:t>Art. 15</w:t>
      </w:r>
      <w:r>
        <w:rPr>
          <w:rFonts w:cs="Times New Roman" w:ascii="Times New Roman" w:hAnsi="Times New Roman"/>
          <w:sz w:val="24"/>
          <w:szCs w:val="24"/>
        </w:rPr>
        <w:t xml:space="preserve"> Os casos omissos e controversos na aplicação do presente regulamento serão analisados pelo Conselho de Pesquisa e Pós-Graduação – CPPG e pelo Conselho de Ensino, Pesquisa e Extensão -CONSEPE.</w:t>
      </w:r>
      <w:r/>
    </w:p>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jc w:val="both"/>
        <w:rPr>
          <w:sz w:val="24"/>
          <w:sz w:val="24"/>
          <w:szCs w:val="24"/>
          <w:rFonts w:ascii="Times New Roman" w:hAnsi="Times New Roman" w:cs="Times New Roman"/>
        </w:rPr>
      </w:pPr>
      <w:r>
        <w:rPr>
          <w:rFonts w:cs="Times New Roman" w:ascii="Times New Roman" w:hAnsi="Times New Roman"/>
          <w:b/>
          <w:sz w:val="24"/>
          <w:szCs w:val="24"/>
        </w:rPr>
        <w:t>Art. 16</w:t>
      </w:r>
      <w:r>
        <w:rPr>
          <w:rFonts w:cs="Times New Roman" w:ascii="Times New Roman" w:hAnsi="Times New Roman"/>
          <w:sz w:val="24"/>
          <w:szCs w:val="24"/>
        </w:rPr>
        <w:t xml:space="preserve"> Revogam-se as disposições em contrário.</w:t>
      </w:r>
      <w:r/>
    </w:p>
    <w:p>
      <w:pPr>
        <w:pStyle w:val="Normal"/>
        <w:spacing w:before="60" w:after="60"/>
        <w:jc w:val="both"/>
        <w:rPr>
          <w:sz w:val="24"/>
          <w:b/>
          <w:sz w:val="24"/>
          <w:b/>
          <w:szCs w:val="24"/>
          <w:rFonts w:ascii="Times New Roman" w:hAnsi="Times New Roman" w:cs="Times New Roman"/>
          <w:color w:val="00000A"/>
        </w:rPr>
      </w:pPr>
      <w:r>
        <w:rPr>
          <w:rFonts w:cs="Times New Roman" w:ascii="Times New Roman" w:hAnsi="Times New Roman"/>
          <w:b/>
          <w:sz w:val="24"/>
          <w:szCs w:val="24"/>
        </w:rPr>
      </w:r>
      <w:r/>
    </w:p>
    <w:p>
      <w:pPr>
        <w:pStyle w:val="Normal"/>
        <w:spacing w:before="60" w:after="60"/>
        <w:jc w:val="center"/>
        <w:rPr>
          <w:sz w:val="24"/>
          <w:sz w:val="24"/>
          <w:szCs w:val="24"/>
          <w:rFonts w:ascii="Times New Roman" w:hAnsi="Times New Roman" w:cs="Times New Roman"/>
        </w:rPr>
      </w:pPr>
      <w:r>
        <w:rPr>
          <w:rFonts w:cs="Times New Roman" w:ascii="Times New Roman" w:hAnsi="Times New Roman"/>
          <w:b/>
          <w:sz w:val="24"/>
          <w:szCs w:val="24"/>
        </w:rPr>
        <w:t>Art. 17</w:t>
      </w:r>
      <w:r>
        <w:rPr>
          <w:rFonts w:cs="Times New Roman" w:ascii="Times New Roman" w:hAnsi="Times New Roman"/>
          <w:sz w:val="24"/>
          <w:szCs w:val="24"/>
        </w:rPr>
        <w:t xml:space="preserve"> Este regulamento entrará em vigor na data de sua homologação pelo CONSEPE.</w:t>
      </w:r>
      <w:r/>
    </w:p>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jc w:val="both"/>
        <w:rPr>
          <w:sz w:val="24"/>
          <w:sz w:val="24"/>
          <w:szCs w:val="24"/>
          <w:rFonts w:ascii="Times New Roman" w:hAnsi="Times New Roman" w:cs="Times New Roman"/>
        </w:rPr>
      </w:pPr>
      <w:r>
        <w:rPr>
          <w:rFonts w:cs="Times New Roman" w:ascii="Times New Roman" w:hAnsi="Times New Roman"/>
          <w:sz w:val="24"/>
          <w:szCs w:val="24"/>
        </w:rPr>
        <w:t xml:space="preserve">Diamantina, 25 de abril de 2014. </w:t>
      </w:r>
      <w:r/>
    </w:p>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jc w:val="center"/>
        <w:rPr>
          <w:sz w:val="24"/>
          <w:b/>
          <w:sz w:val="24"/>
          <w:b/>
          <w:szCs w:val="24"/>
          <w:rFonts w:ascii="Times New Roman" w:hAnsi="Times New Roman" w:cs="Times New Roman"/>
        </w:rPr>
      </w:pPr>
      <w:r>
        <w:rPr>
          <w:rFonts w:cs="Times New Roman" w:ascii="Times New Roman" w:hAnsi="Times New Roman"/>
          <w:b/>
          <w:sz w:val="24"/>
          <w:szCs w:val="24"/>
        </w:rPr>
        <w:t>Prof. Gilciano Saraiva Nogueira</w:t>
      </w:r>
      <w:r/>
    </w:p>
    <w:p>
      <w:pPr>
        <w:pStyle w:val="Normal"/>
        <w:spacing w:before="60" w:after="60"/>
        <w:jc w:val="center"/>
        <w:rPr>
          <w:sz w:val="24"/>
          <w:b/>
          <w:sz w:val="24"/>
          <w:b/>
          <w:szCs w:val="24"/>
          <w:rFonts w:ascii="Times New Roman" w:hAnsi="Times New Roman" w:cs="Times New Roman"/>
        </w:rPr>
      </w:pPr>
      <w:r>
        <w:rPr>
          <w:rFonts w:cs="Times New Roman" w:ascii="Times New Roman" w:hAnsi="Times New Roman"/>
          <w:b/>
          <w:sz w:val="24"/>
          <w:szCs w:val="24"/>
        </w:rPr>
        <w:t>Presidente do CONSEPE</w:t>
      </w:r>
      <w:r/>
    </w:p>
    <w:p>
      <w:pPr>
        <w:pStyle w:val="Normal"/>
        <w:spacing w:lineRule="auto" w:line="240" w:before="0" w:after="0"/>
        <w:rPr>
          <w:sz w:val="24"/>
          <w:sz w:val="24"/>
          <w:szCs w:val="24"/>
          <w:rFonts w:ascii="Times New Roman" w:hAnsi="Times New Roman" w:cs="Times New Roman"/>
          <w:color w:val="00000A"/>
        </w:rPr>
      </w:pPr>
      <w:r>
        <w:rPr>
          <w:rFonts w:cs="Times New Roman" w:ascii="Times New Roman" w:hAnsi="Times New Roman"/>
          <w:sz w:val="24"/>
          <w:szCs w:val="24"/>
        </w:rPr>
      </w:r>
      <w:r>
        <w:br w:type="page"/>
      </w:r>
      <w:r/>
    </w:p>
    <w:p>
      <w:pPr>
        <w:pStyle w:val="Normal"/>
        <w:spacing w:before="60" w:after="60"/>
        <w:jc w:val="center"/>
        <w:rPr>
          <w:sz w:val="24"/>
          <w:b/>
          <w:sz w:val="24"/>
          <w:b/>
          <w:szCs w:val="24"/>
          <w:rFonts w:ascii="Times New Roman" w:hAnsi="Times New Roman" w:cs="Times New Roman"/>
        </w:rPr>
      </w:pPr>
      <w:r>
        <w:rPr>
          <w:rFonts w:cs="Times New Roman" w:ascii="Times New Roman" w:hAnsi="Times New Roman"/>
          <w:b/>
          <w:sz w:val="24"/>
          <w:szCs w:val="24"/>
        </w:rPr>
        <w:t>ANEXO I</w:t>
      </w:r>
      <w:r/>
    </w:p>
    <w:p>
      <w:pPr>
        <w:pStyle w:val="Normal"/>
        <w:spacing w:before="60" w:after="60"/>
        <w:jc w:val="center"/>
        <w:rPr>
          <w:sz w:val="24"/>
          <w:sz w:val="24"/>
          <w:szCs w:val="24"/>
          <w:rFonts w:ascii="Times New Roman" w:hAnsi="Times New Roman" w:cs="Times New Roman"/>
        </w:rPr>
      </w:pPr>
      <w:r>
        <w:rPr>
          <w:rFonts w:cs="Times New Roman" w:ascii="Times New Roman" w:hAnsi="Times New Roman"/>
          <w:sz w:val="24"/>
          <w:szCs w:val="24"/>
        </w:rPr>
        <w:t>TERMO DE COMPROMISSO</w:t>
      </w:r>
      <w:r/>
    </w:p>
    <w:p>
      <w:pPr>
        <w:pStyle w:val="Normal"/>
        <w:spacing w:before="60" w:after="60"/>
        <w:jc w:val="both"/>
        <w:rPr>
          <w:strike/>
          <w:sz w:val="24"/>
          <w:sz w:val="24"/>
          <w:szCs w:val="24"/>
          <w:rFonts w:ascii="Times New Roman" w:hAnsi="Times New Roman" w:cs="Times New Roman"/>
          <w:color w:val="00000A"/>
        </w:rPr>
      </w:pPr>
      <w:r>
        <w:rPr>
          <w:rFonts w:cs="Times New Roman" w:ascii="Times New Roman" w:hAnsi="Times New Roman"/>
          <w:strike/>
          <w:sz w:val="24"/>
          <w:szCs w:val="24"/>
        </w:rPr>
      </w:r>
      <w:r/>
    </w:p>
    <w:p>
      <w:pPr>
        <w:pStyle w:val="Normal"/>
        <w:spacing w:before="60" w:after="60"/>
        <w:jc w:val="both"/>
        <w:rPr>
          <w:strike/>
          <w:sz w:val="24"/>
          <w:sz w:val="24"/>
          <w:szCs w:val="24"/>
          <w:rFonts w:ascii="Times New Roman" w:hAnsi="Times New Roman" w:cs="Times New Roman"/>
        </w:rPr>
      </w:pPr>
      <w:r>
        <w:rPr>
          <w:rFonts w:cs="Times New Roman" w:ascii="Times New Roman" w:hAnsi="Times New Roman"/>
          <w:strike/>
          <w:sz w:val="24"/>
          <w:szCs w:val="24"/>
        </w:rPr>
        <w:t>Declaro, para os devidos fins, que eu,_________________________________________________, nacionalidade, profissão, endereço, nº do CPF, aluno(a) devidamente matriculado(a) no Programa de Pós-Graduação em __________________________________________________________________sob o número ________________________, em nível de (mestrado ou doutorado), da Universidade Federal dos Vales do Jequitinhonha e Mucuri, tenho ciência das obrigações inerentes à qualidade de bolsista COTA INSTITUCIONAL/UFVJM, e nesse sentido, COMPROMETO-ME a respeitar as seguintes cláusulas:</w:t>
      </w:r>
      <w:r/>
    </w:p>
    <w:p>
      <w:pPr>
        <w:pStyle w:val="Normal"/>
        <w:spacing w:before="60" w:after="60"/>
        <w:jc w:val="both"/>
        <w:rPr>
          <w:strike/>
          <w:sz w:val="24"/>
          <w:sz w:val="24"/>
          <w:szCs w:val="24"/>
          <w:rFonts w:ascii="Times New Roman" w:hAnsi="Times New Roman" w:cs="Times New Roman"/>
          <w:color w:val="00000A"/>
        </w:rPr>
      </w:pPr>
      <w:r>
        <w:rPr>
          <w:rFonts w:cs="Times New Roman" w:ascii="Times New Roman" w:hAnsi="Times New Roman"/>
          <w:strike/>
          <w:sz w:val="24"/>
          <w:szCs w:val="24"/>
        </w:rPr>
      </w:r>
      <w:r/>
    </w:p>
    <w:p>
      <w:pPr>
        <w:pStyle w:val="Normal"/>
        <w:spacing w:before="60" w:after="60"/>
        <w:jc w:val="both"/>
        <w:rPr>
          <w:strike/>
          <w:sz w:val="24"/>
          <w:sz w:val="24"/>
          <w:szCs w:val="24"/>
          <w:rFonts w:ascii="Times New Roman" w:hAnsi="Times New Roman" w:cs="Times New Roman"/>
        </w:rPr>
      </w:pPr>
      <w:r>
        <w:rPr>
          <w:rFonts w:cs="Times New Roman" w:ascii="Times New Roman" w:hAnsi="Times New Roman"/>
          <w:strike/>
          <w:sz w:val="24"/>
          <w:szCs w:val="24"/>
        </w:rPr>
        <w:t>I – dedicação às atividades do Programa de Pós-graduação;</w:t>
      </w:r>
      <w:r/>
    </w:p>
    <w:p>
      <w:pPr>
        <w:pStyle w:val="Normal"/>
        <w:spacing w:before="60" w:after="60"/>
        <w:jc w:val="both"/>
        <w:rPr>
          <w:strike/>
          <w:sz w:val="24"/>
          <w:sz w:val="24"/>
          <w:szCs w:val="24"/>
          <w:rFonts w:ascii="Times New Roman" w:hAnsi="Times New Roman" w:cs="Times New Roman"/>
        </w:rPr>
      </w:pPr>
      <w:r>
        <w:rPr>
          <w:rFonts w:cs="Times New Roman" w:ascii="Times New Roman" w:hAnsi="Times New Roman"/>
          <w:strike/>
          <w:sz w:val="24"/>
          <w:szCs w:val="24"/>
        </w:rPr>
        <w:t>II – comprovar desempenho acadêmico satisfatório, consoante as normas definidas pela entidade promotora do curso;</w:t>
      </w:r>
      <w:r/>
    </w:p>
    <w:p>
      <w:pPr>
        <w:pStyle w:val="Normal"/>
        <w:spacing w:before="60" w:after="60"/>
        <w:jc w:val="both"/>
        <w:rPr>
          <w:strike/>
          <w:sz w:val="24"/>
          <w:sz w:val="24"/>
          <w:szCs w:val="24"/>
          <w:rFonts w:ascii="Times New Roman" w:hAnsi="Times New Roman" w:cs="Times New Roman"/>
        </w:rPr>
      </w:pPr>
      <w:r>
        <w:rPr>
          <w:rFonts w:cs="Times New Roman" w:ascii="Times New Roman" w:hAnsi="Times New Roman"/>
          <w:strike/>
          <w:sz w:val="24"/>
          <w:szCs w:val="24"/>
        </w:rPr>
        <w:t>III – não possuir qualquer relação de trabalho com a promotora do programa de pós-graduação;</w:t>
      </w:r>
      <w:r/>
    </w:p>
    <w:p>
      <w:pPr>
        <w:pStyle w:val="Normal"/>
        <w:spacing w:before="60" w:after="60"/>
        <w:jc w:val="both"/>
        <w:rPr>
          <w:strike/>
          <w:sz w:val="24"/>
          <w:sz w:val="24"/>
          <w:szCs w:val="24"/>
          <w:rFonts w:ascii="Times New Roman" w:hAnsi="Times New Roman" w:cs="Times New Roman"/>
        </w:rPr>
      </w:pPr>
      <w:r>
        <w:rPr>
          <w:rFonts w:cs="Times New Roman" w:ascii="Times New Roman" w:hAnsi="Times New Roman"/>
          <w:strike/>
          <w:sz w:val="24"/>
          <w:szCs w:val="24"/>
        </w:rPr>
        <w:t>IV – não ser aluno em programa de residência médica; V – ser classificado no processo seletivo especialmente instaurado pela promotora do curso; VI – realizar estágio docente de acordo com o regulamento específico de cada programa; VII – não possuir vínculo empregatício com a percepção de salário, de qualquer espécie, e não acumular bolsa ou qualquer tipo de remuneração auxílio ou bolsa.</w:t>
      </w:r>
      <w:r/>
    </w:p>
    <w:p>
      <w:pPr>
        <w:pStyle w:val="Normal"/>
        <w:spacing w:before="60" w:after="60"/>
        <w:jc w:val="both"/>
        <w:rPr>
          <w:strike/>
          <w:sz w:val="24"/>
          <w:sz w:val="24"/>
          <w:szCs w:val="24"/>
          <w:rFonts w:ascii="Times New Roman" w:hAnsi="Times New Roman" w:cs="Times New Roman"/>
          <w:color w:val="00000A"/>
        </w:rPr>
      </w:pPr>
      <w:r>
        <w:rPr>
          <w:rFonts w:cs="Times New Roman" w:ascii="Times New Roman" w:hAnsi="Times New Roman"/>
          <w:strike/>
          <w:sz w:val="24"/>
          <w:szCs w:val="24"/>
        </w:rPr>
      </w:r>
      <w:r/>
    </w:p>
    <w:p>
      <w:pPr>
        <w:pStyle w:val="Normal"/>
        <w:spacing w:before="60" w:after="60"/>
        <w:jc w:val="both"/>
        <w:rPr>
          <w:strike/>
          <w:sz w:val="24"/>
          <w:sz w:val="24"/>
          <w:szCs w:val="24"/>
          <w:rFonts w:ascii="Times New Roman" w:hAnsi="Times New Roman" w:cs="Times New Roman"/>
          <w:color w:val="00000A"/>
        </w:rPr>
      </w:pPr>
      <w:r>
        <w:rPr>
          <w:rFonts w:cs="Times New Roman" w:ascii="Times New Roman" w:hAnsi="Times New Roman"/>
          <w:strike/>
          <w:sz w:val="24"/>
          <w:szCs w:val="24"/>
        </w:rPr>
      </w:r>
      <w:r/>
    </w:p>
    <w:p>
      <w:pPr>
        <w:pStyle w:val="Normal"/>
        <w:spacing w:before="60" w:after="60"/>
        <w:jc w:val="both"/>
        <w:rPr>
          <w:strike/>
          <w:sz w:val="24"/>
          <w:sz w:val="24"/>
          <w:szCs w:val="24"/>
          <w:rFonts w:ascii="Times New Roman" w:hAnsi="Times New Roman" w:cs="Times New Roman"/>
        </w:rPr>
      </w:pPr>
      <w:r>
        <w:rPr>
          <w:rFonts w:cs="Times New Roman" w:ascii="Times New Roman" w:hAnsi="Times New Roman"/>
          <w:strike/>
          <w:sz w:val="24"/>
          <w:szCs w:val="24"/>
        </w:rPr>
        <w:t>A inobservância dos requisitos citados acima, e/ou se praticada qualquer fraude pelo(a) bolsista, implicará(ão) no cancelamento da bolsa, com a restituição integral e imediata dos recursos, de acordo com os índices previstos em lei competente, acarretando ainda, a impossibilidade de receber benefícios por parte da UFVJM, pelo período de cinco anos, contados do conhecimento do fato.</w:t>
      </w:r>
      <w:r/>
    </w:p>
    <w:p>
      <w:pPr>
        <w:pStyle w:val="Normal"/>
        <w:spacing w:before="60" w:after="60"/>
        <w:jc w:val="both"/>
        <w:rPr>
          <w:strike/>
          <w:sz w:val="24"/>
          <w:sz w:val="24"/>
          <w:szCs w:val="24"/>
          <w:rFonts w:ascii="Times New Roman" w:hAnsi="Times New Roman" w:cs="Times New Roman"/>
          <w:color w:val="00000A"/>
        </w:rPr>
      </w:pPr>
      <w:r>
        <w:rPr>
          <w:rFonts w:cs="Times New Roman" w:ascii="Times New Roman" w:hAnsi="Times New Roman"/>
          <w:strike/>
          <w:sz w:val="24"/>
          <w:szCs w:val="24"/>
        </w:rPr>
      </w:r>
      <w:r/>
    </w:p>
    <w:p>
      <w:pPr>
        <w:pStyle w:val="Normal"/>
        <w:spacing w:before="60" w:after="60"/>
        <w:jc w:val="both"/>
        <w:rPr>
          <w:strike/>
          <w:sz w:val="24"/>
          <w:sz w:val="24"/>
          <w:szCs w:val="24"/>
          <w:rFonts w:ascii="Times New Roman" w:hAnsi="Times New Roman" w:cs="Times New Roman"/>
        </w:rPr>
      </w:pPr>
      <w:r>
        <w:rPr>
          <w:rFonts w:cs="Times New Roman" w:ascii="Times New Roman" w:hAnsi="Times New Roman"/>
          <w:strike/>
          <w:sz w:val="24"/>
          <w:szCs w:val="24"/>
        </w:rPr>
        <w:t xml:space="preserve">Assinatura do(a) bolsista:______________________________ </w:t>
      </w:r>
      <w:r/>
    </w:p>
    <w:p>
      <w:pPr>
        <w:pStyle w:val="Normal"/>
        <w:spacing w:before="60" w:after="60"/>
        <w:jc w:val="both"/>
        <w:rPr>
          <w:strike/>
          <w:sz w:val="24"/>
          <w:sz w:val="24"/>
          <w:szCs w:val="24"/>
          <w:rFonts w:ascii="Times New Roman" w:hAnsi="Times New Roman" w:cs="Times New Roman"/>
        </w:rPr>
      </w:pPr>
      <w:r>
        <w:rPr>
          <w:rFonts w:cs="Times New Roman" w:ascii="Times New Roman" w:hAnsi="Times New Roman"/>
          <w:strike/>
          <w:sz w:val="24"/>
          <w:szCs w:val="24"/>
        </w:rPr>
        <w:t xml:space="preserve">Local de data: Diamantina, _____/_____/______ </w:t>
      </w:r>
      <w:r/>
    </w:p>
    <w:tbl>
      <w:tblPr>
        <w:tblStyle w:val="Tabelacomgrade"/>
        <w:tblW w:w="9494" w:type="dxa"/>
        <w:jc w:val="left"/>
        <w:tblInd w:w="0" w:type="dxa"/>
        <w:tblBorders/>
        <w:tblCellMar>
          <w:top w:w="0" w:type="dxa"/>
          <w:left w:w="108" w:type="dxa"/>
          <w:bottom w:w="0" w:type="dxa"/>
          <w:right w:w="108" w:type="dxa"/>
        </w:tblCellMar>
      </w:tblPr>
      <w:tblGrid>
        <w:gridCol w:w="4747"/>
        <w:gridCol w:w="4746"/>
      </w:tblGrid>
      <w:tr>
        <w:trPr/>
        <w:tc>
          <w:tcPr>
            <w:tcW w:w="4747" w:type="dxa"/>
            <w:tcBorders/>
            <w:shd w:fill="auto" w:val="clear"/>
            <w:tcMar>
              <w:left w:w="108" w:type="dxa"/>
            </w:tcMar>
          </w:tcPr>
          <w:p>
            <w:pPr>
              <w:pStyle w:val="Normal"/>
              <w:spacing w:before="60" w:after="60"/>
              <w:jc w:val="center"/>
              <w:rPr>
                <w:strike/>
                <w:sz w:val="24"/>
                <w:b/>
                <w:sz w:val="24"/>
                <w:b/>
                <w:rFonts w:ascii="Times New Roman" w:hAnsi="Times New Roman" w:cs="Times New Roman"/>
              </w:rPr>
            </w:pPr>
            <w:r>
              <w:rPr>
                <w:rFonts w:cs="Times New Roman" w:ascii="Times New Roman" w:hAnsi="Times New Roman"/>
                <w:b/>
                <w:strike/>
                <w:sz w:val="24"/>
                <w:szCs w:val="24"/>
                <w:lang w:eastAsia="zh-CN" w:bidi="hi-IN"/>
              </w:rPr>
              <w:t>Coordenador(a) do Programa de Pós Graduação</w:t>
            </w:r>
            <w:r/>
          </w:p>
          <w:p>
            <w:pPr>
              <w:pStyle w:val="Normal"/>
              <w:spacing w:before="60" w:after="60"/>
              <w:jc w:val="center"/>
              <w:rPr>
                <w:strike/>
                <w:sz w:val="24"/>
                <w:b/>
                <w:sz w:val="24"/>
                <w:b/>
                <w:szCs w:val="24"/>
                <w:rFonts w:ascii="Times New Roman" w:hAnsi="Times New Roman" w:cs="Times New Roman"/>
                <w:color w:val="00000A"/>
                <w:lang w:eastAsia="zh-CN" w:bidi="hi-IN"/>
              </w:rPr>
            </w:pPr>
            <w:r>
              <w:rPr>
                <w:rFonts w:cs="Times New Roman" w:ascii="Times New Roman" w:hAnsi="Times New Roman"/>
                <w:b/>
                <w:strike/>
                <w:sz w:val="24"/>
                <w:szCs w:val="24"/>
                <w:lang w:eastAsia="zh-CN" w:bidi="hi-IN"/>
              </w:rPr>
            </w:r>
            <w:r/>
          </w:p>
          <w:p>
            <w:pPr>
              <w:pStyle w:val="Normal"/>
              <w:spacing w:before="60" w:after="60"/>
              <w:jc w:val="center"/>
              <w:rPr>
                <w:strike/>
                <w:sz w:val="24"/>
                <w:b/>
                <w:sz w:val="24"/>
                <w:b/>
                <w:szCs w:val="24"/>
                <w:rFonts w:ascii="Times New Roman" w:hAnsi="Times New Roman" w:cs="Times New Roman"/>
                <w:color w:val="00000A"/>
                <w:lang w:eastAsia="zh-CN" w:bidi="hi-IN"/>
              </w:rPr>
            </w:pPr>
            <w:r>
              <w:rPr>
                <w:rFonts w:cs="Times New Roman" w:ascii="Times New Roman" w:hAnsi="Times New Roman"/>
                <w:b/>
                <w:strike/>
                <w:sz w:val="24"/>
                <w:szCs w:val="24"/>
                <w:lang w:eastAsia="zh-CN" w:bidi="hi-IN"/>
              </w:rPr>
            </w:r>
            <w:r/>
          </w:p>
          <w:p>
            <w:pPr>
              <w:pStyle w:val="Normal"/>
              <w:spacing w:before="60" w:after="60"/>
              <w:jc w:val="center"/>
              <w:rPr>
                <w:strike/>
                <w:sz w:val="24"/>
                <w:sz w:val="24"/>
                <w:rFonts w:ascii="Times New Roman" w:hAnsi="Times New Roman" w:cs="Times New Roman"/>
              </w:rPr>
            </w:pPr>
            <w:r>
              <w:rPr>
                <w:rFonts w:cs="Times New Roman" w:ascii="Times New Roman" w:hAnsi="Times New Roman"/>
                <w:b/>
                <w:strike/>
                <w:sz w:val="24"/>
                <w:szCs w:val="24"/>
                <w:lang w:eastAsia="zh-CN" w:bidi="hi-IN"/>
              </w:rPr>
              <w:t>Carimbo e assinatura</w:t>
            </w:r>
            <w:r/>
          </w:p>
        </w:tc>
        <w:tc>
          <w:tcPr>
            <w:tcW w:w="4746" w:type="dxa"/>
            <w:tcBorders/>
            <w:shd w:fill="auto" w:val="clear"/>
            <w:tcMar>
              <w:left w:w="108" w:type="dxa"/>
            </w:tcMar>
          </w:tcPr>
          <w:p>
            <w:pPr>
              <w:pStyle w:val="Normal"/>
              <w:spacing w:before="60" w:after="60"/>
              <w:jc w:val="center"/>
              <w:rPr>
                <w:strike/>
                <w:sz w:val="24"/>
                <w:b/>
                <w:sz w:val="24"/>
                <w:b/>
                <w:rFonts w:ascii="Times New Roman" w:hAnsi="Times New Roman" w:cs="Times New Roman"/>
              </w:rPr>
            </w:pPr>
            <w:r>
              <w:rPr>
                <w:rFonts w:cs="Times New Roman" w:ascii="Times New Roman" w:hAnsi="Times New Roman"/>
                <w:b/>
                <w:strike/>
                <w:sz w:val="24"/>
                <w:szCs w:val="24"/>
                <w:lang w:eastAsia="zh-CN" w:bidi="hi-IN"/>
              </w:rPr>
              <w:t>Representante da Comissão de Bolsas</w:t>
            </w:r>
            <w:r/>
          </w:p>
          <w:p>
            <w:pPr>
              <w:pStyle w:val="Normal"/>
              <w:spacing w:before="60" w:after="60"/>
              <w:jc w:val="center"/>
              <w:rPr>
                <w:strike/>
                <w:sz w:val="24"/>
                <w:b/>
                <w:sz w:val="24"/>
                <w:b/>
                <w:szCs w:val="24"/>
                <w:rFonts w:ascii="Times New Roman" w:hAnsi="Times New Roman" w:cs="Times New Roman"/>
                <w:color w:val="00000A"/>
                <w:lang w:eastAsia="zh-CN" w:bidi="hi-IN"/>
              </w:rPr>
            </w:pPr>
            <w:r>
              <w:rPr>
                <w:rFonts w:cs="Times New Roman" w:ascii="Times New Roman" w:hAnsi="Times New Roman"/>
                <w:b/>
                <w:strike/>
                <w:sz w:val="24"/>
                <w:szCs w:val="24"/>
                <w:lang w:eastAsia="zh-CN" w:bidi="hi-IN"/>
              </w:rPr>
            </w:r>
            <w:r/>
          </w:p>
          <w:p>
            <w:pPr>
              <w:pStyle w:val="Normal"/>
              <w:spacing w:before="60" w:after="60"/>
              <w:jc w:val="center"/>
              <w:rPr>
                <w:strike/>
                <w:sz w:val="24"/>
                <w:b/>
                <w:sz w:val="24"/>
                <w:b/>
                <w:szCs w:val="24"/>
                <w:rFonts w:ascii="Times New Roman" w:hAnsi="Times New Roman" w:cs="Times New Roman"/>
                <w:color w:val="00000A"/>
                <w:lang w:eastAsia="zh-CN" w:bidi="hi-IN"/>
              </w:rPr>
            </w:pPr>
            <w:r>
              <w:rPr>
                <w:rFonts w:cs="Times New Roman" w:ascii="Times New Roman" w:hAnsi="Times New Roman"/>
                <w:b/>
                <w:strike/>
                <w:sz w:val="24"/>
                <w:szCs w:val="24"/>
                <w:lang w:eastAsia="zh-CN" w:bidi="hi-IN"/>
              </w:rPr>
            </w:r>
            <w:r/>
          </w:p>
          <w:p>
            <w:pPr>
              <w:pStyle w:val="Normal"/>
              <w:spacing w:before="60" w:after="60"/>
              <w:jc w:val="center"/>
              <w:rPr>
                <w:strike/>
                <w:sz w:val="24"/>
                <w:b/>
                <w:sz w:val="24"/>
                <w:b/>
                <w:szCs w:val="24"/>
                <w:rFonts w:ascii="Times New Roman" w:hAnsi="Times New Roman" w:cs="Times New Roman"/>
                <w:color w:val="00000A"/>
                <w:lang w:eastAsia="zh-CN" w:bidi="hi-IN"/>
              </w:rPr>
            </w:pPr>
            <w:r>
              <w:rPr>
                <w:rFonts w:cs="Times New Roman" w:ascii="Times New Roman" w:hAnsi="Times New Roman"/>
                <w:b/>
                <w:strike/>
                <w:sz w:val="24"/>
                <w:szCs w:val="24"/>
                <w:lang w:eastAsia="zh-CN" w:bidi="hi-IN"/>
              </w:rPr>
            </w:r>
            <w:r/>
          </w:p>
          <w:p>
            <w:pPr>
              <w:pStyle w:val="Normal"/>
              <w:spacing w:before="60" w:after="60"/>
              <w:jc w:val="center"/>
              <w:rPr>
                <w:strike/>
                <w:sz w:val="24"/>
                <w:b/>
                <w:sz w:val="24"/>
                <w:b/>
                <w:rFonts w:ascii="Times New Roman" w:hAnsi="Times New Roman" w:cs="Times New Roman"/>
              </w:rPr>
            </w:pPr>
            <w:r>
              <w:rPr>
                <w:rFonts w:cs="Times New Roman" w:ascii="Times New Roman" w:hAnsi="Times New Roman"/>
                <w:b/>
                <w:strike/>
                <w:sz w:val="24"/>
                <w:szCs w:val="24"/>
                <w:lang w:eastAsia="zh-CN" w:bidi="hi-IN"/>
              </w:rPr>
              <w:t>Nome e assinatura</w:t>
            </w:r>
            <w:r/>
          </w:p>
        </w:tc>
      </w:tr>
    </w:tbl>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lineRule="auto" w:line="240" w:before="0" w:after="0"/>
        <w:rPr>
          <w:sz w:val="24"/>
          <w:sz w:val="24"/>
          <w:szCs w:val="24"/>
          <w:rFonts w:ascii="Times New Roman" w:hAnsi="Times New Roman" w:cs="Times New Roman"/>
          <w:color w:val="00000A"/>
        </w:rPr>
      </w:pPr>
      <w:r>
        <w:rPr>
          <w:rFonts w:cs="Times New Roman" w:ascii="Times New Roman" w:hAnsi="Times New Roman"/>
          <w:sz w:val="24"/>
          <w:szCs w:val="24"/>
        </w:rPr>
      </w:r>
      <w:r>
        <w:br w:type="page"/>
      </w:r>
      <w:r/>
    </w:p>
    <w:p>
      <w:pPr>
        <w:pStyle w:val="Normal"/>
        <w:spacing w:before="60" w:after="60"/>
        <w:jc w:val="both"/>
        <w:rPr>
          <w:sz w:val="24"/>
          <w:shd w:fill="FFFF00" w:val="clear"/>
          <w:sz w:val="24"/>
          <w:szCs w:val="24"/>
          <w:rFonts w:ascii="Times New Roman" w:hAnsi="Times New Roman" w:cs="Times New Roman"/>
        </w:rPr>
      </w:pPr>
      <w:r>
        <w:rPr>
          <w:rFonts w:cs="Times New Roman" w:ascii="Times New Roman" w:hAnsi="Times New Roman"/>
          <w:sz w:val="24"/>
          <w:szCs w:val="24"/>
          <w:shd w:fill="FFFF00" w:val="clear"/>
        </w:rPr>
        <w:t>Declaro, para os devidos fins, que eu, ______________________________________, ______________________ (nacionalidade), CPF _____________________________, residente _____________________________________________________________ (endereço), aluno(a) devidamente matriculado(a) no Programa de Pós-graduação em _____________________________________ sob o número __________________, em nível de ____________________, da Universidade Federal dos Vales do Jequitinhonha e Mucuri, UFVJM, tenho ciência das obrigações inerentes à qualidade de beneficiário de bolsa, conforme o regulamento vigente do Programa CAPES/DEMANDA SOCIAL (ou CAPES/REUNI) e do Regulamento do Programa Institucional de Bolsas de estudos e pesquisas de Iniciação Científica, Iniciação Tecnológica e Pós-graduação concedidas com recursos institucionais da UFVJM, de empresas privadas ou públicas ou de agências de fomento públicas ou privadas, e nesse sentido, COMPROMETO-ME a respeitar as seguintes cláusulas:</w:t>
      </w:r>
      <w:r/>
    </w:p>
    <w:p>
      <w:pPr>
        <w:pStyle w:val="Normal"/>
        <w:spacing w:before="60" w:after="60"/>
        <w:jc w:val="both"/>
        <w:rPr>
          <w:sz w:val="24"/>
          <w:shd w:fill="FFFF00" w:val="clear"/>
          <w:sz w:val="24"/>
          <w:szCs w:val="24"/>
          <w:rFonts w:ascii="Times New Roman" w:hAnsi="Times New Roman" w:cs="Times New Roman"/>
          <w:color w:val="00000A"/>
        </w:rPr>
      </w:pPr>
      <w:r>
        <w:rPr>
          <w:rFonts w:cs="Times New Roman" w:ascii="Times New Roman" w:hAnsi="Times New Roman"/>
          <w:sz w:val="24"/>
          <w:szCs w:val="24"/>
          <w:shd w:fill="FFFF00" w:val="clear"/>
        </w:rPr>
      </w:r>
      <w:r/>
    </w:p>
    <w:p>
      <w:pPr>
        <w:pStyle w:val="Normal"/>
        <w:spacing w:before="60" w:after="60"/>
        <w:jc w:val="both"/>
        <w:rPr>
          <w:sz w:val="24"/>
          <w:shd w:fill="FFFF00" w:val="clear"/>
          <w:sz w:val="24"/>
          <w:szCs w:val="24"/>
          <w:rFonts w:ascii="Times New Roman" w:hAnsi="Times New Roman" w:cs="Times New Roman"/>
        </w:rPr>
      </w:pPr>
      <w:r>
        <w:rPr>
          <w:rFonts w:cs="Times New Roman" w:ascii="Times New Roman" w:hAnsi="Times New Roman"/>
          <w:sz w:val="24"/>
          <w:szCs w:val="24"/>
          <w:shd w:fill="FFFF00" w:val="clear"/>
        </w:rPr>
        <w:t xml:space="preserve">I – dedicação integral às atividades do Programa de Pós-graduação; </w:t>
      </w:r>
      <w:r/>
    </w:p>
    <w:p>
      <w:pPr>
        <w:pStyle w:val="Normal"/>
        <w:spacing w:before="60" w:after="60"/>
        <w:jc w:val="both"/>
        <w:rPr>
          <w:sz w:val="24"/>
          <w:shd w:fill="FFFF00" w:val="clear"/>
          <w:sz w:val="24"/>
          <w:szCs w:val="24"/>
          <w:rFonts w:ascii="Times New Roman" w:hAnsi="Times New Roman" w:cs="Times New Roman"/>
        </w:rPr>
      </w:pPr>
      <w:r>
        <w:rPr>
          <w:rFonts w:cs="Times New Roman" w:ascii="Times New Roman" w:hAnsi="Times New Roman"/>
          <w:sz w:val="24"/>
          <w:szCs w:val="24"/>
          <w:shd w:fill="FFFF00" w:val="clear"/>
        </w:rPr>
        <w:t xml:space="preserve">II – comprovar desempenho acadêmico satisfatório, consoante as normas definidas pela UFVJM; </w:t>
      </w:r>
      <w:r/>
    </w:p>
    <w:p>
      <w:pPr>
        <w:pStyle w:val="Normal"/>
        <w:spacing w:before="60" w:after="60"/>
        <w:jc w:val="both"/>
        <w:rPr>
          <w:sz w:val="24"/>
          <w:shd w:fill="FFFF00" w:val="clear"/>
          <w:sz w:val="24"/>
          <w:szCs w:val="24"/>
          <w:rFonts w:ascii="Times New Roman" w:hAnsi="Times New Roman" w:cs="Times New Roman"/>
        </w:rPr>
      </w:pPr>
      <w:r>
        <w:rPr>
          <w:rFonts w:cs="Times New Roman" w:ascii="Times New Roman" w:hAnsi="Times New Roman"/>
          <w:sz w:val="24"/>
          <w:szCs w:val="24"/>
          <w:shd w:fill="FFFF00" w:val="clear"/>
        </w:rPr>
        <w:t xml:space="preserve">III – quando receber complementação financeira, proveniente de outras fontes (desde que relativa à atividades relacionadas à área de atuação e de interesse para formação acadêmica, científica e tecnológica), o bolsista deve obter autorização, concedida por seu orientador, devidamente informada à coordenação do programa de pós-graduação em que estiver matriculado e registrada no Cadastro Discente da CAPES, conforme estabelecido pela Portaria conjunta CAPES/CNPq No 01, de 15/07/2010; </w:t>
      </w:r>
      <w:r/>
    </w:p>
    <w:p>
      <w:pPr>
        <w:pStyle w:val="Normal"/>
        <w:spacing w:before="60" w:after="60"/>
        <w:jc w:val="both"/>
        <w:rPr>
          <w:sz w:val="24"/>
          <w:shd w:fill="FFFF00" w:val="clear"/>
          <w:sz w:val="24"/>
          <w:szCs w:val="24"/>
          <w:rFonts w:ascii="Times New Roman" w:hAnsi="Times New Roman" w:cs="Times New Roman"/>
        </w:rPr>
      </w:pPr>
      <w:r>
        <w:rPr>
          <w:rFonts w:cs="Times New Roman" w:ascii="Times New Roman" w:hAnsi="Times New Roman"/>
          <w:sz w:val="24"/>
          <w:szCs w:val="24"/>
          <w:shd w:fill="FFFF00" w:val="clear"/>
        </w:rPr>
        <w:t xml:space="preserve">IV – não possuir qualquer relação de trabalho com a promotora do programa de pós-graduação; </w:t>
      </w:r>
      <w:r/>
    </w:p>
    <w:p>
      <w:pPr>
        <w:pStyle w:val="Normal"/>
        <w:spacing w:before="60" w:after="60"/>
        <w:jc w:val="both"/>
        <w:rPr>
          <w:sz w:val="24"/>
          <w:shd w:fill="FFFF00" w:val="clear"/>
          <w:sz w:val="24"/>
          <w:szCs w:val="24"/>
          <w:rFonts w:ascii="Times New Roman" w:hAnsi="Times New Roman" w:cs="Times New Roman"/>
        </w:rPr>
      </w:pPr>
      <w:r>
        <w:rPr>
          <w:rFonts w:cs="Times New Roman" w:ascii="Times New Roman" w:hAnsi="Times New Roman"/>
          <w:sz w:val="24"/>
          <w:szCs w:val="24"/>
          <w:shd w:fill="FFFF00" w:val="clear"/>
        </w:rPr>
        <w:t xml:space="preserve">V – Assumir a obrigação de restituir todos os recursos recebidos da CAPES e, ou, da UFVJM ou de outro agente financiador da bolsa, na hipótese de interrupção do estudo, salvo se motivada por doença grave devidamente comprovada; </w:t>
      </w:r>
      <w:r/>
    </w:p>
    <w:p>
      <w:pPr>
        <w:pStyle w:val="Normal"/>
        <w:spacing w:before="60" w:after="60"/>
        <w:jc w:val="both"/>
        <w:rPr>
          <w:sz w:val="24"/>
          <w:shd w:fill="FFFF00" w:val="clear"/>
          <w:sz w:val="24"/>
          <w:szCs w:val="24"/>
          <w:rFonts w:ascii="Times New Roman" w:hAnsi="Times New Roman" w:cs="Times New Roman"/>
        </w:rPr>
      </w:pPr>
      <w:r>
        <w:rPr>
          <w:rFonts w:cs="Times New Roman" w:ascii="Times New Roman" w:hAnsi="Times New Roman"/>
          <w:sz w:val="24"/>
          <w:szCs w:val="24"/>
          <w:shd w:fill="FFFF00" w:val="clear"/>
        </w:rPr>
        <w:t xml:space="preserve">VI – não acumular a percepção da bolsa com qualquer modalidade de auxílio ou bolsa de outro programa da CAPES, de outra agência de fomento pública, nacional ou internacional, ou empresa pública ou privada, excetuando-se: </w:t>
      </w:r>
      <w:r/>
    </w:p>
    <w:p>
      <w:pPr>
        <w:pStyle w:val="Normal"/>
        <w:spacing w:before="60" w:after="60"/>
        <w:jc w:val="both"/>
        <w:rPr>
          <w:sz w:val="24"/>
          <w:shd w:fill="FFFF00" w:val="clear"/>
          <w:sz w:val="24"/>
          <w:szCs w:val="24"/>
          <w:rFonts w:ascii="Times New Roman" w:hAnsi="Times New Roman" w:cs="Times New Roman"/>
        </w:rPr>
      </w:pPr>
      <w:r>
        <w:rPr>
          <w:rFonts w:cs="Times New Roman" w:ascii="Times New Roman" w:hAnsi="Times New Roman"/>
          <w:sz w:val="24"/>
          <w:szCs w:val="24"/>
          <w:shd w:fill="FFFF00" w:val="clear"/>
        </w:rPr>
        <w:t xml:space="preserve">a) os bolsistas da CAPES, matriculados em Programas de Pós-graduação no país, selecionados para atuarem como professores substitutos nas instituições públicas de ensino superior, com a devida anuência do seu orientador e autorização da Comissão de Bolsas CAPES/DS do Programa de Pós-graduação, terão preservadas as bolsas de estudo; </w:t>
      </w:r>
      <w:r/>
    </w:p>
    <w:p>
      <w:pPr>
        <w:pStyle w:val="Normal"/>
        <w:spacing w:before="60" w:after="60"/>
        <w:jc w:val="both"/>
        <w:rPr>
          <w:sz w:val="24"/>
          <w:shd w:fill="FFFF00" w:val="clear"/>
          <w:sz w:val="24"/>
          <w:szCs w:val="24"/>
          <w:rFonts w:ascii="Times New Roman" w:hAnsi="Times New Roman" w:cs="Times New Roman"/>
        </w:rPr>
      </w:pPr>
      <w:r>
        <w:rPr>
          <w:rFonts w:cs="Times New Roman" w:ascii="Times New Roman" w:hAnsi="Times New Roman"/>
          <w:sz w:val="24"/>
          <w:szCs w:val="24"/>
          <w:shd w:fill="FFFF00" w:val="clear"/>
        </w:rPr>
        <w:t xml:space="preserve">b) conforme estabelecido pela Portaria conjunta Nº 01 CAPES/CNPq, de 12/12/2007, os bolsistas CAPES, matriculados em Programas de Pós-graduação no país, poderão receber bolsa da Universidade Aberta do Brasil – UAB, quando atuarem como tutores. Em relação aos demais agentes da UAB, não será permitido o acúmulo dessas bolsas. </w:t>
      </w:r>
      <w:r/>
    </w:p>
    <w:p>
      <w:pPr>
        <w:pStyle w:val="Normal"/>
        <w:spacing w:before="60" w:after="60"/>
        <w:jc w:val="both"/>
        <w:rPr>
          <w:sz w:val="24"/>
          <w:shd w:fill="FFFF00" w:val="clear"/>
          <w:sz w:val="24"/>
          <w:szCs w:val="24"/>
          <w:rFonts w:ascii="Times New Roman" w:hAnsi="Times New Roman" w:cs="Times New Roman"/>
        </w:rPr>
      </w:pPr>
      <w:r>
        <w:rPr>
          <w:rFonts w:cs="Times New Roman" w:ascii="Times New Roman" w:hAnsi="Times New Roman"/>
          <w:sz w:val="24"/>
          <w:szCs w:val="24"/>
          <w:shd w:fill="FFFF00" w:val="clear"/>
        </w:rPr>
        <w:t xml:space="preserve">VII – não ser aluno em programa de residência médica; </w:t>
      </w:r>
      <w:r/>
    </w:p>
    <w:p>
      <w:pPr>
        <w:pStyle w:val="Normal"/>
        <w:spacing w:before="60" w:after="60"/>
        <w:jc w:val="both"/>
        <w:rPr>
          <w:sz w:val="24"/>
          <w:shd w:fill="FFFF00" w:val="clear"/>
          <w:sz w:val="24"/>
          <w:szCs w:val="24"/>
          <w:rFonts w:ascii="Times New Roman" w:hAnsi="Times New Roman" w:cs="Times New Roman"/>
        </w:rPr>
      </w:pPr>
      <w:r>
        <w:rPr>
          <w:rFonts w:cs="Times New Roman" w:ascii="Times New Roman" w:hAnsi="Times New Roman"/>
          <w:sz w:val="24"/>
          <w:szCs w:val="24"/>
          <w:shd w:fill="FFFF00" w:val="clear"/>
        </w:rPr>
        <w:t xml:space="preserve">VIII – ser classificado no processo seletivo especialmente instaurado pela promotora do curso; </w:t>
      </w:r>
      <w:r/>
    </w:p>
    <w:p>
      <w:pPr>
        <w:pStyle w:val="Normal"/>
        <w:spacing w:before="60" w:after="60"/>
        <w:jc w:val="both"/>
        <w:rPr>
          <w:sz w:val="24"/>
          <w:shd w:fill="FFFF00" w:val="clear"/>
          <w:sz w:val="24"/>
          <w:szCs w:val="24"/>
          <w:rFonts w:ascii="Times New Roman" w:hAnsi="Times New Roman" w:cs="Times New Roman"/>
        </w:rPr>
      </w:pPr>
      <w:r>
        <w:rPr>
          <w:rFonts w:cs="Times New Roman" w:ascii="Times New Roman" w:hAnsi="Times New Roman"/>
          <w:sz w:val="24"/>
          <w:szCs w:val="24"/>
          <w:shd w:fill="FFFF00" w:val="clear"/>
        </w:rPr>
        <w:t xml:space="preserve">IX – realizar estágio docente de acordo com o regulamento específico de cada programa CAPES. </w:t>
      </w:r>
      <w:r/>
    </w:p>
    <w:p>
      <w:pPr>
        <w:pStyle w:val="Normal"/>
        <w:spacing w:before="60" w:after="60"/>
        <w:jc w:val="both"/>
        <w:rPr>
          <w:sz w:val="24"/>
          <w:sz w:val="24"/>
          <w:szCs w:val="24"/>
          <w:rFonts w:ascii="Times New Roman" w:hAnsi="Times New Roman" w:cs="Times New Roman"/>
        </w:rPr>
      </w:pPr>
      <w:r>
        <w:rPr>
          <w:rFonts w:cs="Times New Roman" w:ascii="Times New Roman" w:hAnsi="Times New Roman"/>
          <w:sz w:val="24"/>
          <w:szCs w:val="24"/>
          <w:shd w:fill="FFFF00" w:val="clear"/>
        </w:rPr>
        <w:t>A inobservância dos requisitos citados acima, e/ou se praticada qualquer fraude pelo(a) bolsista, implicará(ão) no cancelamento da bolsa, com a restituição integral e imediata dos recursos, de acordo com os índices previstos em lei competente, acarretando ainda, a impossibilidade de receber benefícios por parte da CAPES e, ou da UFVJM, pelo período de cinco anos, contados do conhecimento do fato.</w:t>
      </w:r>
      <w:r/>
    </w:p>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jc w:val="both"/>
        <w:rPr>
          <w:sz w:val="24"/>
          <w:shd w:fill="FFFF00" w:val="clear"/>
          <w:sz w:val="24"/>
          <w:szCs w:val="24"/>
          <w:rFonts w:ascii="Times New Roman" w:hAnsi="Times New Roman" w:cs="Times New Roman"/>
        </w:rPr>
      </w:pPr>
      <w:r>
        <w:rPr>
          <w:rFonts w:cs="Times New Roman" w:ascii="Times New Roman" w:hAnsi="Times New Roman"/>
          <w:sz w:val="24"/>
          <w:szCs w:val="24"/>
          <w:shd w:fill="FFFF00" w:val="clear"/>
        </w:rPr>
        <w:t xml:space="preserve">Assinatura do(a) bolsista:______________________________ </w:t>
      </w:r>
      <w:r/>
    </w:p>
    <w:p>
      <w:pPr>
        <w:pStyle w:val="Normal"/>
        <w:spacing w:before="60" w:after="60"/>
        <w:jc w:val="both"/>
        <w:rPr>
          <w:sz w:val="24"/>
          <w:shd w:fill="FFFF00" w:val="clear"/>
          <w:sz w:val="24"/>
          <w:szCs w:val="24"/>
          <w:rFonts w:ascii="Times New Roman" w:hAnsi="Times New Roman" w:cs="Times New Roman"/>
        </w:rPr>
      </w:pPr>
      <w:r>
        <w:rPr>
          <w:rFonts w:cs="Times New Roman" w:ascii="Times New Roman" w:hAnsi="Times New Roman"/>
          <w:sz w:val="24"/>
          <w:szCs w:val="24"/>
          <w:shd w:fill="FFFF00" w:val="clear"/>
        </w:rPr>
        <w:t xml:space="preserve">Local de data: Diamantina, _____/_____/______ </w:t>
      </w:r>
      <w:r/>
    </w:p>
    <w:tbl>
      <w:tblPr>
        <w:tblStyle w:val="Tabelacomgrade"/>
        <w:tblW w:w="9494" w:type="dxa"/>
        <w:jc w:val="left"/>
        <w:tblInd w:w="0" w:type="dxa"/>
        <w:tblBorders/>
        <w:tblCellMar>
          <w:top w:w="0" w:type="dxa"/>
          <w:left w:w="108" w:type="dxa"/>
          <w:bottom w:w="0" w:type="dxa"/>
          <w:right w:w="108" w:type="dxa"/>
        </w:tblCellMar>
      </w:tblPr>
      <w:tblGrid>
        <w:gridCol w:w="4747"/>
        <w:gridCol w:w="4746"/>
      </w:tblGrid>
      <w:tr>
        <w:trPr/>
        <w:tc>
          <w:tcPr>
            <w:tcW w:w="4747" w:type="dxa"/>
            <w:tcBorders/>
            <w:shd w:fill="auto" w:val="clear"/>
            <w:tcMar>
              <w:left w:w="108" w:type="dxa"/>
            </w:tcMar>
          </w:tcPr>
          <w:p>
            <w:pPr>
              <w:pStyle w:val="Normal"/>
              <w:spacing w:before="60" w:after="60"/>
              <w:jc w:val="center"/>
              <w:rPr>
                <w:sz w:val="24"/>
                <w:b/>
                <w:shd w:fill="FFFF00" w:val="clear"/>
                <w:sz w:val="24"/>
                <w:b/>
                <w:rFonts w:ascii="Times New Roman" w:hAnsi="Times New Roman" w:cs="Times New Roman"/>
              </w:rPr>
            </w:pPr>
            <w:r>
              <w:rPr>
                <w:rFonts w:cs="Times New Roman" w:ascii="Times New Roman" w:hAnsi="Times New Roman"/>
                <w:b/>
                <w:sz w:val="24"/>
                <w:szCs w:val="24"/>
                <w:shd w:fill="FFFF00" w:val="clear"/>
                <w:lang w:eastAsia="zh-CN" w:bidi="hi-IN"/>
              </w:rPr>
              <w:t>Coordenador(a) do Programa de Pós Graduação</w:t>
            </w:r>
            <w:r/>
          </w:p>
          <w:p>
            <w:pPr>
              <w:pStyle w:val="Normal"/>
              <w:spacing w:before="60" w:after="60"/>
              <w:jc w:val="center"/>
              <w:rPr>
                <w:sz w:val="24"/>
                <w:b/>
                <w:shd w:fill="FFFF00" w:val="clear"/>
                <w:sz w:val="24"/>
                <w:b/>
                <w:szCs w:val="24"/>
                <w:rFonts w:ascii="Times New Roman" w:hAnsi="Times New Roman" w:cs="Times New Roman"/>
                <w:color w:val="00000A"/>
                <w:lang w:eastAsia="zh-CN" w:bidi="hi-IN"/>
              </w:rPr>
            </w:pPr>
            <w:r>
              <w:rPr>
                <w:rFonts w:cs="Times New Roman" w:ascii="Times New Roman" w:hAnsi="Times New Roman"/>
                <w:b/>
                <w:sz w:val="24"/>
                <w:szCs w:val="24"/>
                <w:shd w:fill="FFFF00" w:val="clear"/>
                <w:lang w:eastAsia="zh-CN" w:bidi="hi-IN"/>
              </w:rPr>
            </w:r>
            <w:r/>
          </w:p>
          <w:p>
            <w:pPr>
              <w:pStyle w:val="Normal"/>
              <w:spacing w:before="60" w:after="60"/>
              <w:jc w:val="center"/>
              <w:rPr>
                <w:sz w:val="24"/>
                <w:b/>
                <w:shd w:fill="FFFF00" w:val="clear"/>
                <w:sz w:val="24"/>
                <w:b/>
                <w:szCs w:val="24"/>
                <w:rFonts w:ascii="Times New Roman" w:hAnsi="Times New Roman" w:cs="Times New Roman"/>
                <w:color w:val="00000A"/>
                <w:lang w:eastAsia="zh-CN" w:bidi="hi-IN"/>
              </w:rPr>
            </w:pPr>
            <w:r>
              <w:rPr>
                <w:rFonts w:cs="Times New Roman" w:ascii="Times New Roman" w:hAnsi="Times New Roman"/>
                <w:b/>
                <w:sz w:val="24"/>
                <w:szCs w:val="24"/>
                <w:shd w:fill="FFFF00" w:val="clear"/>
                <w:lang w:eastAsia="zh-CN" w:bidi="hi-IN"/>
              </w:rPr>
            </w:r>
            <w:r/>
          </w:p>
          <w:p>
            <w:pPr>
              <w:pStyle w:val="Normal"/>
              <w:spacing w:before="60" w:after="60"/>
              <w:jc w:val="center"/>
              <w:rPr>
                <w:sz w:val="24"/>
                <w:shd w:fill="FFFF00" w:val="clear"/>
                <w:sz w:val="24"/>
                <w:rFonts w:ascii="Times New Roman" w:hAnsi="Times New Roman" w:cs="Times New Roman"/>
              </w:rPr>
            </w:pPr>
            <w:r>
              <w:rPr>
                <w:rFonts w:cs="Times New Roman" w:ascii="Times New Roman" w:hAnsi="Times New Roman"/>
                <w:b/>
                <w:sz w:val="24"/>
                <w:szCs w:val="24"/>
                <w:shd w:fill="FFFF00" w:val="clear"/>
                <w:lang w:eastAsia="zh-CN" w:bidi="hi-IN"/>
              </w:rPr>
              <w:t>Carimbo e assinatura</w:t>
            </w:r>
            <w:r/>
          </w:p>
        </w:tc>
        <w:tc>
          <w:tcPr>
            <w:tcW w:w="4746" w:type="dxa"/>
            <w:tcBorders/>
            <w:shd w:fill="auto" w:val="clear"/>
            <w:tcMar>
              <w:left w:w="108" w:type="dxa"/>
            </w:tcMar>
          </w:tcPr>
          <w:p>
            <w:pPr>
              <w:pStyle w:val="Normal"/>
              <w:spacing w:before="60" w:after="60"/>
              <w:jc w:val="center"/>
              <w:rPr>
                <w:sz w:val="24"/>
                <w:b/>
                <w:shd w:fill="FFFF00" w:val="clear"/>
                <w:sz w:val="24"/>
                <w:b/>
                <w:rFonts w:ascii="Times New Roman" w:hAnsi="Times New Roman" w:cs="Times New Roman"/>
              </w:rPr>
            </w:pPr>
            <w:r>
              <w:rPr>
                <w:rFonts w:cs="Times New Roman" w:ascii="Times New Roman" w:hAnsi="Times New Roman"/>
                <w:b/>
                <w:sz w:val="24"/>
                <w:szCs w:val="24"/>
                <w:shd w:fill="FFFF00" w:val="clear"/>
                <w:lang w:eastAsia="zh-CN" w:bidi="hi-IN"/>
              </w:rPr>
              <w:t>Representante da Comissão de Bolsas</w:t>
            </w:r>
            <w:r/>
          </w:p>
          <w:p>
            <w:pPr>
              <w:pStyle w:val="Normal"/>
              <w:spacing w:before="60" w:after="60"/>
              <w:jc w:val="center"/>
              <w:rPr>
                <w:sz w:val="24"/>
                <w:b/>
                <w:shd w:fill="FFFF00" w:val="clear"/>
                <w:sz w:val="24"/>
                <w:b/>
                <w:szCs w:val="24"/>
                <w:rFonts w:ascii="Times New Roman" w:hAnsi="Times New Roman" w:cs="Times New Roman"/>
                <w:color w:val="00000A"/>
                <w:lang w:eastAsia="zh-CN" w:bidi="hi-IN"/>
              </w:rPr>
            </w:pPr>
            <w:r>
              <w:rPr>
                <w:rFonts w:cs="Times New Roman" w:ascii="Times New Roman" w:hAnsi="Times New Roman"/>
                <w:b/>
                <w:sz w:val="24"/>
                <w:szCs w:val="24"/>
                <w:shd w:fill="FFFF00" w:val="clear"/>
                <w:lang w:eastAsia="zh-CN" w:bidi="hi-IN"/>
              </w:rPr>
            </w:r>
            <w:r/>
          </w:p>
          <w:p>
            <w:pPr>
              <w:pStyle w:val="Normal"/>
              <w:spacing w:before="60" w:after="60"/>
              <w:jc w:val="center"/>
              <w:rPr>
                <w:sz w:val="24"/>
                <w:b/>
                <w:shd w:fill="FFFF00" w:val="clear"/>
                <w:sz w:val="24"/>
                <w:b/>
                <w:szCs w:val="24"/>
                <w:rFonts w:ascii="Times New Roman" w:hAnsi="Times New Roman" w:cs="Times New Roman"/>
                <w:color w:val="00000A"/>
                <w:lang w:eastAsia="zh-CN" w:bidi="hi-IN"/>
              </w:rPr>
            </w:pPr>
            <w:r>
              <w:rPr>
                <w:rFonts w:cs="Times New Roman" w:ascii="Times New Roman" w:hAnsi="Times New Roman"/>
                <w:b/>
                <w:sz w:val="24"/>
                <w:szCs w:val="24"/>
                <w:shd w:fill="FFFF00" w:val="clear"/>
                <w:lang w:eastAsia="zh-CN" w:bidi="hi-IN"/>
              </w:rPr>
            </w:r>
            <w:r/>
          </w:p>
          <w:p>
            <w:pPr>
              <w:pStyle w:val="Normal"/>
              <w:spacing w:before="60" w:after="60"/>
              <w:jc w:val="center"/>
              <w:rPr>
                <w:sz w:val="24"/>
                <w:b/>
                <w:shd w:fill="FFFF00" w:val="clear"/>
                <w:sz w:val="24"/>
                <w:b/>
                <w:szCs w:val="24"/>
                <w:rFonts w:ascii="Times New Roman" w:hAnsi="Times New Roman" w:cs="Times New Roman"/>
                <w:color w:val="00000A"/>
                <w:lang w:eastAsia="zh-CN" w:bidi="hi-IN"/>
              </w:rPr>
            </w:pPr>
            <w:r>
              <w:rPr>
                <w:rFonts w:cs="Times New Roman" w:ascii="Times New Roman" w:hAnsi="Times New Roman"/>
                <w:b/>
                <w:sz w:val="24"/>
                <w:szCs w:val="24"/>
                <w:shd w:fill="FFFF00" w:val="clear"/>
                <w:lang w:eastAsia="zh-CN" w:bidi="hi-IN"/>
              </w:rPr>
            </w:r>
            <w:r/>
          </w:p>
          <w:p>
            <w:pPr>
              <w:pStyle w:val="Normal"/>
              <w:spacing w:before="60" w:after="60"/>
              <w:jc w:val="center"/>
              <w:rPr>
                <w:sz w:val="24"/>
                <w:b/>
                <w:sz w:val="24"/>
                <w:b/>
                <w:rFonts w:ascii="Times New Roman" w:hAnsi="Times New Roman" w:cs="Times New Roman"/>
              </w:rPr>
            </w:pPr>
            <w:r>
              <w:rPr>
                <w:rFonts w:cs="Times New Roman" w:ascii="Times New Roman" w:hAnsi="Times New Roman"/>
                <w:b/>
                <w:sz w:val="24"/>
                <w:szCs w:val="24"/>
                <w:shd w:fill="FFFF00" w:val="clear"/>
                <w:lang w:eastAsia="zh-CN" w:bidi="hi-IN"/>
              </w:rPr>
              <w:t>Nome e assinatura</w:t>
            </w:r>
            <w:r/>
          </w:p>
        </w:tc>
      </w:tr>
    </w:tbl>
    <w:p>
      <w:pPr>
        <w:pStyle w:val="Normal"/>
        <w:spacing w:before="60" w:after="60"/>
        <w:jc w:val="both"/>
        <w:rPr>
          <w:sz w:val="24"/>
          <w:sz w:val="24"/>
          <w:szCs w:val="24"/>
          <w:rFonts w:ascii="Times New Roman" w:hAnsi="Times New Roman" w:cs="Times New Roman"/>
          <w:color w:val="00000A"/>
        </w:rPr>
      </w:pPr>
      <w:r>
        <w:rPr>
          <w:rFonts w:cs="Times New Roman" w:ascii="Times New Roman" w:hAnsi="Times New Roman"/>
          <w:sz w:val="24"/>
          <w:szCs w:val="24"/>
        </w:rPr>
      </w:r>
      <w:r/>
    </w:p>
    <w:p>
      <w:pPr>
        <w:pStyle w:val="Normal"/>
        <w:spacing w:before="60" w:after="60"/>
        <w:jc w:val="both"/>
        <w:rPr>
          <w:sz w:val="22"/>
          <w:sz w:val="22"/>
          <w:color w:val="00000A"/>
        </w:rPr>
      </w:pPr>
      <w:r>
        <w:rPr/>
      </w:r>
      <w:r/>
    </w:p>
    <w:sectPr>
      <w:footerReference w:type="default" r:id="rId4"/>
      <w:type w:val="nextPage"/>
      <w:pgSz w:w="11906" w:h="16838"/>
      <w:pgMar w:left="1418" w:right="1134" w:header="0" w:top="1418" w:footer="709"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LiberationSerif">
    <w:altName w:val="Times New Roman"/>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
      </w:docPartObj>
    </w:sdtPr>
    <w:sdtContent>
      <w:p>
        <w:pPr>
          <w:pStyle w:val="Rodap"/>
          <w:jc w:val="right"/>
          <w:rPr>
            <w:sz w:val="20"/>
            <w:sz w:val="20"/>
            <w:szCs w:val="20"/>
            <w:rFonts w:ascii="Times New Roman" w:hAnsi="Times New Roman" w:cs="Times New Roman"/>
          </w:rPr>
        </w:pPr>
        <w:r>
          <w:rPr/>
          <w:fldChar w:fldCharType="begin"/>
        </w:r>
        <w:r>
          <w:instrText> PAGE </w:instrText>
        </w:r>
        <w:r>
          <w:fldChar w:fldCharType="separate"/>
        </w:r>
        <w:r>
          <w:t>7</w:t>
        </w:r>
        <w:r>
          <w:fldChar w:fldCharType="end"/>
        </w:r>
        <w:r/>
      </w:p>
    </w:sdtContent>
  </w:sdt>
  <w:p>
    <w:pPr>
      <w:pStyle w:val="Rodap"/>
    </w:pPr>
    <w:r>
      <w:rPr/>
    </w:r>
    <w:r/>
  </w:p>
</w:ftr>
</file>

<file path=word/settings.xml><?xml version="1.0" encoding="utf-8"?>
<w:settings xmlns:w="http://schemas.openxmlformats.org/wordprocessingml/2006/main">
  <w:zoom w:percent="13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pt-BR" w:eastAsia="pt-BR" w:bidi="ar-SA"/>
      </w:rPr>
    </w:rPrDefault>
    <w:pPrDefault>
      <w:pPr/>
    </w:pPrDefault>
  </w:docDefaults>
  <w:latentStyles w:count="267" w:defQFormat="0" w:defUnhideWhenUsed="1" w:defSemiHidden="1" w:defUIPriority="99" w:defLockedState="0">
    <w:lsdException w:qFormat="1" w:semiHidden="0" w:unhideWhenUsed="0" w:uiPriority="0" w:name="Normal"/>
    <w:lsdException w:qFormat="1" w:semiHidden="0" w:unhideWhenUsed="0"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header"/>
    <w:lsdException w:qFormat="1" w:uiPriority="35" w:name="caption"/>
    <w:lsdException w:qFormat="1" w:semiHidden="0" w:unhideWhenUsed="0" w:uiPriority="10" w:name="Title"/>
    <w:lsdException w:uiPriority="1" w:name="Default Paragraph Font"/>
    <w:lsdException w:qFormat="1" w:semiHidden="0" w:unhideWhenUsed="0" w:uiPriority="11" w:name="Subtitle"/>
    <w:lsdException w:uiPriority="0" w:name="Hyperlink"/>
    <w:lsdException w:qFormat="1" w:semiHidden="0" w:unhideWhenUsed="0" w:uiPriority="22" w:name="Strong"/>
    <w:lsdException w:qFormat="1" w:semiHidden="0" w:unhideWhenUsed="0" w:uiPriority="20" w:name="Emphasis"/>
    <w:lsdException w:semiHidden="0" w:unhideWhenUsed="0" w:uiPriority="39" w:name="Table Grid"/>
    <w:lsdException w:unhideWhenUsed="0" w:name="Placeholder Text"/>
    <w:lsdException w:qFormat="1" w:semiHidden="0" w:unhideWhenUsed="0" w:uiPriority="1" w:name="No Spacing"/>
    <w:lsdException w:semiHidden="0" w:unhideWhenUsed="0" w:uiPriority="60" w:name="Light Shading"/>
    <w:lsdException w:semiHidden="0" w:unhideWhenUsed="0" w:uiPriority="61" w:name="Light List"/>
    <w:lsdException w:semiHidden="0" w:unhideWhenUsed="0" w:uiPriority="62" w:name="Light Grid"/>
    <w:lsdException w:semiHidden="0" w:unhideWhenUsed="0" w:uiPriority="63" w:name="Medium Shading 1"/>
    <w:lsdException w:semiHidden="0" w:unhideWhenUsed="0" w:uiPriority="64" w:name="Medium Shading 2"/>
    <w:lsdException w:semiHidden="0" w:unhideWhenUsed="0" w:uiPriority="65" w:name="Medium List 1"/>
    <w:lsdException w:semiHidden="0" w:unhideWhenUsed="0" w:uiPriority="66" w:name="Medium List 2"/>
    <w:lsdException w:semiHidden="0" w:unhideWhenUsed="0" w:uiPriority="67" w:name="Medium Grid 1"/>
    <w:lsdException w:semiHidden="0" w:unhideWhenUsed="0" w:uiPriority="68" w:name="Medium Grid 2"/>
    <w:lsdException w:semiHidden="0" w:unhideWhenUsed="0" w:uiPriority="69" w:name="Medium Grid 3"/>
    <w:lsdException w:semiHidden="0" w:unhideWhenUsed="0" w:uiPriority="70" w:name="Dark List"/>
    <w:lsdException w:semiHidden="0" w:unhideWhenUsed="0" w:uiPriority="71" w:name="Colorful Shading"/>
    <w:lsdException w:semiHidden="0" w:unhideWhenUsed="0" w:uiPriority="72" w:name="Colorful List"/>
    <w:lsdException w:semiHidden="0" w:unhideWhenUsed="0" w:uiPriority="73" w:name="Colorful Grid"/>
    <w:lsdException w:semiHidden="0" w:unhideWhenUsed="0" w:uiPriority="60" w:name="Light Shading Accent 1"/>
    <w:lsdException w:semiHidden="0" w:unhideWhenUsed="0" w:uiPriority="61" w:name="Light List Accent 1"/>
    <w:lsdException w:semiHidden="0" w:unhideWhenUsed="0" w:uiPriority="62" w:name="Light Grid Accent 1"/>
    <w:lsdException w:semiHidden="0" w:unhideWhenUsed="0" w:uiPriority="63" w:name="Medium Shading 1 Accent 1"/>
    <w:lsdException w:semiHidden="0" w:unhideWhenUsed="0" w:uiPriority="64" w:name="Medium Shading 2 Accent 1"/>
    <w:lsdException w:semiHidden="0" w:unhideWhenUsed="0" w:uiPriority="65" w:name="Medium List 1 Accent 1"/>
    <w:lsdException w:unhideWhenUsed="0" w:name="Revision"/>
    <w:lsdException w:qFormat="1" w:semiHidden="0" w:unhideWhenUsed="0" w:uiPriority="34" w:name="List Paragraph"/>
    <w:lsdException w:qFormat="1" w:semiHidden="0" w:unhideWhenUsed="0" w:uiPriority="29" w:name="Quote"/>
    <w:lsdException w:qFormat="1" w:semiHidden="0" w:unhideWhenUsed="0" w:uiPriority="30" w:name="Intense Quote"/>
    <w:lsdException w:semiHidden="0" w:unhideWhenUsed="0" w:uiPriority="66" w:name="Medium List 2 Accent 1"/>
    <w:lsdException w:semiHidden="0" w:unhideWhenUsed="0" w:uiPriority="67" w:name="Medium Grid 1 Accent 1"/>
    <w:lsdException w:semiHidden="0" w:unhideWhenUsed="0" w:uiPriority="68" w:name="Medium Grid 2 Accent 1"/>
    <w:lsdException w:semiHidden="0" w:unhideWhenUsed="0" w:uiPriority="69" w:name="Medium Grid 3 Accent 1"/>
    <w:lsdException w:semiHidden="0" w:unhideWhenUsed="0" w:uiPriority="70" w:name="Dark List Accent 1"/>
    <w:lsdException w:semiHidden="0" w:unhideWhenUsed="0" w:uiPriority="71" w:name="Colorful Shading Accent 1"/>
    <w:lsdException w:semiHidden="0" w:unhideWhenUsed="0" w:uiPriority="72" w:name="Colorful List Accent 1"/>
    <w:lsdException w:semiHidden="0" w:unhideWhenUsed="0" w:uiPriority="73" w:name="Colorful Grid Accent 1"/>
    <w:lsdException w:semiHidden="0" w:unhideWhenUsed="0" w:uiPriority="60" w:name="Light Shading Accent 2"/>
    <w:lsdException w:semiHidden="0" w:unhideWhenUsed="0" w:uiPriority="61" w:name="Light List Accent 2"/>
    <w:lsdException w:semiHidden="0" w:unhideWhenUsed="0" w:uiPriority="62" w:name="Light Grid Accent 2"/>
    <w:lsdException w:semiHidden="0" w:unhideWhenUsed="0" w:uiPriority="63" w:name="Medium Shading 1 Accent 2"/>
    <w:lsdException w:semiHidden="0" w:unhideWhenUsed="0" w:uiPriority="64" w:name="Medium Shading 2 Accent 2"/>
    <w:lsdException w:semiHidden="0" w:unhideWhenUsed="0" w:uiPriority="65" w:name="Medium List 1 Accent 2"/>
    <w:lsdException w:semiHidden="0" w:unhideWhenUsed="0" w:uiPriority="66" w:name="Medium List 2 Accent 2"/>
    <w:lsdException w:semiHidden="0" w:unhideWhenUsed="0" w:uiPriority="67" w:name="Medium Grid 1 Accent 2"/>
    <w:lsdException w:semiHidden="0" w:unhideWhenUsed="0" w:uiPriority="68" w:name="Medium Grid 2 Accent 2"/>
    <w:lsdException w:semiHidden="0" w:unhideWhenUsed="0" w:uiPriority="69" w:name="Medium Grid 3 Accent 2"/>
    <w:lsdException w:semiHidden="0" w:unhideWhenUsed="0" w:uiPriority="70" w:name="Dark List Accent 2"/>
    <w:lsdException w:semiHidden="0" w:unhideWhenUsed="0" w:uiPriority="71" w:name="Colorful Shading Accent 2"/>
    <w:lsdException w:semiHidden="0" w:unhideWhenUsed="0" w:uiPriority="72" w:name="Colorful List Accent 2"/>
    <w:lsdException w:semiHidden="0" w:unhideWhenUsed="0" w:uiPriority="73" w:name="Colorful Grid Accent 2"/>
    <w:lsdException w:semiHidden="0" w:unhideWhenUsed="0" w:uiPriority="60" w:name="Light Shading Accent 3"/>
    <w:lsdException w:semiHidden="0" w:unhideWhenUsed="0" w:uiPriority="61" w:name="Light List Accent 3"/>
    <w:lsdException w:semiHidden="0" w:unhideWhenUsed="0" w:uiPriority="62" w:name="Light Grid Accent 3"/>
    <w:lsdException w:semiHidden="0" w:unhideWhenUsed="0" w:uiPriority="63" w:name="Medium Shading 1 Accent 3"/>
    <w:lsdException w:semiHidden="0" w:unhideWhenUsed="0" w:uiPriority="64" w:name="Medium Shading 2 Accent 3"/>
    <w:lsdException w:semiHidden="0" w:unhideWhenUsed="0" w:uiPriority="65" w:name="Medium List 1 Accent 3"/>
    <w:lsdException w:semiHidden="0" w:unhideWhenUsed="0" w:uiPriority="66" w:name="Medium List 2 Accent 3"/>
    <w:lsdException w:semiHidden="0" w:unhideWhenUsed="0" w:uiPriority="67" w:name="Medium Grid 1 Accent 3"/>
    <w:lsdException w:semiHidden="0" w:unhideWhenUsed="0" w:uiPriority="68" w:name="Medium Grid 2 Accent 3"/>
    <w:lsdException w:semiHidden="0" w:unhideWhenUsed="0" w:uiPriority="69" w:name="Medium Grid 3 Accent 3"/>
    <w:lsdException w:semiHidden="0" w:unhideWhenUsed="0" w:uiPriority="70" w:name="Dark List Accent 3"/>
    <w:lsdException w:semiHidden="0" w:unhideWhenUsed="0" w:uiPriority="71" w:name="Colorful Shading Accent 3"/>
    <w:lsdException w:semiHidden="0" w:unhideWhenUsed="0" w:uiPriority="72" w:name="Colorful List Accent 3"/>
    <w:lsdException w:semiHidden="0" w:unhideWhenUsed="0" w:uiPriority="73" w:name="Colorful Grid Accent 3"/>
    <w:lsdException w:semiHidden="0" w:unhideWhenUsed="0" w:uiPriority="60" w:name="Light Shading Accent 4"/>
    <w:lsdException w:semiHidden="0" w:unhideWhenUsed="0" w:uiPriority="61" w:name="Light List Accent 4"/>
    <w:lsdException w:semiHidden="0" w:unhideWhenUsed="0" w:uiPriority="62" w:name="Light Grid Accent 4"/>
    <w:lsdException w:semiHidden="0" w:unhideWhenUsed="0" w:uiPriority="63" w:name="Medium Shading 1 Accent 4"/>
    <w:lsdException w:semiHidden="0" w:unhideWhenUsed="0" w:uiPriority="64" w:name="Medium Shading 2 Accent 4"/>
    <w:lsdException w:semiHidden="0" w:unhideWhenUsed="0" w:uiPriority="65" w:name="Medium List 1 Accent 4"/>
    <w:lsdException w:semiHidden="0" w:unhideWhenUsed="0" w:uiPriority="66" w:name="Medium List 2 Accent 4"/>
    <w:lsdException w:semiHidden="0" w:unhideWhenUsed="0" w:uiPriority="67" w:name="Medium Grid 1 Accent 4"/>
    <w:lsdException w:semiHidden="0" w:unhideWhenUsed="0" w:uiPriority="68" w:name="Medium Grid 2 Accent 4"/>
    <w:lsdException w:semiHidden="0" w:unhideWhenUsed="0" w:uiPriority="69" w:name="Medium Grid 3 Accent 4"/>
    <w:lsdException w:semiHidden="0" w:unhideWhenUsed="0" w:uiPriority="70" w:name="Dark List Accent 4"/>
    <w:lsdException w:semiHidden="0" w:unhideWhenUsed="0" w:uiPriority="71" w:name="Colorful Shading Accent 4"/>
    <w:lsdException w:semiHidden="0" w:unhideWhenUsed="0" w:uiPriority="72" w:name="Colorful List Accent 4"/>
    <w:lsdException w:semiHidden="0" w:unhideWhenUsed="0" w:uiPriority="73" w:name="Colorful Grid Accent 4"/>
    <w:lsdException w:semiHidden="0" w:unhideWhenUsed="0" w:uiPriority="60" w:name="Light Shading Accent 5"/>
    <w:lsdException w:semiHidden="0" w:unhideWhenUsed="0" w:uiPriority="61" w:name="Light List Accent 5"/>
    <w:lsdException w:semiHidden="0" w:unhideWhenUsed="0" w:uiPriority="62" w:name="Light Grid Accent 5"/>
    <w:lsdException w:semiHidden="0" w:unhideWhenUsed="0" w:uiPriority="63" w:name="Medium Shading 1 Accent 5"/>
    <w:lsdException w:semiHidden="0" w:unhideWhenUsed="0" w:uiPriority="64" w:name="Medium Shading 2 Accent 5"/>
    <w:lsdException w:semiHidden="0" w:unhideWhenUsed="0" w:uiPriority="65" w:name="Medium List 1 Accent 5"/>
    <w:lsdException w:semiHidden="0" w:unhideWhenUsed="0" w:uiPriority="66" w:name="Medium List 2 Accent 5"/>
    <w:lsdException w:semiHidden="0" w:unhideWhenUsed="0" w:uiPriority="67" w:name="Medium Grid 1 Accent 5"/>
    <w:lsdException w:semiHidden="0" w:unhideWhenUsed="0" w:uiPriority="68" w:name="Medium Grid 2 Accent 5"/>
    <w:lsdException w:semiHidden="0" w:unhideWhenUsed="0" w:uiPriority="69" w:name="Medium Grid 3 Accent 5"/>
    <w:lsdException w:semiHidden="0" w:unhideWhenUsed="0" w:uiPriority="70" w:name="Dark List Accent 5"/>
    <w:lsdException w:semiHidden="0" w:unhideWhenUsed="0" w:uiPriority="71" w:name="Colorful Shading Accent 5"/>
    <w:lsdException w:semiHidden="0" w:unhideWhenUsed="0" w:uiPriority="72" w:name="Colorful List Accent 5"/>
    <w:lsdException w:semiHidden="0" w:unhideWhenUsed="0" w:uiPriority="73" w:name="Colorful Grid Accent 5"/>
    <w:lsdException w:semiHidden="0" w:unhideWhenUsed="0" w:uiPriority="60" w:name="Light Shading Accent 6"/>
    <w:lsdException w:semiHidden="0" w:unhideWhenUsed="0" w:uiPriority="61" w:name="Light List Accent 6"/>
    <w:lsdException w:semiHidden="0" w:unhideWhenUsed="0" w:uiPriority="62" w:name="Light Grid Accent 6"/>
    <w:lsdException w:semiHidden="0" w:unhideWhenUsed="0" w:uiPriority="63" w:name="Medium Shading 1 Accent 6"/>
    <w:lsdException w:semiHidden="0" w:unhideWhenUsed="0" w:uiPriority="64" w:name="Medium Shading 2 Accent 6"/>
    <w:lsdException w:semiHidden="0" w:unhideWhenUsed="0" w:uiPriority="65" w:name="Medium List 1 Accent 6"/>
    <w:lsdException w:semiHidden="0" w:unhideWhenUsed="0" w:uiPriority="66" w:name="Medium List 2 Accent 6"/>
    <w:lsdException w:semiHidden="0" w:unhideWhenUsed="0" w:uiPriority="67" w:name="Medium Grid 1 Accent 6"/>
    <w:lsdException w:semiHidden="0" w:unhideWhenUsed="0" w:uiPriority="68" w:name="Medium Grid 2 Accent 6"/>
    <w:lsdException w:semiHidden="0" w:unhideWhenUsed="0" w:uiPriority="69" w:name="Medium Grid 3 Accent 6"/>
    <w:lsdException w:semiHidden="0" w:unhideWhenUsed="0" w:uiPriority="70" w:name="Dark List Accent 6"/>
    <w:lsdException w:semiHidden="0" w:unhideWhenUsed="0" w:uiPriority="71" w:name="Colorful Shading Accent 6"/>
    <w:lsdException w:semiHidden="0" w:unhideWhenUsed="0" w:uiPriority="72" w:name="Colorful List Accent 6"/>
    <w:lsdException w:semiHidden="0" w:unhideWhenUsed="0" w:uiPriority="73" w:name="Colorful Grid Accent 6"/>
    <w:lsdException w:qFormat="1" w:semiHidden="0" w:unhideWhenUsed="0" w:uiPriority="19" w:name="Subtle Emphasis"/>
    <w:lsdException w:qFormat="1" w:semiHidden="0" w:unhideWhenUsed="0" w:uiPriority="21" w:name="Intense Emphasis"/>
    <w:lsdException w:qFormat="1" w:semiHidden="0" w:unhideWhenUsed="0" w:uiPriority="31" w:name="Subtle Reference"/>
    <w:lsdException w:qFormat="1" w:semiHidden="0" w:unhideWhenUsed="0" w:uiPriority="32" w:name="Intense Reference"/>
    <w:lsdException w:qFormat="1" w:semiHidden="0" w:unhideWhenUsed="0" w:uiPriority="33" w:name="Book Title"/>
    <w:lsdException w:uiPriority="37" w:name="Bibliography"/>
    <w:lsdException w:qFormat="1" w:uiPriority="39" w:name="TOC Heading"/>
  </w:latentStyles>
  <w:style w:type="paragraph" w:styleId="Normal" w:default="1">
    <w:name w:val="Normal"/>
    <w:qFormat/>
    <w:pPr>
      <w:widowControl/>
      <w:suppressAutoHyphens w:val="true"/>
      <w:bidi w:val="0"/>
      <w:spacing w:lineRule="auto" w:line="276" w:before="0" w:after="200"/>
      <w:jc w:val="left"/>
    </w:pPr>
    <w:rPr>
      <w:rFonts w:ascii="Calibri" w:hAnsi="Calibri" w:eastAsia="" w:cs=""/>
      <w:color w:val="00000A"/>
      <w:sz w:val="22"/>
      <w:szCs w:val="22"/>
      <w:lang w:val="pt-BR" w:eastAsia="pt-BR" w:bidi="ar-SA"/>
    </w:rPr>
  </w:style>
  <w:style w:type="character" w:styleId="DefaultParagraphFont" w:default="1">
    <w:name w:val="Default Paragraph Font"/>
    <w:uiPriority w:val="1"/>
    <w:semiHidden/>
    <w:unhideWhenUsed/>
    <w:rPr/>
  </w:style>
  <w:style w:type="character" w:styleId="CabealhoChar" w:customStyle="1">
    <w:name w:val="Cabeçalho Char"/>
    <w:basedOn w:val="DefaultParagraphFont"/>
    <w:link w:val="Cabealho"/>
    <w:qFormat/>
    <w:rsid w:val="00fd733f"/>
    <w:rPr/>
  </w:style>
  <w:style w:type="character" w:styleId="RodapChar" w:customStyle="1">
    <w:name w:val="Rodapé Char"/>
    <w:basedOn w:val="DefaultParagraphFont"/>
    <w:link w:val="Rodap"/>
    <w:uiPriority w:val="99"/>
    <w:qFormat/>
    <w:rsid w:val="00fd733f"/>
    <w:rPr/>
  </w:style>
  <w:style w:type="character" w:styleId="LinkdaInternet" w:customStyle="1">
    <w:name w:val="Link da Internet"/>
    <w:basedOn w:val="DefaultParagraphFont"/>
    <w:rsid w:val="00901ed7"/>
    <w:rPr>
      <w:color w:val="000080"/>
      <w:u w:val="single"/>
      <w:lang w:val="zxx" w:eastAsia="zxx" w:bidi="zxx"/>
    </w:rPr>
  </w:style>
  <w:style w:type="character" w:styleId="TextodebaloChar" w:customStyle="1">
    <w:name w:val="Texto de balão Char"/>
    <w:basedOn w:val="DefaultParagraphFont"/>
    <w:link w:val="Textodebalo"/>
    <w:uiPriority w:val="99"/>
    <w:semiHidden/>
    <w:qFormat/>
    <w:rsid w:val="00901ed7"/>
    <w:rPr>
      <w:rFonts w:ascii="Tahoma" w:hAnsi="Tahoma" w:cs="Tahoma"/>
      <w:sz w:val="16"/>
      <w:szCs w:val="16"/>
    </w:rPr>
  </w:style>
  <w:style w:type="character" w:styleId="Appleconvertedspace" w:customStyle="1">
    <w:name w:val="apple-converted-space"/>
    <w:basedOn w:val="DefaultParagraphFont"/>
    <w:qFormat/>
    <w:rsid w:val="009e2c3a"/>
    <w:rPr/>
  </w:style>
  <w:style w:type="character" w:styleId="TextodecomentrioChar" w:customStyle="1">
    <w:name w:val="Texto de comentário Char"/>
    <w:basedOn w:val="DefaultParagraphFont"/>
    <w:link w:val="Textodecomentrio"/>
    <w:uiPriority w:val="99"/>
    <w:semiHidden/>
    <w:rPr>
      <w:color w:val="00000A"/>
      <w:szCs w:val="20"/>
    </w:rPr>
  </w:style>
  <w:style w:type="character" w:styleId="Annotationreference">
    <w:name w:val="annotation reference"/>
    <w:basedOn w:val="DefaultParagraphFont"/>
    <w:uiPriority w:val="99"/>
    <w:semiHidden/>
    <w:unhideWhenUsed/>
    <w:rPr>
      <w:sz w:val="16"/>
      <w:szCs w:val="16"/>
    </w:rPr>
  </w:style>
  <w:style w:type="paragraph" w:styleId="Ttulo">
    <w:name w:val="Título"/>
    <w:basedOn w:val="Normal"/>
    <w:next w:val="Corpodotexto"/>
    <w:pPr>
      <w:keepNext/>
      <w:spacing w:before="240" w:after="120"/>
    </w:pPr>
    <w:rPr>
      <w:rFonts w:ascii="Liberation Sans" w:hAnsi="Liberation Sans" w:eastAsia="Microsoft YaHei" w:cs="Mangal"/>
      <w:sz w:val="28"/>
      <w:szCs w:val="28"/>
    </w:rPr>
  </w:style>
  <w:style w:type="paragraph" w:styleId="Corpodotexto">
    <w:name w:val="Corpo do texto"/>
    <w:basedOn w:val="Normal"/>
    <w:pPr>
      <w:spacing w:lineRule="auto" w:line="288" w:before="0" w:after="140"/>
    </w:pPr>
    <w:rPr/>
  </w:style>
  <w:style w:type="paragraph" w:styleId="Lista">
    <w:name w:val="Lista"/>
    <w:basedOn w:val="Corpodotexto"/>
    <w:pPr/>
    <w:rPr>
      <w:rFonts w:cs="FreeSans"/>
    </w:rPr>
  </w:style>
  <w:style w:type="paragraph" w:styleId="Legenda">
    <w:name w:val="Legenda"/>
    <w:basedOn w:val="Normal"/>
    <w:pPr>
      <w:suppressLineNumbers/>
      <w:spacing w:before="120" w:after="120"/>
    </w:pPr>
    <w:rPr>
      <w:rFonts w:cs="Mangal"/>
      <w:i/>
      <w:iCs/>
      <w:sz w:val="24"/>
      <w:szCs w:val="24"/>
    </w:rPr>
  </w:style>
  <w:style w:type="paragraph" w:styleId="Ndice" w:customStyle="1">
    <w:name w:val="Índice"/>
    <w:basedOn w:val="Normal"/>
    <w:qFormat/>
    <w:pPr>
      <w:suppressLineNumbers/>
    </w:pPr>
    <w:rPr>
      <w:rFonts w:cs="FreeSans"/>
    </w:rPr>
  </w:style>
  <w:style w:type="paragraph" w:styleId="Ttulododocumento">
    <w:name w:val="Título do documento"/>
    <w:basedOn w:val="Normal"/>
    <w:qFormat/>
    <w:pPr>
      <w:keepNext/>
      <w:spacing w:before="240" w:after="120"/>
    </w:pPr>
    <w:rPr>
      <w:rFonts w:ascii="Liberation Sans" w:hAnsi="Liberation Sans" w:eastAsia="DejaVu Sans" w:cs="FreeSans"/>
      <w:sz w:val="28"/>
      <w:szCs w:val="28"/>
    </w:rPr>
  </w:style>
  <w:style w:type="paragraph" w:styleId="Caption">
    <w:name w:val="caption"/>
    <w:basedOn w:val="Normal"/>
    <w:qFormat/>
    <w:pPr>
      <w:suppressLineNumbers/>
      <w:spacing w:before="120" w:after="120"/>
    </w:pPr>
    <w:rPr>
      <w:rFonts w:cs="FreeSans"/>
      <w:i/>
      <w:iCs/>
      <w:sz w:val="24"/>
      <w:szCs w:val="24"/>
    </w:rPr>
  </w:style>
  <w:style w:type="paragraph" w:styleId="Cabealho">
    <w:name w:val="Cabeçalho"/>
    <w:basedOn w:val="Normal"/>
    <w:link w:val="CabealhoChar"/>
    <w:unhideWhenUsed/>
    <w:rsid w:val="00fd733f"/>
    <w:pPr>
      <w:tabs>
        <w:tab w:val="center" w:pos="4252" w:leader="none"/>
        <w:tab w:val="right" w:pos="8504" w:leader="none"/>
      </w:tabs>
      <w:spacing w:lineRule="auto" w:line="240" w:before="0" w:after="0"/>
    </w:pPr>
    <w:rPr/>
  </w:style>
  <w:style w:type="paragraph" w:styleId="Rodap">
    <w:name w:val="Rodapé"/>
    <w:basedOn w:val="Normal"/>
    <w:link w:val="RodapChar"/>
    <w:uiPriority w:val="99"/>
    <w:unhideWhenUsed/>
    <w:rsid w:val="00fd733f"/>
    <w:pPr>
      <w:tabs>
        <w:tab w:val="center" w:pos="4252" w:leader="none"/>
        <w:tab w:val="right" w:pos="8504" w:leader="none"/>
      </w:tabs>
      <w:spacing w:lineRule="auto" w:line="240" w:before="0" w:after="0"/>
    </w:pPr>
    <w:rPr/>
  </w:style>
  <w:style w:type="paragraph" w:styleId="ListParagraph">
    <w:name w:val="List Paragraph"/>
    <w:basedOn w:val="Normal"/>
    <w:uiPriority w:val="34"/>
    <w:qFormat/>
    <w:rsid w:val="004654f4"/>
    <w:pPr>
      <w:spacing w:before="0" w:after="200"/>
      <w:ind w:left="720" w:hanging="0"/>
      <w:contextualSpacing/>
    </w:pPr>
    <w:rPr/>
  </w:style>
  <w:style w:type="paragraph" w:styleId="BalloonText">
    <w:name w:val="Balloon Text"/>
    <w:basedOn w:val="Normal"/>
    <w:link w:val="TextodebaloChar"/>
    <w:uiPriority w:val="99"/>
    <w:semiHidden/>
    <w:unhideWhenUsed/>
    <w:qFormat/>
    <w:rsid w:val="00901ed7"/>
    <w:pPr>
      <w:spacing w:lineRule="auto" w:line="240" w:before="0" w:after="0"/>
    </w:pPr>
    <w:rPr>
      <w:rFonts w:ascii="Tahoma" w:hAnsi="Tahoma" w:cs="Tahoma"/>
      <w:sz w:val="16"/>
      <w:szCs w:val="16"/>
    </w:rPr>
  </w:style>
  <w:style w:type="paragraph" w:styleId="Annotationtext">
    <w:name w:val="annotation text"/>
    <w:basedOn w:val="Normal"/>
    <w:link w:val="TextodecomentrioChar"/>
    <w:uiPriority w:val="99"/>
    <w:semiHidden/>
    <w:unhideWhenUsed/>
    <w:pPr>
      <w:spacing w:lineRule="auto" w:line="240"/>
    </w:pPr>
    <w:rPr>
      <w:sz w:val="20"/>
      <w:szCs w:val="20"/>
    </w:rPr>
  </w:style>
  <w:style w:type="paragraph" w:styleId="Revision">
    <w:name w:val="Revision"/>
    <w:uiPriority w:val="99"/>
    <w:semiHidden/>
    <w:rsid w:val="00b56b4a"/>
    <w:pPr>
      <w:widowControl/>
      <w:suppressAutoHyphens w:val="true"/>
      <w:bidi w:val="0"/>
      <w:jc w:val="left"/>
    </w:pPr>
    <w:rPr>
      <w:rFonts w:ascii="Calibri" w:hAnsi="Calibri" w:eastAsia="" w:cs=""/>
      <w:color w:val="00000A"/>
      <w:sz w:val="22"/>
      <w:szCs w:val="22"/>
      <w:lang w:val="pt-BR" w:eastAsia="pt-BR" w:bidi="ar-SA"/>
    </w:rPr>
  </w:style>
  <w:style w:type="paragraph" w:styleId="Default" w:customStyle="1">
    <w:name w:val="Default"/>
    <w:rsid w:val="00a56f90"/>
    <w:pPr>
      <w:widowControl/>
      <w:suppressAutoHyphens w:val="true"/>
      <w:bidi w:val="0"/>
      <w:jc w:val="left"/>
    </w:pPr>
    <w:rPr>
      <w:rFonts w:ascii="Times New Roman" w:hAnsi="Times New Roman" w:eastAsia="Arial" w:cs="Times New Roman"/>
      <w:color w:val="000000"/>
      <w:sz w:val="24"/>
      <w:szCs w:val="24"/>
      <w:lang w:eastAsia="ar-SA" w:val="pt-BR" w:bidi="ar-SA"/>
    </w:rPr>
  </w:style>
  <w:style w:type="numbering" w:styleId="NoList" w:default="1">
    <w:name w:val="No List"/>
    <w:uiPriority w:val="99"/>
    <w:semiHidden/>
    <w:unhideWhenUsed/>
  </w:style>
  <w:style w:type="table" w:default="1" w:styleId="Tabelanormal">
    <w:name w:val="Normal Table"/>
    <w:uiPriority w:val="99"/>
    <w:semiHidden/>
    <w:unhideWhenUsed/>
    <w:tblPr>
      <w:tblInd w:type="dxa" w:w="0"/>
      <w:tblCellMar>
        <w:top w:w="0" w:type="dxa"/>
        <w:left w:w="108" w:type="dxa"/>
        <w:bottom w:w="0" w:type="dxa"/>
        <w:right w:w="108" w:type="dxa"/>
      </w:tblCellMar>
    </w:tblPr>
  </w:style>
  <w:style w:type="table" w:styleId="Tabelacomgrade">
    <w:name w:val="Table Grid"/>
    <w:basedOn w:val="Tabelanormal"/>
    <w:uiPriority w:val="39"/>
    <w:rsid w:val="00901ed7"/>
    <w:rPr>
      <w:lang w:bidi="hi-IN" w:eastAsia="zh-CN"/>
      <w:sz w:val="24"/>
      <w:szCs w:val="24"/>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64AE5-4D91-4289-B1E1-FDF6B3AA1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LibreOffice/4.3.7.2$Windows_x86 LibreOffice_project/8a35821d8636a03b8bf4e15b48f59794652c68ba</Application>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2016-07-06T18:55:00Z</dcterms:created>
  <dc:creator>Dulce</dc:creator>
  <dc:language>pt-BR</dc:language>
  <cp:lastModifiedBy>Reynaldo</cp:lastModifiedBy>
  <cp:lastPrinted>2016-07-01T11:53:00Z</cp:lastPrinted>
  <dcterms:modified xsi:type="dcterms:W3CDTF">2016-07-06T19:38:00Z</dcterms:modified>
  <cp:revision>6</cp:revision>
</cp:coreProperties>
</file>