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1B5" w:rsidRDefault="00DD21B5" w:rsidP="00307264">
      <w:pPr>
        <w:rPr>
          <w:rFonts w:ascii="Arial" w:hAnsi="Arial" w:cs="Arial"/>
        </w:rPr>
      </w:pPr>
    </w:p>
    <w:p w:rsidR="006C7134" w:rsidRDefault="006C7134" w:rsidP="001C6C91">
      <w:pPr>
        <w:jc w:val="center"/>
        <w:rPr>
          <w:rFonts w:ascii="Arial" w:hAnsi="Arial" w:cs="Arial"/>
        </w:rPr>
      </w:pPr>
      <w:r>
        <w:rPr>
          <w:rFonts w:ascii="Arial" w:hAnsi="Arial" w:cs="Arial"/>
        </w:rPr>
        <w:t>Anexo</w:t>
      </w:r>
      <w:r w:rsidR="00307264">
        <w:rPr>
          <w:rFonts w:ascii="Arial" w:hAnsi="Arial" w:cs="Arial"/>
        </w:rPr>
        <w:t xml:space="preserve"> I-</w:t>
      </w:r>
      <w:r>
        <w:rPr>
          <w:rFonts w:ascii="Arial" w:hAnsi="Arial" w:cs="Arial"/>
        </w:rPr>
        <w:t xml:space="preserve"> </w:t>
      </w:r>
      <w:r w:rsidR="00307264">
        <w:rPr>
          <w:rFonts w:ascii="Arial" w:hAnsi="Arial" w:cs="Arial"/>
        </w:rPr>
        <w:t xml:space="preserve">Alteração de Ementas de unidades curriculares do curso de graduação em </w:t>
      </w:r>
      <w:r w:rsidR="009F499C">
        <w:rPr>
          <w:rFonts w:ascii="Arial" w:hAnsi="Arial" w:cs="Arial"/>
        </w:rPr>
        <w:t>Engenharia Química</w:t>
      </w:r>
    </w:p>
    <w:p w:rsidR="00307264" w:rsidRDefault="00307264" w:rsidP="001C6C91">
      <w:pPr>
        <w:jc w:val="center"/>
        <w:rPr>
          <w:rFonts w:ascii="Arial" w:hAnsi="Arial" w:cs="Arial"/>
        </w:rPr>
      </w:pPr>
    </w:p>
    <w:tbl>
      <w:tblPr>
        <w:tblStyle w:val="Tabelacomgrade"/>
        <w:tblW w:w="0" w:type="auto"/>
        <w:tblLook w:val="04A0" w:firstRow="1" w:lastRow="0" w:firstColumn="1" w:lastColumn="0" w:noHBand="0" w:noVBand="1"/>
      </w:tblPr>
      <w:tblGrid>
        <w:gridCol w:w="4322"/>
        <w:gridCol w:w="4322"/>
      </w:tblGrid>
      <w:tr w:rsidR="00CA4AF4" w:rsidRPr="00AD2C23" w:rsidTr="00DC2548">
        <w:tc>
          <w:tcPr>
            <w:tcW w:w="8644" w:type="dxa"/>
            <w:gridSpan w:val="2"/>
          </w:tcPr>
          <w:p w:rsidR="00CA4AF4" w:rsidRPr="00AD2C23" w:rsidRDefault="00CA4AF4" w:rsidP="00DC2548">
            <w:pPr>
              <w:jc w:val="center"/>
              <w:rPr>
                <w:rFonts w:ascii="Arial" w:hAnsi="Arial" w:cs="Arial"/>
                <w:b/>
              </w:rPr>
            </w:pPr>
            <w:r w:rsidRPr="00AD2C23">
              <w:rPr>
                <w:rFonts w:ascii="Arial" w:hAnsi="Arial" w:cs="Arial"/>
                <w:b/>
              </w:rPr>
              <w:t>ENG102-Operações Unitárias II</w:t>
            </w:r>
          </w:p>
        </w:tc>
      </w:tr>
      <w:tr w:rsidR="00CA4AF4" w:rsidRPr="00AD2C23" w:rsidTr="00DC2548">
        <w:tc>
          <w:tcPr>
            <w:tcW w:w="4322" w:type="dxa"/>
          </w:tcPr>
          <w:p w:rsidR="00CA4AF4" w:rsidRPr="00AD2C23" w:rsidRDefault="00CA4AF4" w:rsidP="00DC2548">
            <w:pPr>
              <w:jc w:val="center"/>
              <w:rPr>
                <w:rFonts w:ascii="Arial" w:hAnsi="Arial" w:cs="Arial"/>
                <w:b/>
              </w:rPr>
            </w:pPr>
            <w:r w:rsidRPr="00AD2C23">
              <w:rPr>
                <w:rFonts w:ascii="Arial" w:hAnsi="Arial" w:cs="Arial"/>
                <w:b/>
              </w:rPr>
              <w:t>Ementa antiga</w:t>
            </w:r>
          </w:p>
        </w:tc>
        <w:tc>
          <w:tcPr>
            <w:tcW w:w="4322" w:type="dxa"/>
          </w:tcPr>
          <w:p w:rsidR="00CA4AF4" w:rsidRPr="00AD2C23" w:rsidRDefault="00CA4AF4" w:rsidP="00DC2548">
            <w:pPr>
              <w:jc w:val="center"/>
              <w:rPr>
                <w:rFonts w:ascii="Arial" w:hAnsi="Arial" w:cs="Arial"/>
                <w:b/>
              </w:rPr>
            </w:pPr>
            <w:r w:rsidRPr="00AD2C23">
              <w:rPr>
                <w:rFonts w:ascii="Arial" w:hAnsi="Arial" w:cs="Arial"/>
                <w:b/>
              </w:rPr>
              <w:t>Ementa nova</w:t>
            </w:r>
          </w:p>
        </w:tc>
      </w:tr>
      <w:tr w:rsidR="00CA4AF4" w:rsidRPr="00AD2C23" w:rsidTr="00DC2548">
        <w:tc>
          <w:tcPr>
            <w:tcW w:w="4322" w:type="dxa"/>
          </w:tcPr>
          <w:p w:rsidR="00CA4AF4" w:rsidRPr="00AD2C23" w:rsidRDefault="00CA4AF4" w:rsidP="00DC2548">
            <w:pPr>
              <w:rPr>
                <w:rFonts w:ascii="Arial" w:hAnsi="Arial" w:cs="Arial"/>
              </w:rPr>
            </w:pPr>
            <w:r w:rsidRPr="00AD2C23">
              <w:rPr>
                <w:rFonts w:ascii="Arial" w:hAnsi="Arial" w:cs="Arial"/>
              </w:rPr>
              <w:t>Destilação extração líquido-líquido, extração sólido-líquido, lixiviação, absorção, troca iônica, operações em estágios e em colunas de recheio.</w:t>
            </w:r>
          </w:p>
        </w:tc>
        <w:tc>
          <w:tcPr>
            <w:tcW w:w="4322" w:type="dxa"/>
          </w:tcPr>
          <w:p w:rsidR="00CA4AF4" w:rsidRPr="00AD2C23" w:rsidRDefault="00CA4AF4" w:rsidP="00DC2548">
            <w:pPr>
              <w:rPr>
                <w:rFonts w:ascii="Arial" w:hAnsi="Arial" w:cs="Arial"/>
              </w:rPr>
            </w:pPr>
            <w:r w:rsidRPr="00AD2C23">
              <w:rPr>
                <w:rFonts w:ascii="Arial" w:hAnsi="Arial" w:cs="Arial"/>
              </w:rPr>
              <w:t>Trocadores de calor com e sem mudança de fase. Evaporação. Cristalização. Umidificação. Secagem. Refrigeração</w:t>
            </w:r>
          </w:p>
        </w:tc>
      </w:tr>
    </w:tbl>
    <w:p w:rsidR="00CA4AF4" w:rsidRDefault="00CA4AF4"/>
    <w:tbl>
      <w:tblPr>
        <w:tblStyle w:val="Tabelacomgrade"/>
        <w:tblW w:w="0" w:type="auto"/>
        <w:tblLook w:val="04A0" w:firstRow="1" w:lastRow="0" w:firstColumn="1" w:lastColumn="0" w:noHBand="0" w:noVBand="1"/>
      </w:tblPr>
      <w:tblGrid>
        <w:gridCol w:w="4322"/>
        <w:gridCol w:w="4322"/>
      </w:tblGrid>
      <w:tr w:rsidR="00CA4AF4" w:rsidRPr="00AD2C23" w:rsidTr="00DC2548">
        <w:tc>
          <w:tcPr>
            <w:tcW w:w="8644" w:type="dxa"/>
            <w:gridSpan w:val="2"/>
          </w:tcPr>
          <w:p w:rsidR="00CA4AF4" w:rsidRPr="00AD2C23" w:rsidRDefault="00CA4AF4" w:rsidP="00DC2548">
            <w:pPr>
              <w:jc w:val="center"/>
              <w:rPr>
                <w:rFonts w:ascii="Arial" w:hAnsi="Arial" w:cs="Arial"/>
                <w:b/>
              </w:rPr>
            </w:pPr>
            <w:r>
              <w:rPr>
                <w:rFonts w:ascii="Arial" w:hAnsi="Arial" w:cs="Arial"/>
                <w:b/>
              </w:rPr>
              <w:t>ENQ201-Transferência de massa</w:t>
            </w:r>
          </w:p>
        </w:tc>
      </w:tr>
      <w:tr w:rsidR="00CA4AF4" w:rsidRPr="00AD2C23" w:rsidTr="00DC2548">
        <w:tc>
          <w:tcPr>
            <w:tcW w:w="4322" w:type="dxa"/>
          </w:tcPr>
          <w:p w:rsidR="00CA4AF4" w:rsidRPr="00AD2C23" w:rsidRDefault="00CA4AF4" w:rsidP="00DC2548">
            <w:pPr>
              <w:jc w:val="center"/>
              <w:rPr>
                <w:rFonts w:ascii="Arial" w:hAnsi="Arial" w:cs="Arial"/>
                <w:b/>
              </w:rPr>
            </w:pPr>
            <w:r w:rsidRPr="00AD2C23">
              <w:rPr>
                <w:rFonts w:ascii="Arial" w:hAnsi="Arial" w:cs="Arial"/>
                <w:b/>
              </w:rPr>
              <w:t>Ementa antiga</w:t>
            </w:r>
          </w:p>
        </w:tc>
        <w:tc>
          <w:tcPr>
            <w:tcW w:w="4322" w:type="dxa"/>
          </w:tcPr>
          <w:p w:rsidR="00CA4AF4" w:rsidRPr="00AD2C23" w:rsidRDefault="00CA4AF4" w:rsidP="00DC2548">
            <w:pPr>
              <w:jc w:val="center"/>
              <w:rPr>
                <w:rFonts w:ascii="Arial" w:hAnsi="Arial" w:cs="Arial"/>
                <w:b/>
              </w:rPr>
            </w:pPr>
            <w:r w:rsidRPr="00AD2C23">
              <w:rPr>
                <w:rFonts w:ascii="Arial" w:hAnsi="Arial" w:cs="Arial"/>
                <w:b/>
              </w:rPr>
              <w:t>Ementa nova</w:t>
            </w:r>
          </w:p>
        </w:tc>
      </w:tr>
      <w:tr w:rsidR="00CA4AF4" w:rsidRPr="00AD2C23" w:rsidTr="00DC2548">
        <w:tc>
          <w:tcPr>
            <w:tcW w:w="4322" w:type="dxa"/>
          </w:tcPr>
          <w:p w:rsidR="00CA4AF4" w:rsidRPr="00AD2C23" w:rsidRDefault="00CA4AF4" w:rsidP="00DC2548">
            <w:pPr>
              <w:rPr>
                <w:rFonts w:ascii="Arial" w:hAnsi="Arial" w:cs="Arial"/>
              </w:rPr>
            </w:pPr>
            <w:r>
              <w:rPr>
                <w:rFonts w:ascii="Arial" w:hAnsi="Arial" w:cs="Arial"/>
              </w:rPr>
              <w:t>Introdução à transferência de massa. Concentrações, velocidade e fluxos. Difusão de massa em regime permanente</w:t>
            </w:r>
            <w:r w:rsidR="009A190A">
              <w:rPr>
                <w:rFonts w:ascii="Arial" w:hAnsi="Arial" w:cs="Arial"/>
              </w:rPr>
              <w:t>. Difusão de massa em regime transiente. Transferência de massa por convecção através de interfaces e de superfícies com geometria simples. Transferência de massa entre fases. Correlações de transferência de massa. Transferência simultânea de calor e massa. Aplicações dos conceitos a plantas industriais.</w:t>
            </w:r>
          </w:p>
        </w:tc>
        <w:tc>
          <w:tcPr>
            <w:tcW w:w="4322" w:type="dxa"/>
          </w:tcPr>
          <w:p w:rsidR="00CA4AF4" w:rsidRPr="00AD2C23" w:rsidRDefault="009A190A" w:rsidP="00DC2548">
            <w:pPr>
              <w:rPr>
                <w:rFonts w:ascii="Arial" w:hAnsi="Arial" w:cs="Arial"/>
              </w:rPr>
            </w:pPr>
            <w:r>
              <w:rPr>
                <w:rFonts w:ascii="Arial" w:hAnsi="Arial" w:cs="Arial"/>
              </w:rPr>
              <w:t>Fundamentação da transferência de massa. Concentração, velocidade e fluxo, coeficiente de transferência de massa. Difusão de massa em regime permanente e transiente. Transferência de massa por convecção através de interfaces e de superfícies com geometria simples. Transferência de massa entre fases. Transferência simultânea de calor e massa. Aplicações dos conceitos transferência de massa em plantas industriais e no meio ambiente.</w:t>
            </w:r>
          </w:p>
        </w:tc>
      </w:tr>
    </w:tbl>
    <w:p w:rsidR="006C7134" w:rsidRDefault="006C7134" w:rsidP="001C6C91">
      <w:pPr>
        <w:jc w:val="center"/>
        <w:rPr>
          <w:rFonts w:ascii="Arial" w:hAnsi="Arial" w:cs="Arial"/>
        </w:rPr>
      </w:pPr>
    </w:p>
    <w:tbl>
      <w:tblPr>
        <w:tblStyle w:val="Tabelacomgrade"/>
        <w:tblW w:w="0" w:type="auto"/>
        <w:tblLook w:val="04A0" w:firstRow="1" w:lastRow="0" w:firstColumn="1" w:lastColumn="0" w:noHBand="0" w:noVBand="1"/>
      </w:tblPr>
      <w:tblGrid>
        <w:gridCol w:w="4322"/>
        <w:gridCol w:w="4322"/>
      </w:tblGrid>
      <w:tr w:rsidR="009A190A" w:rsidRPr="00AD2C23" w:rsidTr="00DC2548">
        <w:tc>
          <w:tcPr>
            <w:tcW w:w="8644" w:type="dxa"/>
            <w:gridSpan w:val="2"/>
          </w:tcPr>
          <w:p w:rsidR="009A190A" w:rsidRPr="00AD2C23" w:rsidRDefault="009A190A" w:rsidP="00DC2548">
            <w:pPr>
              <w:jc w:val="center"/>
              <w:rPr>
                <w:rFonts w:ascii="Arial" w:hAnsi="Arial" w:cs="Arial"/>
                <w:b/>
              </w:rPr>
            </w:pPr>
            <w:r w:rsidRPr="00AD2C23">
              <w:rPr>
                <w:rFonts w:ascii="Arial" w:hAnsi="Arial" w:cs="Arial"/>
                <w:b/>
              </w:rPr>
              <w:t>ENG104- Laboratório de Engenharia I</w:t>
            </w:r>
          </w:p>
        </w:tc>
      </w:tr>
      <w:tr w:rsidR="009A190A" w:rsidRPr="00AD2C23" w:rsidTr="00DC2548">
        <w:tc>
          <w:tcPr>
            <w:tcW w:w="4322" w:type="dxa"/>
          </w:tcPr>
          <w:p w:rsidR="009A190A" w:rsidRPr="00AD2C23" w:rsidRDefault="009A190A" w:rsidP="00DC2548">
            <w:pPr>
              <w:tabs>
                <w:tab w:val="center" w:pos="2053"/>
                <w:tab w:val="left" w:pos="3120"/>
              </w:tabs>
              <w:rPr>
                <w:rFonts w:ascii="Arial" w:hAnsi="Arial" w:cs="Arial"/>
                <w:b/>
              </w:rPr>
            </w:pPr>
            <w:r w:rsidRPr="00AD2C23">
              <w:rPr>
                <w:rFonts w:ascii="Arial" w:hAnsi="Arial" w:cs="Arial"/>
                <w:b/>
              </w:rPr>
              <w:tab/>
              <w:t>Ementa antiga</w:t>
            </w:r>
            <w:r w:rsidRPr="00AD2C23">
              <w:rPr>
                <w:rFonts w:ascii="Arial" w:hAnsi="Arial" w:cs="Arial"/>
                <w:b/>
              </w:rPr>
              <w:tab/>
            </w:r>
          </w:p>
        </w:tc>
        <w:tc>
          <w:tcPr>
            <w:tcW w:w="4322" w:type="dxa"/>
          </w:tcPr>
          <w:p w:rsidR="009A190A" w:rsidRPr="00AD2C23" w:rsidRDefault="009A190A" w:rsidP="00DC2548">
            <w:pPr>
              <w:jc w:val="center"/>
              <w:rPr>
                <w:rFonts w:ascii="Arial" w:hAnsi="Arial" w:cs="Arial"/>
                <w:b/>
              </w:rPr>
            </w:pPr>
            <w:r w:rsidRPr="00AD2C23">
              <w:rPr>
                <w:rFonts w:ascii="Arial" w:hAnsi="Arial" w:cs="Arial"/>
                <w:b/>
              </w:rPr>
              <w:t>Ementa nova</w:t>
            </w:r>
          </w:p>
        </w:tc>
      </w:tr>
      <w:tr w:rsidR="009A190A" w:rsidRPr="00AD2C23" w:rsidTr="00DC2548">
        <w:tc>
          <w:tcPr>
            <w:tcW w:w="4322" w:type="dxa"/>
          </w:tcPr>
          <w:p w:rsidR="009A190A" w:rsidRPr="00AD2C23" w:rsidRDefault="009A190A" w:rsidP="00DC2548">
            <w:pPr>
              <w:rPr>
                <w:rFonts w:ascii="Arial" w:hAnsi="Arial" w:cs="Arial"/>
              </w:rPr>
            </w:pPr>
            <w:r w:rsidRPr="00AD2C23">
              <w:rPr>
                <w:rFonts w:ascii="Arial" w:hAnsi="Arial" w:cs="Arial"/>
              </w:rPr>
              <w:t xml:space="preserve">Estudo dos fenômenos de transporte de movimento aplicados a Engenharia Química através de experimentos. Práticas envolvendo: medidores de vazão; determinação de curvas características e associação de bombas centrífugas; moagem e análise granulométrica; sedimentação; filtração; </w:t>
            </w:r>
            <w:proofErr w:type="spellStart"/>
            <w:r w:rsidRPr="00AD2C23">
              <w:rPr>
                <w:rFonts w:ascii="Arial" w:hAnsi="Arial" w:cs="Arial"/>
              </w:rPr>
              <w:t>hidrociclones</w:t>
            </w:r>
            <w:proofErr w:type="spellEnd"/>
            <w:r w:rsidRPr="00AD2C23">
              <w:rPr>
                <w:rFonts w:ascii="Arial" w:hAnsi="Arial" w:cs="Arial"/>
              </w:rPr>
              <w:t>; trocadores de calor; geradores de vapor; evaporadores e condensadores.</w:t>
            </w:r>
          </w:p>
        </w:tc>
        <w:tc>
          <w:tcPr>
            <w:tcW w:w="4322" w:type="dxa"/>
          </w:tcPr>
          <w:p w:rsidR="009A190A" w:rsidRPr="00AD2C23" w:rsidRDefault="009A190A" w:rsidP="00DC2548">
            <w:pPr>
              <w:rPr>
                <w:rFonts w:ascii="Arial" w:hAnsi="Arial" w:cs="Arial"/>
              </w:rPr>
            </w:pPr>
            <w:r w:rsidRPr="00AD2C23">
              <w:rPr>
                <w:rFonts w:ascii="Arial" w:hAnsi="Arial" w:cs="Arial"/>
              </w:rPr>
              <w:t xml:space="preserve">Estudo dos fenômenos de transporte de movimento aplicados a Engenharia Química através de experimentos. Práticas envolvendo: medidores de vazão; determinação de curvas características e associação de bombas centrífugas; moagem e análise granulométrica; escoamento de meios porosos; sedimentação; filtração; </w:t>
            </w:r>
            <w:proofErr w:type="spellStart"/>
            <w:r w:rsidRPr="00AD2C23">
              <w:rPr>
                <w:rFonts w:ascii="Arial" w:hAnsi="Arial" w:cs="Arial"/>
              </w:rPr>
              <w:t>hidrociclones</w:t>
            </w:r>
            <w:proofErr w:type="spellEnd"/>
            <w:r w:rsidRPr="00AD2C23">
              <w:rPr>
                <w:rFonts w:ascii="Arial" w:hAnsi="Arial" w:cs="Arial"/>
              </w:rPr>
              <w:t>.</w:t>
            </w:r>
          </w:p>
        </w:tc>
      </w:tr>
    </w:tbl>
    <w:p w:rsidR="009A190A" w:rsidRDefault="009A190A"/>
    <w:p w:rsidR="00307264" w:rsidRDefault="00307264"/>
    <w:p w:rsidR="00307264" w:rsidRDefault="00307264"/>
    <w:p w:rsidR="00307264" w:rsidRDefault="00307264"/>
    <w:p w:rsidR="00307264" w:rsidRDefault="00307264"/>
    <w:p w:rsidR="00307264" w:rsidRDefault="00307264"/>
    <w:tbl>
      <w:tblPr>
        <w:tblStyle w:val="Tabelacomgrade"/>
        <w:tblW w:w="0" w:type="auto"/>
        <w:tblLook w:val="04A0" w:firstRow="1" w:lastRow="0" w:firstColumn="1" w:lastColumn="0" w:noHBand="0" w:noVBand="1"/>
      </w:tblPr>
      <w:tblGrid>
        <w:gridCol w:w="4245"/>
        <w:gridCol w:w="4394"/>
      </w:tblGrid>
      <w:tr w:rsidR="009A190A" w:rsidRPr="00AD2C23" w:rsidTr="00DC2548">
        <w:tc>
          <w:tcPr>
            <w:tcW w:w="8639" w:type="dxa"/>
            <w:gridSpan w:val="2"/>
          </w:tcPr>
          <w:p w:rsidR="009A190A" w:rsidRPr="00AD2C23" w:rsidRDefault="009A190A" w:rsidP="00DC2548">
            <w:pPr>
              <w:jc w:val="center"/>
              <w:rPr>
                <w:rFonts w:ascii="Arial" w:hAnsi="Arial" w:cs="Arial"/>
                <w:b/>
              </w:rPr>
            </w:pPr>
            <w:r w:rsidRPr="00AD2C23">
              <w:rPr>
                <w:rFonts w:ascii="Arial" w:hAnsi="Arial" w:cs="Arial"/>
                <w:b/>
              </w:rPr>
              <w:t>ENQ203- Modelagem e simulação de processos químicos</w:t>
            </w:r>
          </w:p>
        </w:tc>
      </w:tr>
      <w:tr w:rsidR="009A190A" w:rsidRPr="00AD2C23" w:rsidTr="00DC2548">
        <w:tc>
          <w:tcPr>
            <w:tcW w:w="4245" w:type="dxa"/>
          </w:tcPr>
          <w:p w:rsidR="009A190A" w:rsidRPr="00AD2C23" w:rsidRDefault="009A190A" w:rsidP="00DC2548">
            <w:pPr>
              <w:jc w:val="center"/>
              <w:rPr>
                <w:rFonts w:ascii="Arial" w:hAnsi="Arial" w:cs="Arial"/>
                <w:b/>
              </w:rPr>
            </w:pPr>
            <w:r w:rsidRPr="00AD2C23">
              <w:rPr>
                <w:rFonts w:ascii="Arial" w:hAnsi="Arial" w:cs="Arial"/>
                <w:b/>
              </w:rPr>
              <w:t>Ementa antiga</w:t>
            </w:r>
          </w:p>
        </w:tc>
        <w:tc>
          <w:tcPr>
            <w:tcW w:w="4394" w:type="dxa"/>
          </w:tcPr>
          <w:p w:rsidR="009A190A" w:rsidRPr="00AD2C23" w:rsidRDefault="009A190A" w:rsidP="00DC2548">
            <w:pPr>
              <w:jc w:val="center"/>
              <w:rPr>
                <w:rFonts w:ascii="Arial" w:hAnsi="Arial" w:cs="Arial"/>
                <w:b/>
              </w:rPr>
            </w:pPr>
            <w:r w:rsidRPr="00AD2C23">
              <w:rPr>
                <w:rFonts w:ascii="Arial" w:hAnsi="Arial" w:cs="Arial"/>
                <w:b/>
              </w:rPr>
              <w:t>Ementa nova</w:t>
            </w:r>
          </w:p>
        </w:tc>
      </w:tr>
      <w:tr w:rsidR="009A190A" w:rsidRPr="00AD2C23" w:rsidTr="00DC2548">
        <w:tc>
          <w:tcPr>
            <w:tcW w:w="4245" w:type="dxa"/>
          </w:tcPr>
          <w:p w:rsidR="009A190A" w:rsidRPr="00AD2C23" w:rsidRDefault="009A190A" w:rsidP="00DC2548">
            <w:pPr>
              <w:rPr>
                <w:rFonts w:ascii="Arial" w:hAnsi="Arial" w:cs="Arial"/>
              </w:rPr>
            </w:pPr>
            <w:r w:rsidRPr="00AD2C23">
              <w:rPr>
                <w:rFonts w:ascii="Arial" w:hAnsi="Arial" w:cs="Arial"/>
              </w:rPr>
              <w:t xml:space="preserve">Modelos matemáticos e suas classificações. Ferramentas computacionais. </w:t>
            </w:r>
            <w:proofErr w:type="gramStart"/>
            <w:r w:rsidRPr="00AD2C23">
              <w:rPr>
                <w:rFonts w:ascii="Arial" w:hAnsi="Arial" w:cs="Arial"/>
              </w:rPr>
              <w:t>Resolução de sistemas de equações comumente encontrados em problema na Engenharia Química: sistemas de equações lineares, não lineares, diferenciais ordinárias, algébrico-diferenciais, diferenciais parciais)</w:t>
            </w:r>
            <w:proofErr w:type="gramEnd"/>
            <w:r w:rsidRPr="00AD2C23">
              <w:rPr>
                <w:rFonts w:ascii="Arial" w:hAnsi="Arial" w:cs="Arial"/>
              </w:rPr>
              <w:t>. Análise de sistemas: número de condições de matrizes, estabilidade e bifurcação de sistemas dinâmicos. Introdução à identificação de sistemas. Laboratório de informática</w:t>
            </w:r>
          </w:p>
        </w:tc>
        <w:tc>
          <w:tcPr>
            <w:tcW w:w="4394" w:type="dxa"/>
          </w:tcPr>
          <w:p w:rsidR="009A190A" w:rsidRPr="00AD2C23" w:rsidRDefault="009A190A" w:rsidP="00DC2548">
            <w:pPr>
              <w:rPr>
                <w:rFonts w:ascii="Arial" w:hAnsi="Arial" w:cs="Arial"/>
              </w:rPr>
            </w:pPr>
            <w:r w:rsidRPr="00AD2C23">
              <w:rPr>
                <w:rFonts w:ascii="Arial" w:hAnsi="Arial" w:cs="Arial"/>
              </w:rPr>
              <w:t>Modelos matemáticos e suas classificações. Aplicações das leis fundamentais de conservação de massa, energia e quantidade de movimento. Sistematização do desenvolvimento de modelos empíricos e fenomenológicos concentrados e distribuídos em estado estacionário e dinâmico de unidades de processos químicos. Princípios do desenvolvimento de modelos baseados em balanço populaci</w:t>
            </w:r>
            <w:r>
              <w:rPr>
                <w:rFonts w:ascii="Arial" w:hAnsi="Arial" w:cs="Arial"/>
              </w:rPr>
              <w:t xml:space="preserve">onal. Ferramentas computacionais </w:t>
            </w:r>
            <w:r w:rsidRPr="00AD2C23">
              <w:rPr>
                <w:rFonts w:ascii="Arial" w:hAnsi="Arial" w:cs="Arial"/>
              </w:rPr>
              <w:t>para simulação de processos.</w:t>
            </w:r>
          </w:p>
        </w:tc>
      </w:tr>
    </w:tbl>
    <w:p w:rsidR="009A190A" w:rsidRDefault="009A190A" w:rsidP="001C6C91">
      <w:pPr>
        <w:jc w:val="center"/>
        <w:rPr>
          <w:rFonts w:ascii="Arial" w:hAnsi="Arial" w:cs="Arial"/>
        </w:rPr>
      </w:pPr>
    </w:p>
    <w:tbl>
      <w:tblPr>
        <w:tblStyle w:val="Tabelacomgrade"/>
        <w:tblW w:w="0" w:type="auto"/>
        <w:tblLook w:val="04A0" w:firstRow="1" w:lastRow="0" w:firstColumn="1" w:lastColumn="0" w:noHBand="0" w:noVBand="1"/>
      </w:tblPr>
      <w:tblGrid>
        <w:gridCol w:w="4245"/>
        <w:gridCol w:w="4394"/>
      </w:tblGrid>
      <w:tr w:rsidR="000941DA" w:rsidRPr="00AD2C23" w:rsidTr="00DC2548">
        <w:tc>
          <w:tcPr>
            <w:tcW w:w="8639" w:type="dxa"/>
            <w:gridSpan w:val="2"/>
          </w:tcPr>
          <w:p w:rsidR="000941DA" w:rsidRPr="00AD2C23" w:rsidRDefault="000941DA" w:rsidP="00DC2548">
            <w:pPr>
              <w:jc w:val="center"/>
              <w:rPr>
                <w:rFonts w:ascii="Arial" w:hAnsi="Arial" w:cs="Arial"/>
                <w:b/>
              </w:rPr>
            </w:pPr>
            <w:r w:rsidRPr="00AD2C23">
              <w:rPr>
                <w:rFonts w:ascii="Arial" w:hAnsi="Arial" w:cs="Arial"/>
                <w:b/>
              </w:rPr>
              <w:t>ENG202- Instrumentação e controle de processos</w:t>
            </w:r>
          </w:p>
        </w:tc>
      </w:tr>
      <w:tr w:rsidR="000941DA" w:rsidRPr="00AD2C23" w:rsidTr="00DC2548">
        <w:tc>
          <w:tcPr>
            <w:tcW w:w="4245" w:type="dxa"/>
          </w:tcPr>
          <w:p w:rsidR="000941DA" w:rsidRPr="00AD2C23" w:rsidRDefault="000941DA" w:rsidP="00DC2548">
            <w:pPr>
              <w:jc w:val="center"/>
              <w:rPr>
                <w:rFonts w:ascii="Arial" w:hAnsi="Arial" w:cs="Arial"/>
                <w:b/>
              </w:rPr>
            </w:pPr>
            <w:r w:rsidRPr="00AD2C23">
              <w:rPr>
                <w:rFonts w:ascii="Arial" w:hAnsi="Arial" w:cs="Arial"/>
                <w:b/>
              </w:rPr>
              <w:t>Ementa antiga</w:t>
            </w:r>
          </w:p>
        </w:tc>
        <w:tc>
          <w:tcPr>
            <w:tcW w:w="4394" w:type="dxa"/>
          </w:tcPr>
          <w:p w:rsidR="000941DA" w:rsidRPr="00AD2C23" w:rsidRDefault="000941DA" w:rsidP="00DC2548">
            <w:pPr>
              <w:jc w:val="center"/>
              <w:rPr>
                <w:rFonts w:ascii="Arial" w:hAnsi="Arial" w:cs="Arial"/>
                <w:b/>
              </w:rPr>
            </w:pPr>
            <w:r w:rsidRPr="00AD2C23">
              <w:rPr>
                <w:rFonts w:ascii="Arial" w:hAnsi="Arial" w:cs="Arial"/>
                <w:b/>
              </w:rPr>
              <w:t>Ementa antiga</w:t>
            </w:r>
          </w:p>
        </w:tc>
      </w:tr>
      <w:tr w:rsidR="000941DA" w:rsidRPr="00AD2C23" w:rsidTr="00DC2548">
        <w:tc>
          <w:tcPr>
            <w:tcW w:w="4245" w:type="dxa"/>
          </w:tcPr>
          <w:p w:rsidR="000941DA" w:rsidRPr="00AD2C23" w:rsidRDefault="000941DA" w:rsidP="00DC2548">
            <w:pPr>
              <w:rPr>
                <w:rFonts w:ascii="Arial" w:hAnsi="Arial" w:cs="Arial"/>
              </w:rPr>
            </w:pPr>
            <w:r w:rsidRPr="00AD2C23">
              <w:rPr>
                <w:rFonts w:ascii="Arial" w:hAnsi="Arial" w:cs="Arial"/>
              </w:rPr>
              <w:t>Equipamentos de controle e medida. Instalações hidráulicas e linhas de ar comprimido, de vácuo, de gases e outras. Vapor. Instalações elétricas. Automação e controle de instalações de equipamentos e de processos industriais.</w:t>
            </w:r>
          </w:p>
        </w:tc>
        <w:tc>
          <w:tcPr>
            <w:tcW w:w="4394" w:type="dxa"/>
          </w:tcPr>
          <w:p w:rsidR="000941DA" w:rsidRPr="00AD2C23" w:rsidRDefault="000941DA" w:rsidP="00DC2548">
            <w:pPr>
              <w:rPr>
                <w:rFonts w:ascii="Arial" w:hAnsi="Arial" w:cs="Arial"/>
              </w:rPr>
            </w:pPr>
            <w:r w:rsidRPr="00AD2C23">
              <w:rPr>
                <w:rFonts w:ascii="Arial" w:hAnsi="Arial" w:cs="Arial"/>
              </w:rPr>
              <w:t xml:space="preserve">Introdução ao controle de processos Industriais. Instrumentação. Sistemas e Controle clássico. Sistemas de Controle </w:t>
            </w:r>
            <w:proofErr w:type="spellStart"/>
            <w:r w:rsidRPr="00AD2C23">
              <w:rPr>
                <w:rFonts w:ascii="Arial" w:hAnsi="Arial" w:cs="Arial"/>
              </w:rPr>
              <w:t>Multivariável</w:t>
            </w:r>
            <w:proofErr w:type="spellEnd"/>
            <w:r w:rsidRPr="00AD2C23">
              <w:rPr>
                <w:rFonts w:ascii="Arial" w:hAnsi="Arial" w:cs="Arial"/>
              </w:rPr>
              <w:t>. Projeto de controladores. Controle avançado.</w:t>
            </w:r>
          </w:p>
        </w:tc>
      </w:tr>
    </w:tbl>
    <w:p w:rsidR="009A190A" w:rsidRDefault="009A190A" w:rsidP="001C6C91">
      <w:pPr>
        <w:jc w:val="center"/>
        <w:rPr>
          <w:rFonts w:ascii="Arial" w:hAnsi="Arial" w:cs="Arial"/>
        </w:rPr>
      </w:pPr>
    </w:p>
    <w:tbl>
      <w:tblPr>
        <w:tblStyle w:val="Tabelacomgrade"/>
        <w:tblW w:w="0" w:type="auto"/>
        <w:tblLook w:val="04A0" w:firstRow="1" w:lastRow="0" w:firstColumn="1" w:lastColumn="0" w:noHBand="0" w:noVBand="1"/>
      </w:tblPr>
      <w:tblGrid>
        <w:gridCol w:w="4245"/>
        <w:gridCol w:w="4394"/>
      </w:tblGrid>
      <w:tr w:rsidR="000941DA" w:rsidRPr="00AD2C23" w:rsidTr="00DC2548">
        <w:tc>
          <w:tcPr>
            <w:tcW w:w="8639" w:type="dxa"/>
            <w:gridSpan w:val="2"/>
          </w:tcPr>
          <w:p w:rsidR="000941DA" w:rsidRPr="00AD2C23" w:rsidRDefault="000941DA" w:rsidP="00DC2548">
            <w:pPr>
              <w:jc w:val="center"/>
              <w:rPr>
                <w:rFonts w:ascii="Arial" w:hAnsi="Arial" w:cs="Arial"/>
                <w:b/>
              </w:rPr>
            </w:pPr>
            <w:r>
              <w:rPr>
                <w:rFonts w:ascii="Arial" w:hAnsi="Arial" w:cs="Arial"/>
                <w:b/>
              </w:rPr>
              <w:t>ENQ301- Laboratório de Engenharia Química I</w:t>
            </w:r>
          </w:p>
        </w:tc>
      </w:tr>
      <w:tr w:rsidR="000941DA" w:rsidRPr="00AD2C23" w:rsidTr="00DC2548">
        <w:tc>
          <w:tcPr>
            <w:tcW w:w="4245" w:type="dxa"/>
          </w:tcPr>
          <w:p w:rsidR="000941DA" w:rsidRPr="00AD2C23" w:rsidRDefault="000941DA" w:rsidP="00DC2548">
            <w:pPr>
              <w:jc w:val="center"/>
              <w:rPr>
                <w:rFonts w:ascii="Arial" w:hAnsi="Arial" w:cs="Arial"/>
                <w:b/>
              </w:rPr>
            </w:pPr>
            <w:r>
              <w:rPr>
                <w:rFonts w:ascii="Arial" w:hAnsi="Arial" w:cs="Arial"/>
                <w:b/>
              </w:rPr>
              <w:t>Ementa antiga</w:t>
            </w:r>
          </w:p>
        </w:tc>
        <w:tc>
          <w:tcPr>
            <w:tcW w:w="4394" w:type="dxa"/>
          </w:tcPr>
          <w:p w:rsidR="000941DA" w:rsidRPr="00AD2C23" w:rsidRDefault="000941DA" w:rsidP="00DC2548">
            <w:pPr>
              <w:jc w:val="center"/>
              <w:rPr>
                <w:rFonts w:ascii="Arial" w:hAnsi="Arial" w:cs="Arial"/>
                <w:b/>
              </w:rPr>
            </w:pPr>
            <w:r>
              <w:rPr>
                <w:rFonts w:ascii="Arial" w:hAnsi="Arial" w:cs="Arial"/>
                <w:b/>
              </w:rPr>
              <w:t>Ementa nova</w:t>
            </w:r>
          </w:p>
        </w:tc>
      </w:tr>
      <w:tr w:rsidR="000941DA" w:rsidRPr="00AD2C23" w:rsidTr="00DC2548">
        <w:tc>
          <w:tcPr>
            <w:tcW w:w="4245" w:type="dxa"/>
          </w:tcPr>
          <w:p w:rsidR="000941DA" w:rsidRPr="00AD2C23" w:rsidRDefault="000941DA" w:rsidP="00DC2548">
            <w:pPr>
              <w:rPr>
                <w:rFonts w:ascii="Arial" w:hAnsi="Arial" w:cs="Arial"/>
              </w:rPr>
            </w:pPr>
            <w:r>
              <w:rPr>
                <w:rFonts w:ascii="Arial" w:hAnsi="Arial" w:cs="Arial"/>
              </w:rPr>
              <w:t>Procedimentos experimentais de operações de transferência de calor, de transferência</w:t>
            </w:r>
            <w:proofErr w:type="gramStart"/>
            <w:r>
              <w:rPr>
                <w:rFonts w:ascii="Arial" w:hAnsi="Arial" w:cs="Arial"/>
              </w:rPr>
              <w:t xml:space="preserve">  </w:t>
            </w:r>
            <w:proofErr w:type="gramEnd"/>
            <w:r>
              <w:rPr>
                <w:rFonts w:ascii="Arial" w:hAnsi="Arial" w:cs="Arial"/>
              </w:rPr>
              <w:t xml:space="preserve">de massa e calor simultâneos e processos de separação. Perdas de carga em tubulações. Escoamento em meios porosos. Transporte pneumático. Diagramas de fase para sistemas binários, Diagramas de fase para </w:t>
            </w:r>
            <w:r w:rsidR="00E64EF3">
              <w:rPr>
                <w:rFonts w:ascii="Arial" w:hAnsi="Arial" w:cs="Arial"/>
              </w:rPr>
              <w:t xml:space="preserve">sistemas </w:t>
            </w:r>
            <w:proofErr w:type="gramStart"/>
            <w:r w:rsidR="00E64EF3">
              <w:rPr>
                <w:rFonts w:ascii="Arial" w:hAnsi="Arial" w:cs="Arial"/>
              </w:rPr>
              <w:t>ternários ,</w:t>
            </w:r>
            <w:proofErr w:type="gramEnd"/>
            <w:r w:rsidR="00E64EF3">
              <w:rPr>
                <w:rFonts w:ascii="Arial" w:hAnsi="Arial" w:cs="Arial"/>
              </w:rPr>
              <w:t xml:space="preserve"> </w:t>
            </w:r>
            <w:proofErr w:type="spellStart"/>
            <w:r w:rsidR="00E64EF3">
              <w:rPr>
                <w:rFonts w:ascii="Arial" w:hAnsi="Arial" w:cs="Arial"/>
              </w:rPr>
              <w:t>Crioscopia</w:t>
            </w:r>
            <w:proofErr w:type="spellEnd"/>
            <w:r w:rsidR="00E64EF3">
              <w:rPr>
                <w:rFonts w:ascii="Arial" w:hAnsi="Arial" w:cs="Arial"/>
              </w:rPr>
              <w:t xml:space="preserve">. Cálculo de pressão de vapor. Determinação do coeficiente de transferência de calor. Operações de transferência de calor com mudança de fase. </w:t>
            </w:r>
          </w:p>
        </w:tc>
        <w:tc>
          <w:tcPr>
            <w:tcW w:w="4394" w:type="dxa"/>
          </w:tcPr>
          <w:p w:rsidR="000941DA" w:rsidRPr="00AD2C23" w:rsidRDefault="00E64EF3" w:rsidP="00DC2548">
            <w:pPr>
              <w:rPr>
                <w:rFonts w:ascii="Arial" w:hAnsi="Arial" w:cs="Arial"/>
              </w:rPr>
            </w:pPr>
            <w:r>
              <w:rPr>
                <w:rFonts w:ascii="Arial" w:hAnsi="Arial" w:cs="Arial"/>
              </w:rPr>
              <w:t>Procedimentos experimentais de operações de transferência de movimento, calor, de transferências de massa e calor simultâneos e processos de separação. Sedimentação. Determinação do coeficiente de transferência de calor. Evaporação. Umidificação. Secagem. Cristalização.</w:t>
            </w:r>
          </w:p>
        </w:tc>
      </w:tr>
    </w:tbl>
    <w:p w:rsidR="000941DA" w:rsidRDefault="000941DA" w:rsidP="001C6C91">
      <w:pPr>
        <w:jc w:val="center"/>
        <w:rPr>
          <w:rFonts w:ascii="Arial" w:hAnsi="Arial" w:cs="Arial"/>
        </w:rPr>
      </w:pPr>
    </w:p>
    <w:p w:rsidR="00307264" w:rsidRDefault="00307264" w:rsidP="001C6C91">
      <w:pPr>
        <w:jc w:val="center"/>
        <w:rPr>
          <w:rFonts w:ascii="Arial" w:hAnsi="Arial" w:cs="Arial"/>
        </w:rPr>
      </w:pPr>
    </w:p>
    <w:p w:rsidR="00307264" w:rsidRDefault="00307264" w:rsidP="001C6C91">
      <w:pPr>
        <w:jc w:val="center"/>
        <w:rPr>
          <w:rFonts w:ascii="Arial" w:hAnsi="Arial" w:cs="Arial"/>
        </w:rPr>
      </w:pPr>
    </w:p>
    <w:p w:rsidR="00307264" w:rsidRDefault="00307264" w:rsidP="001C6C91">
      <w:pPr>
        <w:jc w:val="center"/>
        <w:rPr>
          <w:rFonts w:ascii="Arial" w:hAnsi="Arial" w:cs="Arial"/>
        </w:rPr>
      </w:pPr>
    </w:p>
    <w:p w:rsidR="00307264" w:rsidRDefault="00307264" w:rsidP="001C6C91">
      <w:pPr>
        <w:jc w:val="center"/>
        <w:rPr>
          <w:rFonts w:ascii="Arial" w:hAnsi="Arial" w:cs="Arial"/>
        </w:rPr>
      </w:pPr>
    </w:p>
    <w:p w:rsidR="00307264" w:rsidRDefault="00307264" w:rsidP="001C6C91">
      <w:pPr>
        <w:jc w:val="center"/>
        <w:rPr>
          <w:rFonts w:ascii="Arial" w:hAnsi="Arial" w:cs="Arial"/>
        </w:rPr>
      </w:pPr>
    </w:p>
    <w:tbl>
      <w:tblPr>
        <w:tblStyle w:val="Tabelacomgrade"/>
        <w:tblW w:w="0" w:type="auto"/>
        <w:tblLook w:val="04A0" w:firstRow="1" w:lastRow="0" w:firstColumn="1" w:lastColumn="0" w:noHBand="0" w:noVBand="1"/>
      </w:tblPr>
      <w:tblGrid>
        <w:gridCol w:w="4245"/>
        <w:gridCol w:w="4394"/>
      </w:tblGrid>
      <w:tr w:rsidR="00E64EF3" w:rsidRPr="00AD2C23" w:rsidTr="00DC2548">
        <w:tc>
          <w:tcPr>
            <w:tcW w:w="8639" w:type="dxa"/>
            <w:gridSpan w:val="2"/>
          </w:tcPr>
          <w:p w:rsidR="00E64EF3" w:rsidRPr="00AD2C23" w:rsidRDefault="00E64EF3" w:rsidP="00DC2548">
            <w:pPr>
              <w:jc w:val="center"/>
              <w:rPr>
                <w:rFonts w:ascii="Arial" w:hAnsi="Arial" w:cs="Arial"/>
                <w:b/>
              </w:rPr>
            </w:pPr>
            <w:r>
              <w:rPr>
                <w:rFonts w:ascii="Arial" w:hAnsi="Arial" w:cs="Arial"/>
                <w:b/>
              </w:rPr>
              <w:t>ENQ302- Laboratório de Engenharia Química II</w:t>
            </w:r>
          </w:p>
        </w:tc>
      </w:tr>
      <w:tr w:rsidR="00E64EF3" w:rsidRPr="00AD2C23" w:rsidTr="00DC2548">
        <w:tc>
          <w:tcPr>
            <w:tcW w:w="4245" w:type="dxa"/>
          </w:tcPr>
          <w:p w:rsidR="00E64EF3" w:rsidRPr="00AD2C23" w:rsidRDefault="00E64EF3" w:rsidP="00DC2548">
            <w:pPr>
              <w:jc w:val="center"/>
              <w:rPr>
                <w:rFonts w:ascii="Arial" w:hAnsi="Arial" w:cs="Arial"/>
                <w:b/>
              </w:rPr>
            </w:pPr>
            <w:r>
              <w:rPr>
                <w:rFonts w:ascii="Arial" w:hAnsi="Arial" w:cs="Arial"/>
                <w:b/>
              </w:rPr>
              <w:t>Ementa antiga</w:t>
            </w:r>
          </w:p>
        </w:tc>
        <w:tc>
          <w:tcPr>
            <w:tcW w:w="4394" w:type="dxa"/>
          </w:tcPr>
          <w:p w:rsidR="00E64EF3" w:rsidRPr="00AD2C23" w:rsidRDefault="00E64EF3" w:rsidP="00DC2548">
            <w:pPr>
              <w:jc w:val="center"/>
              <w:rPr>
                <w:rFonts w:ascii="Arial" w:hAnsi="Arial" w:cs="Arial"/>
                <w:b/>
              </w:rPr>
            </w:pPr>
            <w:r>
              <w:rPr>
                <w:rFonts w:ascii="Arial" w:hAnsi="Arial" w:cs="Arial"/>
                <w:b/>
              </w:rPr>
              <w:t>Ementa nova</w:t>
            </w:r>
          </w:p>
        </w:tc>
      </w:tr>
      <w:tr w:rsidR="00E64EF3" w:rsidRPr="00AD2C23" w:rsidTr="00DC2548">
        <w:tc>
          <w:tcPr>
            <w:tcW w:w="4245" w:type="dxa"/>
          </w:tcPr>
          <w:p w:rsidR="00E64EF3" w:rsidRPr="00AD2C23" w:rsidRDefault="00E64EF3" w:rsidP="00DC2548">
            <w:pPr>
              <w:rPr>
                <w:rFonts w:ascii="Arial" w:hAnsi="Arial" w:cs="Arial"/>
              </w:rPr>
            </w:pPr>
            <w:proofErr w:type="gramStart"/>
            <w:r>
              <w:rPr>
                <w:rFonts w:ascii="Arial" w:hAnsi="Arial" w:cs="Arial"/>
              </w:rPr>
              <w:t>Adsorção sólido-líquido</w:t>
            </w:r>
            <w:proofErr w:type="gramEnd"/>
            <w:r>
              <w:rPr>
                <w:rFonts w:ascii="Arial" w:hAnsi="Arial" w:cs="Arial"/>
              </w:rPr>
              <w:t xml:space="preserve">. Adsorção gás-líquido. Destilação. </w:t>
            </w:r>
            <w:proofErr w:type="gramStart"/>
            <w:r>
              <w:rPr>
                <w:rFonts w:ascii="Arial" w:hAnsi="Arial" w:cs="Arial"/>
              </w:rPr>
              <w:t>Extração líquido-líquido</w:t>
            </w:r>
            <w:proofErr w:type="gramEnd"/>
            <w:r>
              <w:rPr>
                <w:rFonts w:ascii="Arial" w:hAnsi="Arial" w:cs="Arial"/>
              </w:rPr>
              <w:t>. Difusão em gases. Absorção de gases. Cristalização. Determinação do coeficiente de transferência de</w:t>
            </w:r>
            <w:proofErr w:type="gramStart"/>
            <w:r>
              <w:rPr>
                <w:rFonts w:ascii="Arial" w:hAnsi="Arial" w:cs="Arial"/>
              </w:rPr>
              <w:t xml:space="preserve">  </w:t>
            </w:r>
            <w:proofErr w:type="gramEnd"/>
            <w:r>
              <w:rPr>
                <w:rFonts w:ascii="Arial" w:hAnsi="Arial" w:cs="Arial"/>
              </w:rPr>
              <w:t>massa. Cinética Química: Determinação da velocidade específica e energia de ativação. Cinética enzimática. Reator de mistura. Reator tubular. Reatores não ideais.</w:t>
            </w:r>
          </w:p>
        </w:tc>
        <w:tc>
          <w:tcPr>
            <w:tcW w:w="4394" w:type="dxa"/>
          </w:tcPr>
          <w:p w:rsidR="00E64EF3" w:rsidRPr="00AD2C23" w:rsidRDefault="00E64EF3" w:rsidP="00DC2548">
            <w:pPr>
              <w:rPr>
                <w:rFonts w:ascii="Arial" w:hAnsi="Arial" w:cs="Arial"/>
              </w:rPr>
            </w:pPr>
            <w:r>
              <w:rPr>
                <w:rFonts w:ascii="Arial" w:hAnsi="Arial" w:cs="Arial"/>
              </w:rPr>
              <w:t>Procedimentos experimentais de operações de transferência de movimento, calor, de transferências de massa e calor simultâneos e processos de separação. Adsorção. Destilação. Extração. Difusão em gases. Absorção de gases. Reator de mistura. Reator tubular. Processos de separação por membranas</w:t>
            </w:r>
          </w:p>
        </w:tc>
      </w:tr>
    </w:tbl>
    <w:p w:rsidR="00307264" w:rsidRDefault="00307264" w:rsidP="001C6C91">
      <w:pPr>
        <w:jc w:val="center"/>
        <w:rPr>
          <w:rFonts w:ascii="Arial" w:hAnsi="Arial" w:cs="Arial"/>
        </w:rPr>
      </w:pPr>
    </w:p>
    <w:tbl>
      <w:tblPr>
        <w:tblStyle w:val="Tabelacomgrade"/>
        <w:tblW w:w="0" w:type="auto"/>
        <w:tblLook w:val="04A0" w:firstRow="1" w:lastRow="0" w:firstColumn="1" w:lastColumn="0" w:noHBand="0" w:noVBand="1"/>
      </w:tblPr>
      <w:tblGrid>
        <w:gridCol w:w="4245"/>
        <w:gridCol w:w="4394"/>
      </w:tblGrid>
      <w:tr w:rsidR="00054720" w:rsidRPr="00AD2C23" w:rsidTr="00DC2548">
        <w:tc>
          <w:tcPr>
            <w:tcW w:w="8639" w:type="dxa"/>
            <w:gridSpan w:val="2"/>
          </w:tcPr>
          <w:p w:rsidR="00054720" w:rsidRPr="00AD2C23" w:rsidRDefault="00054720" w:rsidP="00DC2548">
            <w:pPr>
              <w:jc w:val="center"/>
              <w:rPr>
                <w:rFonts w:ascii="Arial" w:hAnsi="Arial" w:cs="Arial"/>
                <w:b/>
              </w:rPr>
            </w:pPr>
            <w:r>
              <w:rPr>
                <w:rFonts w:ascii="Arial" w:hAnsi="Arial" w:cs="Arial"/>
                <w:b/>
              </w:rPr>
              <w:t>ENG103- Operações unitárias III</w:t>
            </w:r>
          </w:p>
        </w:tc>
      </w:tr>
      <w:tr w:rsidR="00054720" w:rsidRPr="00AD2C23" w:rsidTr="00DC2548">
        <w:tc>
          <w:tcPr>
            <w:tcW w:w="4245" w:type="dxa"/>
          </w:tcPr>
          <w:p w:rsidR="00054720" w:rsidRPr="00AD2C23" w:rsidRDefault="00054720" w:rsidP="00DC2548">
            <w:pPr>
              <w:jc w:val="center"/>
              <w:rPr>
                <w:rFonts w:ascii="Arial" w:hAnsi="Arial" w:cs="Arial"/>
                <w:b/>
              </w:rPr>
            </w:pPr>
            <w:r>
              <w:rPr>
                <w:rFonts w:ascii="Arial" w:hAnsi="Arial" w:cs="Arial"/>
                <w:b/>
              </w:rPr>
              <w:t>Ementa antiga</w:t>
            </w:r>
          </w:p>
        </w:tc>
        <w:tc>
          <w:tcPr>
            <w:tcW w:w="4394" w:type="dxa"/>
          </w:tcPr>
          <w:p w:rsidR="00054720" w:rsidRPr="00AD2C23" w:rsidRDefault="00054720" w:rsidP="00DC2548">
            <w:pPr>
              <w:jc w:val="center"/>
              <w:rPr>
                <w:rFonts w:ascii="Arial" w:hAnsi="Arial" w:cs="Arial"/>
                <w:b/>
              </w:rPr>
            </w:pPr>
            <w:r>
              <w:rPr>
                <w:rFonts w:ascii="Arial" w:hAnsi="Arial" w:cs="Arial"/>
                <w:b/>
              </w:rPr>
              <w:t>Ementa nova</w:t>
            </w:r>
          </w:p>
        </w:tc>
      </w:tr>
      <w:tr w:rsidR="00054720" w:rsidRPr="00AD2C23" w:rsidTr="00DC2548">
        <w:tc>
          <w:tcPr>
            <w:tcW w:w="4245" w:type="dxa"/>
          </w:tcPr>
          <w:p w:rsidR="00054720" w:rsidRPr="00AD2C23" w:rsidRDefault="00054720" w:rsidP="00DC2548">
            <w:pPr>
              <w:rPr>
                <w:rFonts w:ascii="Arial" w:hAnsi="Arial" w:cs="Arial"/>
              </w:rPr>
            </w:pPr>
            <w:r>
              <w:rPr>
                <w:rFonts w:ascii="Arial" w:hAnsi="Arial" w:cs="Arial"/>
              </w:rPr>
              <w:t>Destilação extração líquido-líquido, extração sólido-líquido, lixiviação, absorção, troca iônica, operações em estágios e em colunas de recheio.</w:t>
            </w:r>
          </w:p>
        </w:tc>
        <w:tc>
          <w:tcPr>
            <w:tcW w:w="4394" w:type="dxa"/>
          </w:tcPr>
          <w:p w:rsidR="00054720" w:rsidRPr="00AD2C23" w:rsidRDefault="00054720" w:rsidP="00DC2548">
            <w:pPr>
              <w:rPr>
                <w:rFonts w:ascii="Arial" w:hAnsi="Arial" w:cs="Arial"/>
              </w:rPr>
            </w:pPr>
            <w:r>
              <w:rPr>
                <w:rFonts w:ascii="Arial" w:hAnsi="Arial" w:cs="Arial"/>
              </w:rPr>
              <w:t xml:space="preserve">Operações em estágios. Colunas de recheio e de pratos. Destilação. Absorção. </w:t>
            </w:r>
            <w:proofErr w:type="gramStart"/>
            <w:r>
              <w:rPr>
                <w:rFonts w:ascii="Arial" w:hAnsi="Arial" w:cs="Arial"/>
              </w:rPr>
              <w:t>Extração líquido-líquido</w:t>
            </w:r>
            <w:proofErr w:type="gramEnd"/>
            <w:r>
              <w:rPr>
                <w:rFonts w:ascii="Arial" w:hAnsi="Arial" w:cs="Arial"/>
              </w:rPr>
              <w:t xml:space="preserve">. </w:t>
            </w:r>
            <w:proofErr w:type="gramStart"/>
            <w:r>
              <w:rPr>
                <w:rFonts w:ascii="Arial" w:hAnsi="Arial" w:cs="Arial"/>
              </w:rPr>
              <w:t>Extração sólido-líquido</w:t>
            </w:r>
            <w:proofErr w:type="gramEnd"/>
            <w:r>
              <w:rPr>
                <w:rFonts w:ascii="Arial" w:hAnsi="Arial" w:cs="Arial"/>
              </w:rPr>
              <w:t>. Adsorção. Processos se separação por membranas</w:t>
            </w:r>
          </w:p>
        </w:tc>
      </w:tr>
    </w:tbl>
    <w:p w:rsidR="00054720" w:rsidRDefault="00054720" w:rsidP="001C6C91">
      <w:pPr>
        <w:jc w:val="center"/>
        <w:rPr>
          <w:rFonts w:ascii="Arial" w:hAnsi="Arial" w:cs="Arial"/>
        </w:rPr>
      </w:pPr>
    </w:p>
    <w:tbl>
      <w:tblPr>
        <w:tblStyle w:val="Tabelacomgrade"/>
        <w:tblW w:w="0" w:type="auto"/>
        <w:tblLook w:val="04A0" w:firstRow="1" w:lastRow="0" w:firstColumn="1" w:lastColumn="0" w:noHBand="0" w:noVBand="1"/>
      </w:tblPr>
      <w:tblGrid>
        <w:gridCol w:w="4322"/>
        <w:gridCol w:w="4322"/>
      </w:tblGrid>
      <w:tr w:rsidR="00054720" w:rsidRPr="00AD2C23" w:rsidTr="00DC2548">
        <w:tc>
          <w:tcPr>
            <w:tcW w:w="8644" w:type="dxa"/>
            <w:gridSpan w:val="2"/>
          </w:tcPr>
          <w:p w:rsidR="00054720" w:rsidRPr="00AD2C23" w:rsidRDefault="00054720" w:rsidP="00DC2548">
            <w:pPr>
              <w:jc w:val="center"/>
              <w:rPr>
                <w:rFonts w:ascii="Arial" w:hAnsi="Arial" w:cs="Arial"/>
                <w:b/>
              </w:rPr>
            </w:pPr>
            <w:r w:rsidRPr="00AD2C23">
              <w:rPr>
                <w:rFonts w:ascii="Arial" w:hAnsi="Arial" w:cs="Arial"/>
                <w:b/>
              </w:rPr>
              <w:t>ENG201- Engenharia Bioquímica</w:t>
            </w:r>
          </w:p>
        </w:tc>
      </w:tr>
      <w:tr w:rsidR="00054720" w:rsidRPr="00AD2C23" w:rsidTr="00DC2548">
        <w:tc>
          <w:tcPr>
            <w:tcW w:w="4322" w:type="dxa"/>
          </w:tcPr>
          <w:p w:rsidR="00054720" w:rsidRPr="00AD2C23" w:rsidRDefault="00054720" w:rsidP="00DC2548">
            <w:pPr>
              <w:jc w:val="center"/>
              <w:rPr>
                <w:rFonts w:ascii="Arial" w:hAnsi="Arial" w:cs="Arial"/>
                <w:b/>
              </w:rPr>
            </w:pPr>
            <w:r w:rsidRPr="00AD2C23">
              <w:rPr>
                <w:rFonts w:ascii="Arial" w:hAnsi="Arial" w:cs="Arial"/>
                <w:b/>
              </w:rPr>
              <w:t>Ementa antiga</w:t>
            </w:r>
          </w:p>
        </w:tc>
        <w:tc>
          <w:tcPr>
            <w:tcW w:w="4322" w:type="dxa"/>
          </w:tcPr>
          <w:p w:rsidR="00054720" w:rsidRPr="00AD2C23" w:rsidRDefault="00054720" w:rsidP="00DC2548">
            <w:pPr>
              <w:jc w:val="center"/>
              <w:rPr>
                <w:rFonts w:ascii="Arial" w:hAnsi="Arial" w:cs="Arial"/>
                <w:b/>
              </w:rPr>
            </w:pPr>
            <w:r w:rsidRPr="00AD2C23">
              <w:rPr>
                <w:rFonts w:ascii="Arial" w:hAnsi="Arial" w:cs="Arial"/>
                <w:b/>
              </w:rPr>
              <w:t>Ementa nova</w:t>
            </w:r>
          </w:p>
        </w:tc>
      </w:tr>
      <w:tr w:rsidR="00054720" w:rsidRPr="00AD2C23" w:rsidTr="00DC2548">
        <w:tc>
          <w:tcPr>
            <w:tcW w:w="4322" w:type="dxa"/>
          </w:tcPr>
          <w:p w:rsidR="00054720" w:rsidRPr="00AD2C23" w:rsidRDefault="00054720" w:rsidP="00DC2548">
            <w:pPr>
              <w:rPr>
                <w:rFonts w:ascii="Arial" w:hAnsi="Arial" w:cs="Arial"/>
              </w:rPr>
            </w:pPr>
            <w:r w:rsidRPr="00AD2C23">
              <w:rPr>
                <w:rFonts w:ascii="Arial" w:hAnsi="Arial" w:cs="Arial"/>
              </w:rPr>
              <w:t xml:space="preserve">Agitação, aeração e ampliação de escala em processos fermentativos. Tecnologia de biorreatores. Cinética dos processos enzimáticos e fermentativos. Biorreatores biológicos e enzimáticos ideais. </w:t>
            </w:r>
            <w:proofErr w:type="gramStart"/>
            <w:r w:rsidRPr="00AD2C23">
              <w:rPr>
                <w:rFonts w:ascii="Arial" w:hAnsi="Arial" w:cs="Arial"/>
              </w:rPr>
              <w:t>Processo descontínuos</w:t>
            </w:r>
            <w:proofErr w:type="gramEnd"/>
            <w:r w:rsidRPr="00AD2C23">
              <w:rPr>
                <w:rFonts w:ascii="Arial" w:hAnsi="Arial" w:cs="Arial"/>
              </w:rPr>
              <w:t xml:space="preserve">, </w:t>
            </w:r>
            <w:proofErr w:type="spellStart"/>
            <w:r w:rsidRPr="00AD2C23">
              <w:rPr>
                <w:rFonts w:ascii="Arial" w:hAnsi="Arial" w:cs="Arial"/>
              </w:rPr>
              <w:t>semicontínuos</w:t>
            </w:r>
            <w:proofErr w:type="spellEnd"/>
            <w:r w:rsidRPr="00AD2C23">
              <w:rPr>
                <w:rFonts w:ascii="Arial" w:hAnsi="Arial" w:cs="Arial"/>
              </w:rPr>
              <w:t xml:space="preserve"> e contínuos; balanços de massa, cinética e cálculo de reatores.</w:t>
            </w:r>
          </w:p>
        </w:tc>
        <w:tc>
          <w:tcPr>
            <w:tcW w:w="4322" w:type="dxa"/>
          </w:tcPr>
          <w:p w:rsidR="00054720" w:rsidRPr="00AD2C23" w:rsidRDefault="00054720" w:rsidP="00DC2548">
            <w:pPr>
              <w:rPr>
                <w:rFonts w:ascii="Arial" w:hAnsi="Arial" w:cs="Arial"/>
              </w:rPr>
            </w:pPr>
            <w:proofErr w:type="spellStart"/>
            <w:r w:rsidRPr="00AD2C23">
              <w:rPr>
                <w:rFonts w:ascii="Arial" w:hAnsi="Arial" w:cs="Arial"/>
              </w:rPr>
              <w:t>Microorganismos</w:t>
            </w:r>
            <w:proofErr w:type="spellEnd"/>
            <w:r w:rsidRPr="00AD2C23">
              <w:rPr>
                <w:rFonts w:ascii="Arial" w:hAnsi="Arial" w:cs="Arial"/>
              </w:rPr>
              <w:t xml:space="preserve"> e meios de cultura de interesse industrial. Esterilização de meios, equipamentos e ar. Cinética de processos fermentativos e enzimáticos. Biorreatores biológicos e enzimáticos ideais: processo descontínuo, </w:t>
            </w:r>
            <w:proofErr w:type="spellStart"/>
            <w:r w:rsidRPr="00AD2C23">
              <w:rPr>
                <w:rFonts w:ascii="Arial" w:hAnsi="Arial" w:cs="Arial"/>
              </w:rPr>
              <w:t>semicontínuos</w:t>
            </w:r>
            <w:proofErr w:type="spellEnd"/>
            <w:r w:rsidRPr="00AD2C23">
              <w:rPr>
                <w:rFonts w:ascii="Arial" w:hAnsi="Arial" w:cs="Arial"/>
              </w:rPr>
              <w:t xml:space="preserve"> e contínuos; balanços de massa, cinética e cálculo de reatores. Agitação, aeração e ampliação de escala em processos fermentativos. Purificação de produtos biotecnológicos.</w:t>
            </w:r>
          </w:p>
        </w:tc>
      </w:tr>
    </w:tbl>
    <w:p w:rsidR="00054720" w:rsidRDefault="00054720" w:rsidP="001C6C91">
      <w:pPr>
        <w:jc w:val="center"/>
        <w:rPr>
          <w:rFonts w:ascii="Arial" w:hAnsi="Arial" w:cs="Arial"/>
        </w:rPr>
      </w:pPr>
    </w:p>
    <w:tbl>
      <w:tblPr>
        <w:tblStyle w:val="Tabelacomgrade"/>
        <w:tblW w:w="0" w:type="auto"/>
        <w:tblLook w:val="04A0" w:firstRow="1" w:lastRow="0" w:firstColumn="1" w:lastColumn="0" w:noHBand="0" w:noVBand="1"/>
      </w:tblPr>
      <w:tblGrid>
        <w:gridCol w:w="4322"/>
        <w:gridCol w:w="4322"/>
      </w:tblGrid>
      <w:tr w:rsidR="00054720" w:rsidRPr="00AD2C23" w:rsidTr="00DC2548">
        <w:tc>
          <w:tcPr>
            <w:tcW w:w="8644" w:type="dxa"/>
            <w:gridSpan w:val="2"/>
          </w:tcPr>
          <w:p w:rsidR="00054720" w:rsidRPr="00AD2C23" w:rsidRDefault="00054720" w:rsidP="00DC2548">
            <w:pPr>
              <w:jc w:val="center"/>
              <w:rPr>
                <w:rFonts w:ascii="Arial" w:hAnsi="Arial" w:cs="Arial"/>
                <w:b/>
              </w:rPr>
            </w:pPr>
            <w:r w:rsidRPr="00AD2C23">
              <w:rPr>
                <w:rFonts w:ascii="Arial" w:hAnsi="Arial" w:cs="Arial"/>
                <w:b/>
              </w:rPr>
              <w:t>EAL 102- Biotecnologia de Alimentos</w:t>
            </w:r>
          </w:p>
        </w:tc>
      </w:tr>
      <w:tr w:rsidR="00054720" w:rsidRPr="00AD2C23" w:rsidTr="00DC2548">
        <w:tc>
          <w:tcPr>
            <w:tcW w:w="4322" w:type="dxa"/>
          </w:tcPr>
          <w:p w:rsidR="00054720" w:rsidRPr="00AD2C23" w:rsidRDefault="00054720" w:rsidP="00DC2548">
            <w:pPr>
              <w:jc w:val="center"/>
              <w:rPr>
                <w:rFonts w:ascii="Arial" w:hAnsi="Arial" w:cs="Arial"/>
                <w:b/>
              </w:rPr>
            </w:pPr>
            <w:r w:rsidRPr="00AD2C23">
              <w:rPr>
                <w:rFonts w:ascii="Arial" w:hAnsi="Arial" w:cs="Arial"/>
                <w:b/>
              </w:rPr>
              <w:t>Ementa antiga</w:t>
            </w:r>
          </w:p>
        </w:tc>
        <w:tc>
          <w:tcPr>
            <w:tcW w:w="4322" w:type="dxa"/>
          </w:tcPr>
          <w:p w:rsidR="00054720" w:rsidRPr="00AD2C23" w:rsidRDefault="00054720" w:rsidP="00DC2548">
            <w:pPr>
              <w:jc w:val="center"/>
              <w:rPr>
                <w:rFonts w:ascii="Arial" w:hAnsi="Arial" w:cs="Arial"/>
                <w:b/>
              </w:rPr>
            </w:pPr>
            <w:r w:rsidRPr="00AD2C23">
              <w:rPr>
                <w:rFonts w:ascii="Arial" w:hAnsi="Arial" w:cs="Arial"/>
                <w:b/>
              </w:rPr>
              <w:t>Ementa nova</w:t>
            </w:r>
          </w:p>
        </w:tc>
      </w:tr>
      <w:tr w:rsidR="00054720" w:rsidRPr="00AD2C23" w:rsidTr="00DC2548">
        <w:tc>
          <w:tcPr>
            <w:tcW w:w="4322" w:type="dxa"/>
          </w:tcPr>
          <w:p w:rsidR="00054720" w:rsidRPr="00AD2C23" w:rsidRDefault="00054720" w:rsidP="00DC2548">
            <w:pPr>
              <w:jc w:val="center"/>
              <w:rPr>
                <w:rFonts w:ascii="Arial" w:hAnsi="Arial" w:cs="Arial"/>
              </w:rPr>
            </w:pPr>
            <w:r w:rsidRPr="00AD2C23">
              <w:rPr>
                <w:rFonts w:ascii="Arial" w:hAnsi="Arial" w:cs="Arial"/>
              </w:rPr>
              <w:t xml:space="preserve">Biotecnologia: definição e histórico. Princípios fundamentais da engenharia genética e sua correlação com alimentos </w:t>
            </w:r>
            <w:proofErr w:type="spellStart"/>
            <w:r w:rsidRPr="00AD2C23">
              <w:rPr>
                <w:rFonts w:ascii="Arial" w:hAnsi="Arial" w:cs="Arial"/>
              </w:rPr>
              <w:t>in-natura</w:t>
            </w:r>
            <w:proofErr w:type="spellEnd"/>
            <w:r w:rsidRPr="00AD2C23">
              <w:rPr>
                <w:rFonts w:ascii="Arial" w:hAnsi="Arial" w:cs="Arial"/>
              </w:rPr>
              <w:t xml:space="preserve"> e processados. Organismos e vegetais geneticamente modificados. </w:t>
            </w:r>
            <w:proofErr w:type="spellStart"/>
            <w:r w:rsidRPr="00AD2C23">
              <w:rPr>
                <w:rFonts w:ascii="Arial" w:hAnsi="Arial" w:cs="Arial"/>
              </w:rPr>
              <w:t>Microorganismos</w:t>
            </w:r>
            <w:proofErr w:type="spellEnd"/>
            <w:r w:rsidRPr="00AD2C23">
              <w:rPr>
                <w:rFonts w:ascii="Arial" w:hAnsi="Arial" w:cs="Arial"/>
              </w:rPr>
              <w:t xml:space="preserve"> utilizados na produção de alimentos e aditivos da indústria de alimentos. Biotecnologia na despoluição de efluentes de indústria de alimentos</w:t>
            </w:r>
          </w:p>
        </w:tc>
        <w:tc>
          <w:tcPr>
            <w:tcW w:w="4322" w:type="dxa"/>
          </w:tcPr>
          <w:p w:rsidR="00054720" w:rsidRPr="00AD2C23" w:rsidRDefault="00054720" w:rsidP="00054720">
            <w:pPr>
              <w:rPr>
                <w:rFonts w:ascii="Arial" w:hAnsi="Arial" w:cs="Arial"/>
              </w:rPr>
            </w:pPr>
            <w:r w:rsidRPr="00AD2C23">
              <w:rPr>
                <w:rFonts w:ascii="Arial" w:hAnsi="Arial" w:cs="Arial"/>
              </w:rPr>
              <w:t>Biotecnologia de alimentos: Histórico, definição e perspectivas de desenvolvimento. Princípios fundamentais da biologia molecular e engenharia genética aplicada à biotecnologia de alimentos, organismos e vegetais geneticamente modificados. Aplicações de biotecnologia na obtenção de novos produtos e ingredientes para a indústria.</w:t>
            </w:r>
          </w:p>
        </w:tc>
      </w:tr>
    </w:tbl>
    <w:p w:rsidR="00054720" w:rsidRDefault="00054720" w:rsidP="001C6C91">
      <w:pPr>
        <w:jc w:val="center"/>
        <w:rPr>
          <w:rFonts w:ascii="Arial" w:hAnsi="Arial" w:cs="Arial"/>
        </w:rPr>
      </w:pPr>
    </w:p>
    <w:tbl>
      <w:tblPr>
        <w:tblStyle w:val="Tabelacomgrade"/>
        <w:tblW w:w="0" w:type="auto"/>
        <w:tblLook w:val="04A0" w:firstRow="1" w:lastRow="0" w:firstColumn="1" w:lastColumn="0" w:noHBand="0" w:noVBand="1"/>
      </w:tblPr>
      <w:tblGrid>
        <w:gridCol w:w="4322"/>
        <w:gridCol w:w="4322"/>
      </w:tblGrid>
      <w:tr w:rsidR="00307264" w:rsidTr="00B14C0A">
        <w:tc>
          <w:tcPr>
            <w:tcW w:w="8644" w:type="dxa"/>
            <w:gridSpan w:val="2"/>
          </w:tcPr>
          <w:p w:rsidR="00307264" w:rsidRPr="00A026A3" w:rsidRDefault="00307264" w:rsidP="00B14C0A">
            <w:pPr>
              <w:jc w:val="center"/>
              <w:rPr>
                <w:rFonts w:ascii="Arial" w:hAnsi="Arial" w:cs="Arial"/>
                <w:b/>
              </w:rPr>
            </w:pPr>
            <w:r w:rsidRPr="00A026A3">
              <w:rPr>
                <w:rFonts w:ascii="Arial" w:hAnsi="Arial" w:cs="Arial"/>
                <w:b/>
              </w:rPr>
              <w:lastRenderedPageBreak/>
              <w:t>CTD211- Ciência e Tecnologia dos Materiais</w:t>
            </w:r>
          </w:p>
        </w:tc>
      </w:tr>
      <w:tr w:rsidR="00307264" w:rsidTr="00B14C0A">
        <w:tc>
          <w:tcPr>
            <w:tcW w:w="4322" w:type="dxa"/>
          </w:tcPr>
          <w:p w:rsidR="00307264" w:rsidRPr="00A026A3" w:rsidRDefault="00307264" w:rsidP="00B14C0A">
            <w:pPr>
              <w:jc w:val="center"/>
              <w:rPr>
                <w:rFonts w:ascii="Arial" w:hAnsi="Arial" w:cs="Arial"/>
                <w:b/>
              </w:rPr>
            </w:pPr>
            <w:r w:rsidRPr="00A026A3">
              <w:rPr>
                <w:rFonts w:ascii="Arial" w:hAnsi="Arial" w:cs="Arial"/>
                <w:b/>
              </w:rPr>
              <w:t>Ementa antiga</w:t>
            </w:r>
          </w:p>
        </w:tc>
        <w:tc>
          <w:tcPr>
            <w:tcW w:w="4322" w:type="dxa"/>
          </w:tcPr>
          <w:p w:rsidR="00307264" w:rsidRPr="00A026A3" w:rsidRDefault="00307264" w:rsidP="00B14C0A">
            <w:pPr>
              <w:jc w:val="center"/>
              <w:rPr>
                <w:rFonts w:ascii="Arial" w:hAnsi="Arial" w:cs="Arial"/>
                <w:b/>
              </w:rPr>
            </w:pPr>
            <w:r w:rsidRPr="00A026A3">
              <w:rPr>
                <w:rFonts w:ascii="Arial" w:hAnsi="Arial" w:cs="Arial"/>
                <w:b/>
              </w:rPr>
              <w:t>Ementa nova</w:t>
            </w:r>
          </w:p>
        </w:tc>
      </w:tr>
      <w:tr w:rsidR="00307264" w:rsidTr="00B14C0A">
        <w:tc>
          <w:tcPr>
            <w:tcW w:w="4322" w:type="dxa"/>
          </w:tcPr>
          <w:p w:rsidR="00307264" w:rsidRDefault="00307264" w:rsidP="00B14C0A">
            <w:pPr>
              <w:rPr>
                <w:rFonts w:ascii="Arial" w:hAnsi="Arial" w:cs="Arial"/>
              </w:rPr>
            </w:pPr>
            <w:r>
              <w:rPr>
                <w:rFonts w:ascii="Arial" w:hAnsi="Arial" w:cs="Arial"/>
              </w:rPr>
              <w:t>Metais ferrosos. Metais não ferrosos especiais. Produtos minerais não metálicos. Polímeros. Revestimentos protetores metálicos e tintas. Critérios de seleção de materiais de construção de equipamentos da indústria química. Ensaio dos materiais. Corrosão. Classificação das embalagens, tipos e usos. Importância e funções das embalagens.</w:t>
            </w:r>
          </w:p>
        </w:tc>
        <w:tc>
          <w:tcPr>
            <w:tcW w:w="4322" w:type="dxa"/>
          </w:tcPr>
          <w:p w:rsidR="00307264" w:rsidRDefault="00307264" w:rsidP="00B14C0A">
            <w:pPr>
              <w:rPr>
                <w:rFonts w:ascii="Arial" w:hAnsi="Arial" w:cs="Arial"/>
              </w:rPr>
            </w:pPr>
            <w:r>
              <w:rPr>
                <w:rFonts w:ascii="Arial" w:hAnsi="Arial" w:cs="Arial"/>
              </w:rPr>
              <w:t>Metais ferrosos e não ferrosos. Metais não ferrosos especiais. Produtos minerais não metálicos. Polímeros. Revestimentos protetores metálicos e tintas. Critérios de seleção de materiais de construção de equipamentos da indústria química. Ensaio dos materiais</w:t>
            </w:r>
          </w:p>
        </w:tc>
      </w:tr>
    </w:tbl>
    <w:p w:rsidR="00307264" w:rsidRDefault="00307264" w:rsidP="00307264">
      <w:pPr>
        <w:rPr>
          <w:rFonts w:ascii="Arial" w:hAnsi="Arial" w:cs="Arial"/>
        </w:rPr>
      </w:pPr>
      <w:bookmarkStart w:id="0" w:name="_GoBack"/>
      <w:bookmarkEnd w:id="0"/>
    </w:p>
    <w:tbl>
      <w:tblPr>
        <w:tblStyle w:val="Tabelacomgrade"/>
        <w:tblW w:w="0" w:type="auto"/>
        <w:tblLook w:val="04A0" w:firstRow="1" w:lastRow="0" w:firstColumn="1" w:lastColumn="0" w:noHBand="0" w:noVBand="1"/>
      </w:tblPr>
      <w:tblGrid>
        <w:gridCol w:w="4322"/>
        <w:gridCol w:w="4322"/>
      </w:tblGrid>
      <w:tr w:rsidR="00307264" w:rsidTr="00B14C0A">
        <w:tc>
          <w:tcPr>
            <w:tcW w:w="8644" w:type="dxa"/>
            <w:gridSpan w:val="2"/>
          </w:tcPr>
          <w:p w:rsidR="00307264" w:rsidRPr="00A026A3" w:rsidRDefault="00307264" w:rsidP="00B14C0A">
            <w:pPr>
              <w:jc w:val="center"/>
              <w:rPr>
                <w:rFonts w:ascii="Arial" w:hAnsi="Arial" w:cs="Arial"/>
                <w:b/>
              </w:rPr>
            </w:pPr>
            <w:r w:rsidRPr="00A026A3">
              <w:rPr>
                <w:rFonts w:ascii="Arial" w:hAnsi="Arial" w:cs="Arial"/>
                <w:b/>
              </w:rPr>
              <w:t>CTD311-Fenômenos de calor</w:t>
            </w:r>
          </w:p>
        </w:tc>
      </w:tr>
      <w:tr w:rsidR="00307264" w:rsidTr="00B14C0A">
        <w:tc>
          <w:tcPr>
            <w:tcW w:w="4322" w:type="dxa"/>
          </w:tcPr>
          <w:p w:rsidR="00307264" w:rsidRPr="00A026A3" w:rsidRDefault="00307264" w:rsidP="00B14C0A">
            <w:pPr>
              <w:jc w:val="center"/>
              <w:rPr>
                <w:rFonts w:ascii="Arial" w:hAnsi="Arial" w:cs="Arial"/>
                <w:b/>
              </w:rPr>
            </w:pPr>
            <w:r w:rsidRPr="00A026A3">
              <w:rPr>
                <w:rFonts w:ascii="Arial" w:hAnsi="Arial" w:cs="Arial"/>
                <w:b/>
              </w:rPr>
              <w:t>Ementa antiga</w:t>
            </w:r>
          </w:p>
        </w:tc>
        <w:tc>
          <w:tcPr>
            <w:tcW w:w="4322" w:type="dxa"/>
          </w:tcPr>
          <w:p w:rsidR="00307264" w:rsidRPr="00A026A3" w:rsidRDefault="00307264" w:rsidP="00B14C0A">
            <w:pPr>
              <w:jc w:val="center"/>
              <w:rPr>
                <w:rFonts w:ascii="Arial" w:hAnsi="Arial" w:cs="Arial"/>
                <w:b/>
              </w:rPr>
            </w:pPr>
            <w:r w:rsidRPr="00A026A3">
              <w:rPr>
                <w:rFonts w:ascii="Arial" w:hAnsi="Arial" w:cs="Arial"/>
                <w:b/>
              </w:rPr>
              <w:t>Ementa nova</w:t>
            </w:r>
          </w:p>
        </w:tc>
      </w:tr>
      <w:tr w:rsidR="00307264" w:rsidTr="00B14C0A">
        <w:tc>
          <w:tcPr>
            <w:tcW w:w="4322" w:type="dxa"/>
          </w:tcPr>
          <w:p w:rsidR="00307264" w:rsidRDefault="00307264" w:rsidP="00B14C0A">
            <w:pPr>
              <w:rPr>
                <w:rFonts w:ascii="Arial" w:hAnsi="Arial" w:cs="Arial"/>
              </w:rPr>
            </w:pPr>
            <w:r>
              <w:rPr>
                <w:rFonts w:ascii="Arial" w:hAnsi="Arial" w:cs="Arial"/>
              </w:rPr>
              <w:t>Introdução à transferência de calor. Transferência de calor por condução unidimensional em regime permanente. Transferência de calor por condução bidimensional em regime permanente. Condução de calor tridimensional em regime permanente. Condução de calor em regime transiente. Convecção de calor natural. Convecção de calor forçada no interior de tubos e sobre superfícies externas. Transmissão de calor por radiação. Trocadores de calor</w:t>
            </w:r>
          </w:p>
        </w:tc>
        <w:tc>
          <w:tcPr>
            <w:tcW w:w="4322" w:type="dxa"/>
          </w:tcPr>
          <w:p w:rsidR="00307264" w:rsidRDefault="00307264" w:rsidP="00B14C0A">
            <w:pPr>
              <w:rPr>
                <w:rFonts w:ascii="Arial" w:hAnsi="Arial" w:cs="Arial"/>
              </w:rPr>
            </w:pPr>
            <w:r>
              <w:rPr>
                <w:rFonts w:ascii="Arial" w:hAnsi="Arial" w:cs="Arial"/>
              </w:rPr>
              <w:t xml:space="preserve">Fundamentação da transferência de calor. Transferência de calor por condução unidimensional em regime de permanente. Transferência de calor por condução bidimensional em regime permanente. Condução de calor tridimensional em regime permanente. Condução de calor em regime transiente. Convecção de calor forçada no interior de tubos e </w:t>
            </w:r>
            <w:proofErr w:type="gramStart"/>
            <w:r>
              <w:rPr>
                <w:rFonts w:ascii="Arial" w:hAnsi="Arial" w:cs="Arial"/>
              </w:rPr>
              <w:t>sob superfícies</w:t>
            </w:r>
            <w:proofErr w:type="gramEnd"/>
            <w:r>
              <w:rPr>
                <w:rFonts w:ascii="Arial" w:hAnsi="Arial" w:cs="Arial"/>
              </w:rPr>
              <w:t xml:space="preserve"> externas. Transferência de calor por radiação. Projeto de trocador de calor.</w:t>
            </w:r>
          </w:p>
        </w:tc>
      </w:tr>
    </w:tbl>
    <w:p w:rsidR="00307264" w:rsidRPr="00AD2C23" w:rsidRDefault="00307264" w:rsidP="001C6C91">
      <w:pPr>
        <w:jc w:val="center"/>
        <w:rPr>
          <w:rFonts w:ascii="Arial" w:hAnsi="Arial" w:cs="Arial"/>
        </w:rPr>
      </w:pPr>
    </w:p>
    <w:sectPr w:rsidR="00307264" w:rsidRPr="00AD2C2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A5B"/>
    <w:rsid w:val="00054720"/>
    <w:rsid w:val="000941DA"/>
    <w:rsid w:val="001C6C91"/>
    <w:rsid w:val="001D1E62"/>
    <w:rsid w:val="00243E3F"/>
    <w:rsid w:val="00302A5B"/>
    <w:rsid w:val="00307264"/>
    <w:rsid w:val="003229C9"/>
    <w:rsid w:val="00577A4F"/>
    <w:rsid w:val="0066411C"/>
    <w:rsid w:val="006B23C8"/>
    <w:rsid w:val="006C7134"/>
    <w:rsid w:val="007416F3"/>
    <w:rsid w:val="007E3A4B"/>
    <w:rsid w:val="009A190A"/>
    <w:rsid w:val="009F499C"/>
    <w:rsid w:val="00A026A3"/>
    <w:rsid w:val="00A50915"/>
    <w:rsid w:val="00AA4656"/>
    <w:rsid w:val="00AD2C23"/>
    <w:rsid w:val="00C579E8"/>
    <w:rsid w:val="00CA4AF4"/>
    <w:rsid w:val="00DA26B1"/>
    <w:rsid w:val="00DD1775"/>
    <w:rsid w:val="00DD21B5"/>
    <w:rsid w:val="00E64E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302A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DD21B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D21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302A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DD21B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D21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1335</Words>
  <Characters>7212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cp:lastPrinted>2017-01-27T12:03:00Z</cp:lastPrinted>
  <dcterms:created xsi:type="dcterms:W3CDTF">2017-01-27T12:13:00Z</dcterms:created>
  <dcterms:modified xsi:type="dcterms:W3CDTF">2017-03-23T18:58:00Z</dcterms:modified>
</cp:coreProperties>
</file>