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abealho"/>
        <w:tabs>
          <w:tab w:val="center" w:pos="4819" w:leader="none"/>
          <w:tab w:val="right" w:pos="9638" w:leader="none"/>
          <w:tab w:val="right" w:pos="10367" w:leader="none"/>
        </w:tabs>
        <w:ind w:right="0" w:hanging="0"/>
        <w:jc w:val="center"/>
        <w:rPr>
          <w:color w:val="00000A"/>
          <w:sz w:val="24"/>
        </w:rPr>
      </w:pPr>
      <w:r>
        <w:rPr/>
        <w:softHyphen/>
      </w:r>
    </w:p>
    <w:tbl>
      <w:tblPr>
        <w:tblW w:w="10500" w:type="dxa"/>
        <w:jc w:val="left"/>
        <w:tblInd w:w="-802" w:type="dxa"/>
        <w:tblBorders/>
        <w:tblCellMar>
          <w:top w:w="0" w:type="dxa"/>
          <w:left w:w="108" w:type="dxa"/>
          <w:bottom w:w="0" w:type="dxa"/>
          <w:right w:w="108" w:type="dxa"/>
        </w:tblCellMar>
      </w:tblPr>
      <w:tblGrid>
        <w:gridCol w:w="2238"/>
        <w:gridCol w:w="6442"/>
        <w:gridCol w:w="1820"/>
      </w:tblGrid>
      <w:tr>
        <w:trPr/>
        <w:tc>
          <w:tcPr>
            <w:tcW w:w="2238" w:type="dxa"/>
            <w:tcBorders/>
            <w:shd w:color="auto" w:fill="auto" w:val="clear"/>
            <w:vAlign w:val="center"/>
          </w:tcPr>
          <w:p>
            <w:pPr>
              <w:pStyle w:val="Normal1"/>
              <w:jc w:val="center"/>
              <w:rPr/>
            </w:pPr>
            <w:r>
              <w:rPr/>
              <w:drawing>
                <wp:inline distT="0" distB="0" distL="0" distR="0">
                  <wp:extent cx="819150" cy="862965"/>
                  <wp:effectExtent l="0" t="0" r="0" b="0"/>
                  <wp:docPr id="1"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
                          <pic:cNvPicPr>
                            <a:picLocks noChangeAspect="1" noChangeArrowheads="1"/>
                          </pic:cNvPicPr>
                        </pic:nvPicPr>
                        <pic:blipFill>
                          <a:blip r:embed="rId2"/>
                          <a:stretch>
                            <a:fillRect/>
                          </a:stretch>
                        </pic:blipFill>
                        <pic:spPr bwMode="auto">
                          <a:xfrm>
                            <a:off x="0" y="0"/>
                            <a:ext cx="819150" cy="862965"/>
                          </a:xfrm>
                          <a:prstGeom prst="rect">
                            <a:avLst/>
                          </a:prstGeom>
                        </pic:spPr>
                      </pic:pic>
                    </a:graphicData>
                  </a:graphic>
                </wp:inline>
              </w:drawing>
            </w:r>
          </w:p>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6442" w:type="dxa"/>
            <w:tcBorders/>
            <w:shd w:color="auto" w:fill="auto" w:val="clear"/>
            <w:vAlign w:val="center"/>
          </w:tcPr>
          <w:p>
            <w:pPr>
              <w:pStyle w:val="Normal1"/>
              <w:jc w:val="center"/>
              <w:rPr>
                <w:rFonts w:ascii="Arial" w:hAnsi="Arial" w:cs="Arial"/>
                <w:b/>
                <w:b/>
                <w:sz w:val="18"/>
                <w:szCs w:val="18"/>
              </w:rPr>
            </w:pPr>
            <w:r>
              <w:rPr>
                <w:rFonts w:cs="Arial" w:ascii="Arial" w:hAnsi="Arial"/>
                <w:b/>
                <w:sz w:val="18"/>
                <w:szCs w:val="18"/>
              </w:rPr>
              <w:t>MINISTÉRIO DA EDUCAÇÃO</w:t>
            </w:r>
          </w:p>
          <w:p>
            <w:pPr>
              <w:pStyle w:val="Normal1"/>
              <w:jc w:val="center"/>
              <w:rPr>
                <w:rFonts w:ascii="Arial" w:hAnsi="Arial" w:eastAsia="DejaVu Sans" w:cs="Arial"/>
                <w:b/>
                <w:b/>
                <w:color w:val="00000A"/>
                <w:sz w:val="18"/>
                <w:szCs w:val="18"/>
                <w:lang w:val="pt-BR" w:eastAsia="zh-CN" w:bidi="hi-IN"/>
              </w:rPr>
            </w:pPr>
            <w:r>
              <w:rPr>
                <w:rFonts w:eastAsia="DejaVu Sans" w:cs="Arial" w:ascii="Arial" w:hAnsi="Arial"/>
                <w:b/>
                <w:color w:val="00000A"/>
                <w:sz w:val="18"/>
                <w:szCs w:val="18"/>
                <w:lang w:val="pt-BR" w:eastAsia="zh-CN" w:bidi="hi-IN"/>
              </w:rPr>
            </w:r>
          </w:p>
          <w:p>
            <w:pPr>
              <w:pStyle w:val="Cabealho"/>
              <w:tabs>
                <w:tab w:val="center" w:pos="4819" w:leader="none"/>
                <w:tab w:val="right" w:pos="8504" w:leader="none"/>
                <w:tab w:val="right" w:pos="9638" w:leader="none"/>
              </w:tabs>
              <w:spacing w:lineRule="auto" w:line="360"/>
              <w:jc w:val="center"/>
              <w:rPr>
                <w:rFonts w:ascii="Arial" w:hAnsi="Arial" w:cs="Arial"/>
                <w:b/>
                <w:b/>
                <w:sz w:val="18"/>
                <w:szCs w:val="18"/>
              </w:rPr>
            </w:pPr>
            <w:r>
              <w:rPr>
                <w:rFonts w:cs="Arial" w:ascii="Arial" w:hAnsi="Arial"/>
                <w:b/>
                <w:sz w:val="18"/>
                <w:szCs w:val="18"/>
              </w:rPr>
              <w:t>UNIVERSIDADE FEDERAL DOS VALES DO JEQUITINHONHA E MUCURI</w:t>
            </w:r>
          </w:p>
          <w:p>
            <w:pPr>
              <w:pStyle w:val="Cabealho"/>
              <w:tabs>
                <w:tab w:val="center" w:pos="4819" w:leader="none"/>
                <w:tab w:val="right" w:pos="8504" w:leader="none"/>
                <w:tab w:val="right" w:pos="9638" w:leader="none"/>
              </w:tabs>
              <w:spacing w:lineRule="auto" w:line="360"/>
              <w:jc w:val="center"/>
              <w:rPr>
                <w:rFonts w:ascii="Arial" w:hAnsi="Arial" w:cs="Arial"/>
                <w:b/>
                <w:b/>
                <w:sz w:val="18"/>
                <w:szCs w:val="18"/>
              </w:rPr>
            </w:pPr>
            <w:r>
              <w:rPr>
                <w:rFonts w:cs="Arial" w:ascii="Arial" w:hAnsi="Arial"/>
                <w:b/>
                <w:sz w:val="18"/>
                <w:szCs w:val="18"/>
              </w:rPr>
              <w:t>CONSEPE</w:t>
            </w:r>
          </w:p>
        </w:tc>
        <w:tc>
          <w:tcPr>
            <w:tcW w:w="1820" w:type="dxa"/>
            <w:tcBorders/>
            <w:shd w:color="auto" w:fill="auto" w:val="clear"/>
            <w:vAlign w:val="center"/>
          </w:tcPr>
          <w:p>
            <w:pPr>
              <w:pStyle w:val="Normal1"/>
              <w:jc w:val="center"/>
              <w:rPr>
                <w:rFonts w:ascii="Arial" w:hAnsi="Arial" w:cs="Arial"/>
                <w:b/>
                <w:b/>
                <w:sz w:val="18"/>
                <w:szCs w:val="18"/>
              </w:rPr>
            </w:pPr>
            <w:r>
              <w:rPr/>
              <w:drawing>
                <wp:inline distT="0" distB="0" distL="0" distR="0">
                  <wp:extent cx="981075" cy="751840"/>
                  <wp:effectExtent l="0" t="0" r="0" b="0"/>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3"/>
                          <a:stretch>
                            <a:fillRect/>
                          </a:stretch>
                        </pic:blipFill>
                        <pic:spPr bwMode="auto">
                          <a:xfrm>
                            <a:off x="0" y="0"/>
                            <a:ext cx="981075" cy="751840"/>
                          </a:xfrm>
                          <a:prstGeom prst="rect">
                            <a:avLst/>
                          </a:prstGeom>
                        </pic:spPr>
                      </pic:pic>
                    </a:graphicData>
                  </a:graphic>
                </wp:inline>
              </w:drawing>
            </w:r>
          </w:p>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r>
    </w:tbl>
    <w:p>
      <w:pPr>
        <w:pStyle w:val="Normal1"/>
        <w:jc w:val="center"/>
        <w:rPr>
          <w:rFonts w:ascii="Arial" w:hAnsi="Arial" w:eastAsia="DejaVu Sans" w:cs="FreeSans"/>
          <w:b/>
          <w:b/>
          <w:bCs/>
          <w:color w:val="00000A"/>
          <w:sz w:val="22"/>
          <w:szCs w:val="22"/>
          <w:lang w:val="pt-BR" w:eastAsia="zh-CN" w:bidi="hi-IN"/>
        </w:rPr>
      </w:pPr>
      <w:r>
        <w:rPr>
          <w:rFonts w:eastAsia="DejaVu Sans" w:cs="FreeSans" w:ascii="Arial" w:hAnsi="Arial"/>
          <w:b/>
          <w:bCs/>
          <w:color w:val="00000A"/>
          <w:sz w:val="22"/>
          <w:szCs w:val="22"/>
          <w:lang w:val="pt-BR" w:eastAsia="zh-CN" w:bidi="hi-IN"/>
        </w:rPr>
      </w:r>
    </w:p>
    <w:p>
      <w:pPr>
        <w:pStyle w:val="Normal1"/>
        <w:jc w:val="center"/>
        <w:rPr>
          <w:rFonts w:ascii="Arial" w:hAnsi="Arial" w:eastAsia="DejaVu Sans" w:cs="FreeSans"/>
          <w:b/>
          <w:b/>
          <w:bCs/>
          <w:color w:val="00000A"/>
          <w:sz w:val="22"/>
          <w:szCs w:val="22"/>
          <w:lang w:val="pt-BR" w:eastAsia="zh-CN" w:bidi="hi-IN"/>
        </w:rPr>
      </w:pPr>
      <w:r>
        <w:rPr>
          <w:rFonts w:eastAsia="DejaVu Sans" w:cs="FreeSans" w:ascii="Arial" w:hAnsi="Arial"/>
          <w:b/>
          <w:bCs/>
          <w:color w:val="00000A"/>
          <w:sz w:val="22"/>
          <w:szCs w:val="22"/>
          <w:lang w:val="pt-BR" w:eastAsia="zh-CN" w:bidi="hi-IN"/>
        </w:rPr>
      </w:r>
    </w:p>
    <w:p>
      <w:pPr>
        <w:pStyle w:val="Normal1"/>
        <w:jc w:val="center"/>
        <w:rPr/>
      </w:pPr>
      <w:r>
        <w:rPr>
          <w:rFonts w:ascii="Arial" w:hAnsi="Arial"/>
          <w:b/>
          <w:bCs/>
          <w:sz w:val="22"/>
          <w:szCs w:val="22"/>
        </w:rPr>
        <w:t xml:space="preserve">MINUTA DE RESOLUÇÃO nº </w:t>
      </w:r>
      <w:r>
        <w:rPr>
          <w:rFonts w:ascii="Arial" w:hAnsi="Arial"/>
          <w:b/>
          <w:bCs/>
          <w:sz w:val="22"/>
          <w:szCs w:val="22"/>
          <w:shd w:fill="FFFF00" w:val="clear"/>
        </w:rPr>
        <w:t>XX</w:t>
      </w:r>
      <w:r>
        <w:rPr>
          <w:rFonts w:ascii="Arial" w:hAnsi="Arial"/>
          <w:b/>
          <w:bCs/>
          <w:sz w:val="22"/>
          <w:szCs w:val="22"/>
        </w:rPr>
        <w:t>/2017</w:t>
      </w:r>
    </w:p>
    <w:p>
      <w:pPr>
        <w:pStyle w:val="Normal1"/>
        <w:jc w:val="center"/>
        <w:rPr>
          <w:rFonts w:ascii="Arial" w:hAnsi="Arial" w:eastAsia="DejaVu Sans" w:cs="FreeSans"/>
          <w:b/>
          <w:b/>
          <w:bCs/>
          <w:color w:val="00000A"/>
          <w:sz w:val="22"/>
          <w:szCs w:val="22"/>
          <w:lang w:val="pt-BR" w:eastAsia="zh-CN" w:bidi="hi-IN"/>
        </w:rPr>
      </w:pPr>
      <w:r>
        <w:rPr>
          <w:rFonts w:eastAsia="DejaVu Sans" w:cs="FreeSans" w:ascii="Arial" w:hAnsi="Arial"/>
          <w:b/>
          <w:bCs/>
          <w:color w:val="00000A"/>
          <w:sz w:val="22"/>
          <w:szCs w:val="22"/>
          <w:lang w:val="pt-BR" w:eastAsia="zh-CN" w:bidi="hi-IN"/>
        </w:rPr>
      </w:r>
    </w:p>
    <w:p>
      <w:pPr>
        <w:pStyle w:val="Normal1"/>
        <w:rPr>
          <w:rFonts w:ascii="Arial" w:hAnsi="Arial" w:eastAsia="DejaVu Sans" w:cs="FreeSans"/>
          <w:b/>
          <w:b/>
          <w:bCs/>
          <w:color w:val="00000A"/>
          <w:sz w:val="22"/>
          <w:szCs w:val="22"/>
          <w:lang w:val="pt-BR" w:eastAsia="zh-CN" w:bidi="hi-IN"/>
        </w:rPr>
      </w:pPr>
      <w:r>
        <w:rPr>
          <w:rFonts w:eastAsia="DejaVu Sans" w:cs="FreeSans" w:ascii="Arial" w:hAnsi="Arial"/>
          <w:b/>
          <w:bCs/>
          <w:color w:val="00000A"/>
          <w:sz w:val="22"/>
          <w:szCs w:val="22"/>
          <w:lang w:val="pt-BR" w:eastAsia="zh-CN" w:bidi="hi-IN"/>
        </w:rPr>
      </w:r>
    </w:p>
    <w:p>
      <w:pPr>
        <w:pStyle w:val="Normal1"/>
        <w:ind w:left="5329" w:hanging="0"/>
        <w:jc w:val="both"/>
        <w:rPr/>
      </w:pPr>
      <w:r>
        <w:rPr>
          <w:rFonts w:ascii="Arial" w:hAnsi="Arial"/>
          <w:sz w:val="22"/>
          <w:szCs w:val="22"/>
        </w:rPr>
        <w:t>Estabelece critérios para distribuição de encargos ao pessoal da carreira do magistério superior e dá outras providências.</w:t>
      </w:r>
    </w:p>
    <w:p>
      <w:pPr>
        <w:pStyle w:val="Normal1"/>
        <w:jc w:val="center"/>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rPr>
          <w:rFonts w:ascii="Arial" w:hAnsi="Arial"/>
          <w:color w:val="FF0000"/>
          <w:sz w:val="22"/>
          <w:szCs w:val="22"/>
        </w:rPr>
      </w:pPr>
      <w:r>
        <w:rPr>
          <w:rFonts w:ascii="Arial" w:hAnsi="Arial"/>
          <w:color w:val="00000A"/>
          <w:sz w:val="22"/>
          <w:szCs w:val="22"/>
        </w:rPr>
        <w:t>O Conselho de Ensino, Pesquisa e Extensão da Universidade Federal dos Vales do Jequitinhonha e Mucuri, no uso das atribuições que lhe são conferidas e</w:t>
      </w:r>
    </w:p>
    <w:p>
      <w:pPr>
        <w:pStyle w:val="Normal1"/>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sz w:val="22"/>
          <w:szCs w:val="22"/>
        </w:rPr>
        <w:t>CONSIDERANDO o que dispõe a Lei 9.394, de 20 de dezembro de 1996 e 12.772, de 28 de dezembro de 2012;</w:t>
      </w:r>
    </w:p>
    <w:p>
      <w:pPr>
        <w:pStyle w:val="Normal1"/>
        <w:jc w:val="both"/>
        <w:rPr>
          <w:rFonts w:ascii="Arial" w:hAnsi="Arial"/>
          <w:sz w:val="22"/>
          <w:szCs w:val="22"/>
        </w:rPr>
      </w:pPr>
      <w:r>
        <w:rPr>
          <w:rFonts w:ascii="Arial" w:hAnsi="Arial"/>
          <w:sz w:val="22"/>
          <w:szCs w:val="22"/>
        </w:rPr>
      </w:r>
    </w:p>
    <w:p>
      <w:pPr>
        <w:pStyle w:val="Default"/>
        <w:jc w:val="both"/>
        <w:rPr/>
      </w:pPr>
      <w:r>
        <w:rPr>
          <w:rFonts w:ascii="Arial" w:hAnsi="Arial"/>
          <w:color w:val="00000A"/>
          <w:sz w:val="22"/>
          <w:szCs w:val="22"/>
        </w:rPr>
        <w:t xml:space="preserve">CONSIDERANDO o que estabelecem as Leis 12.772 e 12.863 que estruturam </w:t>
      </w:r>
      <w:r>
        <w:rPr>
          <w:rFonts w:ascii="Arial" w:hAnsi="Arial"/>
          <w:b w:val="false"/>
          <w:i w:val="false"/>
          <w:caps w:val="false"/>
          <w:smallCaps w:val="false"/>
          <w:color w:val="00000A"/>
          <w:spacing w:val="0"/>
          <w:sz w:val="24"/>
          <w:szCs w:val="22"/>
        </w:rPr>
        <w:t>o Plano de Carreiras e Cargos de Magistério Federal;</w:t>
      </w:r>
      <w:r>
        <w:rPr>
          <w:rFonts w:ascii="Arial" w:hAnsi="Arial"/>
          <w:color w:val="00000A"/>
          <w:sz w:val="22"/>
          <w:szCs w:val="22"/>
        </w:rPr>
        <w:t xml:space="preserve"> </w:t>
      </w:r>
    </w:p>
    <w:p>
      <w:pPr>
        <w:pStyle w:val="Default"/>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sz w:val="22"/>
          <w:szCs w:val="22"/>
        </w:rPr>
        <w:t>CONSIDERANDO o que dispõe a Portaria MEC nº 544/2013 que regulamenta as atividades acadêmicas próprias do pessoal docente do ensino superior da UFVJM;</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sz w:val="22"/>
          <w:szCs w:val="22"/>
        </w:rPr>
        <w:t>CONSIDERANDO as constatações 01 e 02 e recomendações 01 e 02 respectivamente no Relatório de Auditória 02/2013 de lavra da AUDIN/UFVJM.</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Default"/>
        <w:jc w:val="both"/>
        <w:rPr/>
      </w:pPr>
      <w:r>
        <w:rPr>
          <w:rFonts w:ascii="Arial" w:hAnsi="Arial"/>
          <w:color w:val="00000A"/>
          <w:sz w:val="22"/>
          <w:szCs w:val="22"/>
        </w:rPr>
        <w:t>CONSIDERANDO o que estabelece o Inciso VII do Art. 12 e o Inciso V do Art. 15 do Estatuto da UFVJM.</w:t>
      </w:r>
    </w:p>
    <w:p>
      <w:pPr>
        <w:pStyle w:val="Default"/>
        <w:jc w:val="both"/>
        <w:rPr>
          <w:rFonts w:ascii="Arial" w:hAnsi="Arial"/>
          <w:color w:val="00000A"/>
          <w:sz w:val="22"/>
          <w:szCs w:val="22"/>
        </w:rPr>
      </w:pPr>
      <w:r>
        <w:rPr>
          <w:rFonts w:ascii="Arial" w:hAnsi="Arial"/>
          <w:color w:val="00000A"/>
          <w:sz w:val="22"/>
          <w:szCs w:val="22"/>
        </w:rPr>
      </w:r>
    </w:p>
    <w:p>
      <w:pPr>
        <w:pStyle w:val="Default"/>
        <w:jc w:val="both"/>
        <w:rPr>
          <w:rFonts w:ascii="Arial" w:hAnsi="Arial"/>
          <w:sz w:val="22"/>
          <w:szCs w:val="22"/>
        </w:rPr>
      </w:pPr>
      <w:r>
        <w:rPr>
          <w:rFonts w:ascii="Arial" w:hAnsi="Arial"/>
          <w:sz w:val="22"/>
          <w:szCs w:val="22"/>
        </w:rPr>
      </w:r>
    </w:p>
    <w:p>
      <w:pPr>
        <w:pStyle w:val="Default"/>
        <w:jc w:val="both"/>
        <w:rPr>
          <w:rFonts w:ascii="Arial" w:hAnsi="Arial" w:eastAsia="DejaVu Sans" w:cs="FreeSans"/>
          <w:color w:val="000000"/>
          <w:sz w:val="22"/>
          <w:szCs w:val="22"/>
          <w:lang w:val="pt-BR" w:eastAsia="zh-CN" w:bidi="hi-IN"/>
        </w:rPr>
      </w:pPr>
      <w:r>
        <w:rPr>
          <w:rFonts w:eastAsia="DejaVu Sans" w:cs="FreeSans" w:ascii="Arial" w:hAnsi="Arial"/>
          <w:color w:val="000000"/>
          <w:sz w:val="22"/>
          <w:szCs w:val="22"/>
          <w:lang w:val="pt-BR" w:eastAsia="zh-CN" w:bidi="hi-IN"/>
        </w:rPr>
      </w:r>
    </w:p>
    <w:p>
      <w:pPr>
        <w:pStyle w:val="Default"/>
        <w:jc w:val="both"/>
        <w:rPr>
          <w:rFonts w:ascii="Arial" w:hAnsi="Arial" w:eastAsia="DejaVu Sans" w:cs="FreeSans"/>
          <w:color w:val="FF9900"/>
          <w:sz w:val="22"/>
          <w:szCs w:val="22"/>
          <w:lang w:val="pt-BR" w:eastAsia="zh-CN" w:bidi="hi-IN"/>
        </w:rPr>
      </w:pPr>
      <w:r>
        <w:rPr>
          <w:rFonts w:eastAsia="DejaVu Sans" w:cs="FreeSans" w:ascii="Arial" w:hAnsi="Arial"/>
          <w:color w:val="FF9900"/>
          <w:sz w:val="22"/>
          <w:szCs w:val="22"/>
          <w:lang w:val="pt-BR" w:eastAsia="zh-CN" w:bidi="hi-IN"/>
        </w:rPr>
      </w:r>
    </w:p>
    <w:p>
      <w:pPr>
        <w:pStyle w:val="Normal1"/>
        <w:jc w:val="both"/>
        <w:rPr>
          <w:b/>
          <w:b/>
          <w:color w:val="FF0000"/>
        </w:rPr>
      </w:pPr>
      <w:r>
        <w:rPr>
          <w:rFonts w:ascii="Arial" w:hAnsi="Arial"/>
          <w:b/>
          <w:color w:val="00000A"/>
          <w:sz w:val="22"/>
          <w:szCs w:val="22"/>
        </w:rPr>
        <w:t>RESOLVE:</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center"/>
        <w:rPr>
          <w:rFonts w:ascii="Arial" w:hAnsi="Arial"/>
          <w:b/>
          <w:b/>
          <w:bCs/>
          <w:sz w:val="22"/>
          <w:szCs w:val="22"/>
        </w:rPr>
      </w:pPr>
      <w:r>
        <w:rPr>
          <w:rFonts w:ascii="Arial" w:hAnsi="Arial"/>
          <w:b/>
          <w:bCs/>
          <w:sz w:val="22"/>
          <w:szCs w:val="22"/>
        </w:rPr>
        <w:t>CAPÍTULO I – DO MAGISTÉRIO SUPERIOR</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sz w:val="22"/>
          <w:szCs w:val="22"/>
        </w:rPr>
      </w:pPr>
      <w:r>
        <w:rPr>
          <w:rFonts w:ascii="Arial" w:hAnsi="Arial"/>
          <w:b/>
          <w:bCs/>
          <w:sz w:val="22"/>
          <w:szCs w:val="22"/>
        </w:rPr>
        <w:t>Art. 1º</w:t>
      </w:r>
      <w:r>
        <w:rPr>
          <w:rFonts w:ascii="Arial" w:hAnsi="Arial"/>
          <w:sz w:val="22"/>
          <w:szCs w:val="22"/>
        </w:rPr>
        <w:t xml:space="preserve"> - Os encargos docentes atribuídos a cada docente obedecerão ao regime de trabalho a que o mesmo se encontra vinculado e à natureza da atividade a ser desenvolvida.</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color w:val="00000A"/>
          <w:sz w:val="22"/>
          <w:szCs w:val="22"/>
        </w:rPr>
        <w:t>Art. 2º</w:t>
      </w:r>
      <w:r>
        <w:rPr>
          <w:rFonts w:ascii="Arial" w:hAnsi="Arial"/>
          <w:color w:val="00000A"/>
          <w:sz w:val="22"/>
          <w:szCs w:val="22"/>
        </w:rPr>
        <w:t xml:space="preserve"> - Todos os docentes da UFVJM, inclusive professores visitantes, independente do cargo, do regime de trabalho, do vínculo e da titulação, desenvolverão atividades de ensino nos cursos de graduação em cada período letivo.</w:t>
      </w:r>
    </w:p>
    <w:p>
      <w:pPr>
        <w:pStyle w:val="Normal1"/>
        <w:jc w:val="both"/>
        <w:rPr>
          <w:rFonts w:ascii="Arial" w:hAnsi="Arial" w:eastAsia="DejaVu Sans" w:cs="FreeSans"/>
          <w:b/>
          <w:b/>
          <w:bCs/>
          <w:color w:val="00000A"/>
          <w:sz w:val="22"/>
          <w:szCs w:val="22"/>
          <w:lang w:val="pt-BR" w:eastAsia="zh-CN" w:bidi="hi-IN"/>
        </w:rPr>
      </w:pPr>
      <w:r>
        <w:rPr>
          <w:rFonts w:eastAsia="DejaVu Sans" w:cs="FreeSans" w:ascii="Arial" w:hAnsi="Arial"/>
          <w:b/>
          <w:bCs/>
          <w:color w:val="00000A"/>
          <w:sz w:val="22"/>
          <w:szCs w:val="22"/>
          <w:lang w:val="pt-BR" w:eastAsia="zh-CN" w:bidi="hi-IN"/>
        </w:rPr>
      </w:r>
    </w:p>
    <w:p>
      <w:pPr>
        <w:pStyle w:val="Normal1"/>
        <w:jc w:val="both"/>
        <w:rPr/>
      </w:pPr>
      <w:r>
        <w:rPr>
          <w:rFonts w:ascii="Arial" w:hAnsi="Arial"/>
          <w:b/>
          <w:bCs/>
          <w:color w:val="00000A"/>
          <w:sz w:val="22"/>
          <w:szCs w:val="22"/>
        </w:rPr>
        <w:t>Parágrafo único</w:t>
      </w:r>
      <w:r>
        <w:rPr>
          <w:rFonts w:ascii="Arial" w:hAnsi="Arial"/>
          <w:color w:val="00000A"/>
          <w:sz w:val="22"/>
          <w:szCs w:val="22"/>
        </w:rPr>
        <w:t>: o caput deste artigo não se aplica aos docentes nas seguintes situações:</w:t>
      </w:r>
    </w:p>
    <w:p>
      <w:pPr>
        <w:pStyle w:val="Normal1"/>
        <w:jc w:val="both"/>
        <w:rPr/>
      </w:pPr>
      <w:r>
        <w:rPr>
          <w:rFonts w:ascii="Arial" w:hAnsi="Arial"/>
          <w:color w:val="00000A"/>
          <w:sz w:val="22"/>
          <w:szCs w:val="22"/>
        </w:rPr>
        <w:t xml:space="preserve">a) os docentes investidos em funções administrativas de CD1 e CD2, </w:t>
      </w:r>
    </w:p>
    <w:p>
      <w:pPr>
        <w:pStyle w:val="Normal1"/>
        <w:jc w:val="both"/>
        <w:rPr/>
      </w:pPr>
      <w:r>
        <w:rPr>
          <w:rFonts w:ascii="Arial" w:hAnsi="Arial"/>
          <w:color w:val="00000A"/>
          <w:sz w:val="22"/>
          <w:szCs w:val="22"/>
        </w:rPr>
        <w:t>b) os docentes legalmente afastados da instituição.</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color w:val="00000A"/>
          <w:sz w:val="22"/>
          <w:szCs w:val="22"/>
        </w:rPr>
        <w:t>Art. 3º</w:t>
      </w:r>
      <w:r>
        <w:rPr>
          <w:rFonts w:ascii="Arial" w:hAnsi="Arial"/>
          <w:color w:val="00000A"/>
          <w:sz w:val="22"/>
          <w:szCs w:val="22"/>
        </w:rPr>
        <w:t xml:space="preserve"> - São considerados encargos docentes para efeito desta Resolução:</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sz w:val="22"/>
          <w:szCs w:val="22"/>
        </w:rPr>
      </w:pPr>
      <w:r>
        <w:rPr>
          <w:rFonts w:ascii="Arial" w:hAnsi="Arial"/>
          <w:sz w:val="22"/>
          <w:szCs w:val="22"/>
        </w:rPr>
        <w:t>I - ensino de graduação e de pós-graduação</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sz w:val="22"/>
          <w:szCs w:val="22"/>
        </w:rPr>
        <w:t xml:space="preserve">II - orientação de qualquer natureza a estudantes de cursos de graduação e de pós-graduação </w:t>
      </w:r>
      <w:r>
        <w:rPr>
          <w:rFonts w:ascii="Arial" w:hAnsi="Arial"/>
          <w:i/>
          <w:iCs/>
          <w:sz w:val="22"/>
          <w:szCs w:val="22"/>
        </w:rPr>
        <w:t>stricto</w:t>
      </w:r>
      <w:r>
        <w:rPr>
          <w:rFonts w:ascii="Arial" w:hAnsi="Arial"/>
          <w:sz w:val="22"/>
          <w:szCs w:val="22"/>
        </w:rPr>
        <w:t xml:space="preserve"> </w:t>
      </w:r>
      <w:r>
        <w:rPr>
          <w:rFonts w:ascii="Arial" w:hAnsi="Arial"/>
          <w:i/>
          <w:iCs/>
          <w:sz w:val="22"/>
          <w:szCs w:val="22"/>
        </w:rPr>
        <w:t>sensu</w:t>
      </w:r>
      <w:r>
        <w:rPr>
          <w:rFonts w:ascii="Arial" w:hAnsi="Arial"/>
          <w:sz w:val="22"/>
          <w:szCs w:val="22"/>
        </w:rPr>
        <w:t xml:space="preserve"> e </w:t>
      </w:r>
      <w:r>
        <w:rPr>
          <w:rFonts w:ascii="Arial" w:hAnsi="Arial"/>
          <w:i/>
          <w:iCs/>
          <w:sz w:val="22"/>
          <w:szCs w:val="22"/>
        </w:rPr>
        <w:t>lato</w:t>
      </w:r>
      <w:r>
        <w:rPr>
          <w:rFonts w:ascii="Arial" w:hAnsi="Arial"/>
          <w:sz w:val="22"/>
          <w:szCs w:val="22"/>
        </w:rPr>
        <w:t xml:space="preserve"> </w:t>
      </w:r>
      <w:r>
        <w:rPr>
          <w:rFonts w:ascii="Arial" w:hAnsi="Arial"/>
          <w:i/>
          <w:iCs/>
          <w:sz w:val="22"/>
          <w:szCs w:val="22"/>
        </w:rPr>
        <w:t>sensu,</w:t>
      </w:r>
      <w:r>
        <w:rPr>
          <w:rFonts w:ascii="Arial" w:hAnsi="Arial"/>
          <w:sz w:val="22"/>
          <w:szCs w:val="22"/>
        </w:rPr>
        <w:t xml:space="preserve"> de monitores, estagiários, bolsistas de qualquer natureza;</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sz w:val="22"/>
          <w:szCs w:val="22"/>
        </w:rPr>
        <w:t>III - participação em bancas examinadoras;</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sz w:val="22"/>
          <w:szCs w:val="22"/>
        </w:rPr>
        <w:t xml:space="preserve">IV – qualificação profissional e/ou treinamento em cursos ou estágios de aperfeiçoamento, especialização e atualização, bem como obtenção de créditos e títulos de pós-graduação </w:t>
      </w:r>
      <w:r>
        <w:rPr>
          <w:rFonts w:ascii="Arial" w:hAnsi="Arial"/>
          <w:i/>
          <w:iCs/>
          <w:sz w:val="22"/>
          <w:szCs w:val="22"/>
        </w:rPr>
        <w:t>stricto</w:t>
      </w:r>
      <w:r>
        <w:rPr>
          <w:rFonts w:ascii="Arial" w:hAnsi="Arial"/>
          <w:sz w:val="22"/>
          <w:szCs w:val="22"/>
        </w:rPr>
        <w:t xml:space="preserve"> </w:t>
      </w:r>
      <w:r>
        <w:rPr>
          <w:rFonts w:ascii="Arial" w:hAnsi="Arial"/>
          <w:i/>
          <w:iCs/>
          <w:sz w:val="22"/>
          <w:szCs w:val="22"/>
        </w:rPr>
        <w:t>sensu</w:t>
      </w:r>
      <w:r>
        <w:rPr>
          <w:rFonts w:ascii="Arial" w:hAnsi="Arial"/>
          <w:sz w:val="22"/>
          <w:szCs w:val="22"/>
        </w:rPr>
        <w:t>, exceto quando contabilizados para fins de promoção acelerada;</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sz w:val="22"/>
          <w:szCs w:val="22"/>
        </w:rPr>
      </w:pPr>
      <w:r>
        <w:rPr>
          <w:rFonts w:ascii="Arial" w:hAnsi="Arial"/>
          <w:sz w:val="22"/>
          <w:szCs w:val="22"/>
        </w:rPr>
        <w:t>V - produção bibliográfica, científica, de inovação, técnica ou artística;</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color w:val="00000A"/>
          <w:sz w:val="22"/>
          <w:szCs w:val="22"/>
        </w:rPr>
        <w:t>VI – atividades de ensino, pesquisa, extensão e cultura;</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sz w:val="22"/>
          <w:szCs w:val="22"/>
        </w:rPr>
        <w:t>VII - exercício de função de direção, coordenação, assessoramento, chefia e assistência na própria UFVJM ou em órgãos públicos, ou outro relacionado à área de atuação do docente;</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sz w:val="22"/>
          <w:szCs w:val="22"/>
        </w:rPr>
        <w:t>VIII - representação, compreendendo a participação em órgãos colegiados na UFVJM ou em órgão públicos, conselhos profissionais, ou outro relacionado à área de atuação do docente, na condição de indicado ou eleito;</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sz w:val="22"/>
          <w:szCs w:val="22"/>
        </w:rPr>
        <w:t>IX - demais atividades de gestão no âmbito da UFVJM, podendo ser considerada a representação sindical, desde que o servidor não esteja licenciado nos termos do art. 92 da Lei nº 8.112, de 1990 e;</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sz w:val="22"/>
          <w:szCs w:val="22"/>
        </w:rPr>
        <w:t>X – A coordenação e participação em Comissões Organizadoras de eventos científicos, filosóficos, artísticos e culturais.</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center"/>
        <w:rPr>
          <w:rFonts w:ascii="Arial" w:hAnsi="Arial"/>
          <w:b/>
          <w:b/>
          <w:bCs/>
          <w:sz w:val="22"/>
          <w:szCs w:val="22"/>
        </w:rPr>
      </w:pPr>
      <w:r>
        <w:rPr>
          <w:rFonts w:ascii="Arial" w:hAnsi="Arial"/>
          <w:b/>
          <w:bCs/>
          <w:sz w:val="22"/>
          <w:szCs w:val="22"/>
        </w:rPr>
        <w:t>CAPÍTULO II – DOS ENCARGOS DE ENSINO</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sz w:val="22"/>
          <w:szCs w:val="22"/>
        </w:rPr>
        <w:t>Art. 4º</w:t>
      </w:r>
      <w:r>
        <w:rPr>
          <w:rFonts w:ascii="Arial" w:hAnsi="Arial"/>
          <w:sz w:val="22"/>
          <w:szCs w:val="22"/>
        </w:rPr>
        <w:t xml:space="preserve"> - São consideradas atividades de ensino, desde que não apresentem remuneração extraordinária aos docentes,</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color w:val="00000A"/>
          <w:sz w:val="22"/>
          <w:szCs w:val="22"/>
        </w:rPr>
        <w:t xml:space="preserve">I - ministrar aulas em curso de graduação e de pós-graduação </w:t>
      </w:r>
      <w:r>
        <w:rPr>
          <w:rFonts w:ascii="Arial" w:hAnsi="Arial"/>
          <w:i/>
          <w:iCs/>
          <w:color w:val="00000A"/>
          <w:sz w:val="22"/>
          <w:szCs w:val="22"/>
        </w:rPr>
        <w:t>stricto</w:t>
      </w:r>
      <w:r>
        <w:rPr>
          <w:rFonts w:ascii="Arial" w:hAnsi="Arial"/>
          <w:color w:val="00000A"/>
          <w:sz w:val="22"/>
          <w:szCs w:val="22"/>
        </w:rPr>
        <w:t xml:space="preserve"> </w:t>
      </w:r>
      <w:r>
        <w:rPr>
          <w:rFonts w:ascii="Arial" w:hAnsi="Arial"/>
          <w:i/>
          <w:iCs/>
          <w:color w:val="00000A"/>
          <w:sz w:val="22"/>
          <w:szCs w:val="22"/>
        </w:rPr>
        <w:t>sensu</w:t>
      </w:r>
      <w:r>
        <w:rPr>
          <w:rFonts w:ascii="Arial" w:hAnsi="Arial"/>
          <w:color w:val="00000A"/>
          <w:sz w:val="22"/>
          <w:szCs w:val="22"/>
        </w:rPr>
        <w:t xml:space="preserve"> e </w:t>
      </w:r>
      <w:r>
        <w:rPr>
          <w:rFonts w:ascii="Arial" w:hAnsi="Arial"/>
          <w:i/>
          <w:iCs/>
          <w:color w:val="00000A"/>
          <w:sz w:val="22"/>
          <w:szCs w:val="22"/>
        </w:rPr>
        <w:t>lato</w:t>
      </w:r>
      <w:r>
        <w:rPr>
          <w:rFonts w:ascii="Arial" w:hAnsi="Arial"/>
          <w:color w:val="00000A"/>
          <w:sz w:val="22"/>
          <w:szCs w:val="22"/>
        </w:rPr>
        <w:t xml:space="preserve"> </w:t>
      </w:r>
      <w:r>
        <w:rPr>
          <w:rFonts w:ascii="Arial" w:hAnsi="Arial"/>
          <w:i/>
          <w:iCs/>
          <w:color w:val="00000A"/>
          <w:sz w:val="22"/>
          <w:szCs w:val="22"/>
        </w:rPr>
        <w:t>sensu</w:t>
      </w:r>
      <w:r>
        <w:rPr>
          <w:rFonts w:ascii="Arial" w:hAnsi="Arial"/>
          <w:color w:val="00000A"/>
          <w:sz w:val="22"/>
          <w:szCs w:val="22"/>
        </w:rPr>
        <w:t>, presenciais ou a distância, expressas em horas-aulas.</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sz w:val="22"/>
          <w:szCs w:val="22"/>
        </w:rPr>
        <w:t>II - planejar, preparar, organizar, executar e avaliar as atividades de ensino.</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sz w:val="22"/>
          <w:szCs w:val="22"/>
        </w:rPr>
        <w:t>III - orientar e supervisionar trabalhos de conclusão de curso e estágios curriculares em curso de g</w:t>
      </w:r>
      <w:r>
        <w:rPr>
          <w:rFonts w:ascii="Arial" w:hAnsi="Arial"/>
          <w:color w:val="00000A"/>
          <w:sz w:val="22"/>
          <w:szCs w:val="22"/>
        </w:rPr>
        <w:t>raduação e de pós-graduação, conforme projeto pedagógico do curso de graduação ou do programa de pós-graduação, devidamente regulamentados pelo Consepe.</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color w:val="00000A"/>
          <w:sz w:val="22"/>
          <w:szCs w:val="22"/>
        </w:rPr>
        <w:t>§ 1º</w:t>
      </w:r>
      <w:r>
        <w:rPr>
          <w:rFonts w:ascii="Arial" w:hAnsi="Arial"/>
          <w:color w:val="00000A"/>
          <w:sz w:val="22"/>
          <w:szCs w:val="22"/>
        </w:rPr>
        <w:t xml:space="preserve"> - Entende-se por hora-aula a unidade de tempo, expressa em sessenta minutos, dedicada ao exercício efetivo de aulas teóricas, de aulas práticas e docentes-assistenciais previstas na carga horária da disciplina, conforme projeto pedagógico do curso de graduação ou do programa de pós-graduação, presenciais ou a distância.</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color w:val="00000A"/>
          <w:sz w:val="22"/>
          <w:szCs w:val="22"/>
        </w:rPr>
        <w:t>§ 2º</w:t>
      </w:r>
      <w:r>
        <w:rPr>
          <w:rFonts w:ascii="Arial" w:hAnsi="Arial"/>
          <w:color w:val="00000A"/>
          <w:sz w:val="22"/>
          <w:szCs w:val="22"/>
        </w:rPr>
        <w:t xml:space="preserve"> - É facultado ao docente orientar quantos alunos desejar, para efeitos de cômputo da carga horária de ensino, respeitando-se a legislação pertinente:</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color w:val="00000A"/>
          <w:sz w:val="22"/>
          <w:szCs w:val="22"/>
        </w:rPr>
        <w:t>Art. 5º</w:t>
      </w:r>
      <w:r>
        <w:rPr>
          <w:rFonts w:ascii="Arial" w:hAnsi="Arial"/>
          <w:color w:val="00000A"/>
          <w:sz w:val="22"/>
          <w:szCs w:val="22"/>
        </w:rPr>
        <w:t xml:space="preserve"> – Será computada ao encargo de orientação pelo docente 1 (uma) hora-aula por semana para as seguintes situações:</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color w:val="00000A"/>
          <w:sz w:val="22"/>
          <w:szCs w:val="22"/>
        </w:rPr>
        <w:t xml:space="preserve">I - cada aluno de graduação ou pós-graduação </w:t>
      </w:r>
      <w:r>
        <w:rPr>
          <w:rFonts w:ascii="Arial" w:hAnsi="Arial"/>
          <w:i/>
          <w:color w:val="00000A"/>
          <w:sz w:val="22"/>
          <w:szCs w:val="22"/>
        </w:rPr>
        <w:t>lato sensu</w:t>
      </w:r>
      <w:r>
        <w:rPr>
          <w:rFonts w:ascii="Arial" w:hAnsi="Arial"/>
          <w:color w:val="00000A"/>
          <w:sz w:val="22"/>
          <w:szCs w:val="22"/>
        </w:rPr>
        <w:t xml:space="preserve"> orientado, ou</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color w:val="00000A"/>
          <w:sz w:val="22"/>
          <w:szCs w:val="22"/>
        </w:rPr>
        <w:t xml:space="preserve">II – cada grupo de alunos de graduação ou pós-graduação </w:t>
      </w:r>
      <w:r>
        <w:rPr>
          <w:rFonts w:ascii="Arial" w:hAnsi="Arial"/>
          <w:i/>
          <w:color w:val="00000A"/>
          <w:sz w:val="22"/>
          <w:szCs w:val="22"/>
        </w:rPr>
        <w:t>lato sensu</w:t>
      </w:r>
      <w:r>
        <w:rPr>
          <w:rFonts w:ascii="Arial" w:hAnsi="Arial"/>
          <w:color w:val="00000A"/>
          <w:sz w:val="22"/>
          <w:szCs w:val="22"/>
        </w:rPr>
        <w:t xml:space="preserve"> envolvidos no mesmo trabalho acadêmico. </w:t>
      </w:r>
    </w:p>
    <w:p>
      <w:pPr>
        <w:pStyle w:val="Normal1"/>
        <w:jc w:val="both"/>
        <w:rPr>
          <w:rFonts w:ascii="Arial" w:hAnsi="Arial" w:eastAsia="DejaVu Sans" w:cs="FreeSans"/>
          <w:b/>
          <w:b/>
          <w:color w:val="00000A"/>
          <w:sz w:val="22"/>
          <w:szCs w:val="22"/>
          <w:lang w:val="pt-BR" w:eastAsia="zh-CN" w:bidi="hi-IN"/>
        </w:rPr>
      </w:pPr>
      <w:r>
        <w:rPr>
          <w:rFonts w:eastAsia="DejaVu Sans" w:cs="FreeSans" w:ascii="Arial" w:hAnsi="Arial"/>
          <w:b/>
          <w:color w:val="00000A"/>
          <w:sz w:val="22"/>
          <w:szCs w:val="22"/>
          <w:lang w:val="pt-BR" w:eastAsia="zh-CN" w:bidi="hi-IN"/>
        </w:rPr>
      </w:r>
    </w:p>
    <w:p>
      <w:pPr>
        <w:pStyle w:val="Normal1"/>
        <w:jc w:val="both"/>
        <w:rPr/>
      </w:pPr>
      <w:r>
        <w:rPr>
          <w:rFonts w:ascii="Arial" w:hAnsi="Arial"/>
          <w:b/>
          <w:color w:val="00000A"/>
          <w:sz w:val="22"/>
          <w:szCs w:val="22"/>
        </w:rPr>
        <w:t>Parágrafo único.</w:t>
      </w:r>
      <w:r>
        <w:rPr>
          <w:rFonts w:ascii="Arial" w:hAnsi="Arial"/>
          <w:color w:val="00000A"/>
          <w:sz w:val="22"/>
          <w:szCs w:val="22"/>
        </w:rPr>
        <w:t xml:space="preserve"> Os discentes de pós-graduação </w:t>
      </w:r>
      <w:r>
        <w:rPr>
          <w:rFonts w:ascii="Arial" w:hAnsi="Arial"/>
          <w:i/>
          <w:color w:val="00000A"/>
          <w:sz w:val="22"/>
          <w:szCs w:val="22"/>
        </w:rPr>
        <w:t>stricto sensu</w:t>
      </w:r>
      <w:r>
        <w:rPr>
          <w:rFonts w:ascii="Arial" w:hAnsi="Arial"/>
          <w:color w:val="00000A"/>
          <w:sz w:val="22"/>
          <w:szCs w:val="22"/>
        </w:rPr>
        <w:t xml:space="preserve"> orientados pelo docente já são computados em unidades curriculares específicas dos currículos dos cursos.</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sz w:val="22"/>
          <w:szCs w:val="22"/>
          <w:shd w:fill="FFFFFF" w:val="clear"/>
        </w:rPr>
        <w:t xml:space="preserve">Art. 6º - </w:t>
      </w:r>
      <w:r>
        <w:rPr>
          <w:rFonts w:ascii="Arial" w:hAnsi="Arial"/>
          <w:sz w:val="22"/>
          <w:szCs w:val="22"/>
          <w:shd w:fill="FFFFFF" w:val="clear"/>
        </w:rPr>
        <w:t>Em nenhuma hipótese serão computadas como encargo docente atividades de ensino, pesquisa e extensão ou administrativas realizadas em outras instituições.</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sz w:val="22"/>
          <w:szCs w:val="22"/>
        </w:rPr>
        <w:t>Art. 7º</w:t>
      </w:r>
      <w:r>
        <w:rPr>
          <w:rFonts w:ascii="Arial" w:hAnsi="Arial"/>
          <w:sz w:val="22"/>
          <w:szCs w:val="22"/>
        </w:rPr>
        <w:t xml:space="preserve"> - A carga de atividades de ensino presencial em sala de aula atribuída a cada docente obedecerá aos seguintes critérios:</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sz w:val="22"/>
          <w:szCs w:val="22"/>
        </w:rPr>
        <w:t>I – Docente contratado em Regime de Tempo Parcial (20 horas semanais):</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ind w:firstLine="720"/>
        <w:jc w:val="both"/>
        <w:rPr/>
      </w:pPr>
      <w:r>
        <w:rPr>
          <w:rFonts w:ascii="Arial" w:hAnsi="Arial"/>
          <w:color w:val="00000A"/>
          <w:sz w:val="22"/>
          <w:szCs w:val="22"/>
        </w:rPr>
        <w:t>a)  mínimo de 8 (oito) e máximo de 12 (doze) horas/aula semanais na graduação.</w:t>
      </w:r>
    </w:p>
    <w:p>
      <w:pPr>
        <w:pStyle w:val="Normal1"/>
        <w:ind w:firstLine="720"/>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color w:val="00000A"/>
          <w:sz w:val="22"/>
          <w:szCs w:val="22"/>
        </w:rPr>
        <w:t>II – Docente contratado em Regime de Tempo Integral (40 horas semanais com ou sem dedicação exclusiva):</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ind w:firstLine="720"/>
        <w:jc w:val="both"/>
        <w:rPr/>
      </w:pPr>
      <w:r>
        <w:rPr>
          <w:rFonts w:ascii="Arial" w:hAnsi="Arial"/>
          <w:color w:val="00000A"/>
          <w:sz w:val="22"/>
          <w:szCs w:val="22"/>
        </w:rPr>
        <w:t>a) mínimo de 8 (oito) e máximo de 20 (vinte) horas/aula semanais na graduação.</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color w:val="FF0000"/>
          <w:sz w:val="22"/>
          <w:szCs w:val="22"/>
        </w:rPr>
      </w:pPr>
      <w:r>
        <w:rPr>
          <w:rFonts w:ascii="Arial" w:hAnsi="Arial"/>
          <w:color w:val="00000A"/>
          <w:sz w:val="22"/>
          <w:szCs w:val="22"/>
        </w:rPr>
        <w:t>III – Professor visitante</w:t>
      </w:r>
    </w:p>
    <w:p>
      <w:pPr>
        <w:pStyle w:val="Normal1"/>
        <w:ind w:firstLine="720"/>
        <w:jc w:val="both"/>
        <w:rPr>
          <w:rFonts w:ascii="Arial" w:hAnsi="Arial"/>
          <w:color w:val="FF0000"/>
          <w:sz w:val="22"/>
          <w:szCs w:val="22"/>
        </w:rPr>
      </w:pPr>
      <w:r>
        <w:rPr>
          <w:rFonts w:ascii="Arial" w:hAnsi="Arial"/>
          <w:color w:val="00000A"/>
          <w:sz w:val="22"/>
          <w:szCs w:val="22"/>
        </w:rPr>
        <w:t>a) mínimo de 04 (quatro) horas/aula semanais na graduação.</w:t>
      </w:r>
    </w:p>
    <w:p>
      <w:pPr>
        <w:pStyle w:val="Normal1"/>
        <w:jc w:val="both"/>
        <w:rPr>
          <w:rFonts w:ascii="Arial" w:hAnsi="Arial" w:eastAsia="DejaVu Sans" w:cs="FreeSans"/>
          <w:b/>
          <w:b/>
          <w:color w:val="00000A"/>
          <w:sz w:val="22"/>
          <w:szCs w:val="22"/>
          <w:lang w:val="pt-BR" w:eastAsia="zh-CN" w:bidi="hi-IN"/>
        </w:rPr>
      </w:pPr>
      <w:r>
        <w:rPr>
          <w:rFonts w:eastAsia="DejaVu Sans" w:cs="FreeSans" w:ascii="Arial" w:hAnsi="Arial"/>
          <w:b/>
          <w:color w:val="00000A"/>
          <w:sz w:val="22"/>
          <w:szCs w:val="22"/>
          <w:lang w:val="pt-BR" w:eastAsia="zh-CN" w:bidi="hi-IN"/>
        </w:rPr>
      </w:r>
    </w:p>
    <w:p>
      <w:pPr>
        <w:pStyle w:val="Normal1"/>
        <w:jc w:val="both"/>
        <w:rPr/>
      </w:pPr>
      <w:r>
        <w:rPr>
          <w:rFonts w:ascii="Arial" w:hAnsi="Arial"/>
          <w:b/>
          <w:color w:val="00000A"/>
          <w:sz w:val="22"/>
          <w:szCs w:val="22"/>
        </w:rPr>
        <w:t>Parágrafo único.</w:t>
      </w:r>
      <w:r>
        <w:rPr>
          <w:rFonts w:ascii="Arial" w:hAnsi="Arial"/>
          <w:color w:val="00000A"/>
          <w:sz w:val="22"/>
          <w:szCs w:val="22"/>
        </w:rPr>
        <w:t xml:space="preserve"> Somente será permitido o cômputo de encargo docente relativo a carga horária de unidades curriculares em cursos de graduação a distância se o docente não perceber bolsa para ministrar tais atividades. </w:t>
      </w:r>
    </w:p>
    <w:p>
      <w:pPr>
        <w:pStyle w:val="Normal1"/>
        <w:jc w:val="both"/>
        <w:rPr>
          <w:rFonts w:ascii="Arial" w:hAnsi="Arial" w:eastAsia="DejaVu Sans" w:cs="FreeSans"/>
          <w:b/>
          <w:b/>
          <w:color w:val="76923C" w:themeColor="accent3" w:themeShade="bf"/>
          <w:sz w:val="22"/>
          <w:szCs w:val="22"/>
          <w:lang w:val="pt-BR" w:eastAsia="zh-CN" w:bidi="hi-IN"/>
        </w:rPr>
      </w:pPr>
      <w:r>
        <w:rPr>
          <w:rFonts w:eastAsia="DejaVu Sans" w:cs="FreeSans" w:ascii="Arial" w:hAnsi="Arial"/>
          <w:b/>
          <w:color w:val="76923C" w:themeColor="accent3" w:themeShade="bf"/>
          <w:sz w:val="22"/>
          <w:szCs w:val="22"/>
          <w:lang w:val="pt-BR" w:eastAsia="zh-CN" w:bidi="hi-IN"/>
        </w:rPr>
      </w:r>
    </w:p>
    <w:p>
      <w:pPr>
        <w:pStyle w:val="Normal1"/>
        <w:jc w:val="both"/>
        <w:rPr/>
      </w:pPr>
      <w:r>
        <w:rPr>
          <w:rFonts w:ascii="Arial" w:hAnsi="Arial"/>
          <w:b/>
          <w:bCs/>
          <w:color w:val="00000A"/>
          <w:sz w:val="22"/>
          <w:szCs w:val="22"/>
        </w:rPr>
        <w:t>Art. 8º</w:t>
      </w:r>
      <w:r>
        <w:rPr>
          <w:rFonts w:ascii="Arial" w:hAnsi="Arial"/>
          <w:color w:val="00000A"/>
          <w:sz w:val="22"/>
          <w:szCs w:val="22"/>
        </w:rPr>
        <w:t xml:space="preserve"> - O docente poderá dedicar ao preparo de aulas e correção de avaliações o máximo de uma hora para cada três horas ministradas em unidades curriculares de graduação, sendo que o número de horas relativo ao preparo de aulas e correção de avaliações não entrará no cômputo da carga horária mínima prevista nesta Resolução.</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color w:val="00000A"/>
          <w:sz w:val="22"/>
          <w:szCs w:val="22"/>
        </w:rPr>
        <w:t>Art. 9º</w:t>
      </w:r>
      <w:r>
        <w:rPr>
          <w:rFonts w:ascii="Arial" w:hAnsi="Arial"/>
          <w:color w:val="00000A"/>
          <w:sz w:val="22"/>
          <w:szCs w:val="22"/>
        </w:rPr>
        <w:t xml:space="preserve"> - As atividades de orientação de Estágio Supervisionado serão computadas ao docente e valoradas de acordo com o especificado em Resolução do Consepe – </w:t>
      </w:r>
      <w:r>
        <w:rPr>
          <w:rFonts w:ascii="Arial" w:hAnsi="Arial"/>
          <w:color w:val="FF3333"/>
          <w:sz w:val="22"/>
          <w:szCs w:val="22"/>
        </w:rPr>
        <w:t>Verificar Resolução nº 23/2014.</w:t>
      </w:r>
    </w:p>
    <w:p>
      <w:pPr>
        <w:pStyle w:val="Normal1"/>
        <w:jc w:val="both"/>
        <w:rPr>
          <w:rFonts w:ascii="Arial" w:hAnsi="Arial" w:eastAsia="DejaVu Sans" w:cs="FreeSans"/>
          <w:b/>
          <w:b/>
          <w:bCs/>
          <w:color w:val="00000A"/>
          <w:sz w:val="22"/>
          <w:szCs w:val="22"/>
          <w:lang w:val="pt-BR" w:eastAsia="zh-CN" w:bidi="hi-IN"/>
        </w:rPr>
      </w:pPr>
      <w:r>
        <w:rPr>
          <w:rFonts w:eastAsia="DejaVu Sans" w:cs="FreeSans" w:ascii="Arial" w:hAnsi="Arial"/>
          <w:b/>
          <w:bCs/>
          <w:color w:val="00000A"/>
          <w:sz w:val="22"/>
          <w:szCs w:val="22"/>
          <w:lang w:val="pt-BR" w:eastAsia="zh-CN" w:bidi="hi-IN"/>
        </w:rPr>
      </w:r>
    </w:p>
    <w:p>
      <w:pPr>
        <w:pStyle w:val="Normal1"/>
        <w:jc w:val="both"/>
        <w:rPr/>
      </w:pPr>
      <w:r>
        <w:rPr>
          <w:rFonts w:ascii="Arial" w:hAnsi="Arial"/>
          <w:b/>
          <w:bCs/>
          <w:color w:val="00000A"/>
          <w:sz w:val="22"/>
          <w:szCs w:val="22"/>
        </w:rPr>
        <w:t>Art. 10</w:t>
      </w:r>
      <w:r>
        <w:rPr>
          <w:rFonts w:ascii="Arial" w:hAnsi="Arial"/>
          <w:color w:val="00000A"/>
          <w:sz w:val="22"/>
          <w:szCs w:val="22"/>
        </w:rPr>
        <w:t xml:space="preserve"> – As Atividades Complementares – AC / Atividades Acadêmico Científico Culturais – AACC, bem como as Atividades de Extensão dentro de um determinado curso serão atribuídas a um único docente, responsável pelo seu acompanhamento e supervisão, ao qual serão computadas 3 horas-aula/semanais.</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color w:val="00000A"/>
          <w:sz w:val="22"/>
          <w:szCs w:val="22"/>
        </w:rPr>
        <w:t>Parágrafo único</w:t>
      </w:r>
      <w:r>
        <w:rPr>
          <w:rFonts w:ascii="Arial" w:hAnsi="Arial"/>
          <w:color w:val="00000A"/>
          <w:sz w:val="22"/>
          <w:szCs w:val="22"/>
        </w:rPr>
        <w:t xml:space="preserve"> – Compete à Chefia imediata do docente, consultado o Colegiado do Curso, designar o docente responsável por acompanhar e supervisionar as Atividades Complementares – AC / Atividades Acadêmico Científico Culturais – AACC e as Atividades de Extensão.</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color w:val="00000A"/>
          <w:sz w:val="22"/>
          <w:szCs w:val="22"/>
        </w:rPr>
        <w:t>Art. 11</w:t>
      </w:r>
      <w:r>
        <w:rPr>
          <w:rFonts w:ascii="Arial" w:hAnsi="Arial"/>
          <w:color w:val="00000A"/>
          <w:sz w:val="22"/>
          <w:szCs w:val="22"/>
        </w:rPr>
        <w:t xml:space="preserve"> - Nos casos em que a atividade de ensino em curso de graduação ou pós-graduação, teórica ou prática, seja compartilhada por dois ou mais professores, a somatória da carga horária total atribuída aos docentes não poderá exceder a carga horária total da disciplina.</w:t>
      </w:r>
    </w:p>
    <w:p>
      <w:pPr>
        <w:pStyle w:val="Normal1"/>
        <w:jc w:val="both"/>
        <w:rPr>
          <w:rFonts w:ascii="Arial" w:hAnsi="Arial" w:eastAsia="DejaVu Sans" w:cs="FreeSans"/>
          <w:color w:val="FF0000"/>
          <w:sz w:val="22"/>
          <w:szCs w:val="22"/>
          <w:lang w:val="pt-BR" w:eastAsia="zh-CN" w:bidi="hi-IN"/>
        </w:rPr>
      </w:pPr>
      <w:r>
        <w:rPr>
          <w:rFonts w:eastAsia="DejaVu Sans" w:cs="FreeSans" w:ascii="Arial" w:hAnsi="Arial"/>
          <w:color w:val="FF0000"/>
          <w:sz w:val="22"/>
          <w:szCs w:val="22"/>
          <w:lang w:val="pt-BR" w:eastAsia="zh-CN" w:bidi="hi-IN"/>
        </w:rPr>
      </w:r>
    </w:p>
    <w:p>
      <w:pPr>
        <w:pStyle w:val="Normal1"/>
        <w:keepNext/>
        <w:jc w:val="center"/>
        <w:rPr>
          <w:rFonts w:ascii="Arial" w:hAnsi="Arial" w:eastAsia="DejaVu Sans" w:cs="FreeSans"/>
          <w:b/>
          <w:b/>
          <w:bCs/>
          <w:color w:val="00000A"/>
          <w:sz w:val="22"/>
          <w:szCs w:val="22"/>
          <w:lang w:val="pt-BR" w:eastAsia="zh-CN" w:bidi="hi-IN"/>
        </w:rPr>
      </w:pPr>
      <w:r>
        <w:rPr>
          <w:rFonts w:eastAsia="DejaVu Sans" w:cs="FreeSans" w:ascii="Arial" w:hAnsi="Arial"/>
          <w:b/>
          <w:bCs/>
          <w:color w:val="00000A"/>
          <w:sz w:val="22"/>
          <w:szCs w:val="22"/>
          <w:lang w:val="pt-BR" w:eastAsia="zh-CN" w:bidi="hi-IN"/>
        </w:rPr>
      </w:r>
    </w:p>
    <w:p>
      <w:pPr>
        <w:pStyle w:val="Normal1"/>
        <w:jc w:val="center"/>
        <w:rPr/>
      </w:pPr>
      <w:r>
        <w:rPr>
          <w:rFonts w:ascii="Arial" w:hAnsi="Arial"/>
          <w:b/>
          <w:bCs/>
          <w:sz w:val="22"/>
          <w:szCs w:val="22"/>
        </w:rPr>
        <w:t>CAPÍTULO III – DOS ENCARGOS COM PROJETOS DE ENSINO</w:t>
      </w:r>
    </w:p>
    <w:p>
      <w:pPr>
        <w:pStyle w:val="Normal1"/>
        <w:keepNext/>
        <w:jc w:val="center"/>
        <w:rPr>
          <w:rFonts w:ascii="Arial" w:hAnsi="Arial" w:eastAsia="DejaVu Sans" w:cs="FreeSans"/>
          <w:color w:val="FF0000"/>
          <w:sz w:val="22"/>
          <w:szCs w:val="22"/>
          <w:lang w:val="pt-BR" w:eastAsia="zh-CN" w:bidi="hi-IN"/>
        </w:rPr>
      </w:pPr>
      <w:r>
        <w:rPr>
          <w:rFonts w:eastAsia="DejaVu Sans" w:cs="FreeSans" w:ascii="Arial" w:hAnsi="Arial"/>
          <w:color w:val="FF0000"/>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color w:val="00000A"/>
          <w:sz w:val="22"/>
          <w:szCs w:val="22"/>
        </w:rPr>
        <w:t>Art. 12</w:t>
      </w:r>
      <w:r>
        <w:rPr>
          <w:rFonts w:ascii="Arial" w:hAnsi="Arial"/>
          <w:color w:val="00000A"/>
          <w:sz w:val="22"/>
          <w:szCs w:val="22"/>
        </w:rPr>
        <w:t xml:space="preserve"> - São considerados projetos de ensino aqueles voltados para o aperfeiçoamento do ensino, bem como da formação de professores, a melhoria do aprendizado discente, a superação da retenção e da evasão, dentre outros, desenvolvidas sob a coordenação e/ou colaboração de docentes.</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color w:val="00000A"/>
          <w:sz w:val="22"/>
          <w:szCs w:val="22"/>
        </w:rPr>
        <w:t>Art. 13</w:t>
      </w:r>
      <w:r>
        <w:rPr>
          <w:rFonts w:ascii="Arial" w:hAnsi="Arial"/>
          <w:color w:val="00000A"/>
          <w:sz w:val="22"/>
          <w:szCs w:val="22"/>
        </w:rPr>
        <w:t xml:space="preserve"> - Os projetos de ensino devidamente registrados na Prograd, conforme a legislação vigente e normas internas da UFVJM, serão reconhecidos e contabilizados nos termos dessa resolução. </w:t>
      </w:r>
    </w:p>
    <w:p>
      <w:pPr>
        <w:pStyle w:val="Normal1"/>
        <w:jc w:val="both"/>
        <w:rPr>
          <w:rFonts w:ascii="Arial" w:hAnsi="Arial" w:eastAsia="DejaVu Sans" w:cs="FreeSans"/>
          <w:color w:val="00000A"/>
          <w:sz w:val="22"/>
          <w:szCs w:val="22"/>
          <w:shd w:fill="FFFF00" w:val="clear"/>
          <w:lang w:val="pt-BR" w:eastAsia="zh-CN" w:bidi="hi-IN"/>
        </w:rPr>
      </w:pPr>
      <w:r>
        <w:rPr>
          <w:rFonts w:eastAsia="DejaVu Sans" w:cs="FreeSans" w:ascii="Arial" w:hAnsi="Arial"/>
          <w:color w:val="00000A"/>
          <w:sz w:val="22"/>
          <w:szCs w:val="22"/>
          <w:shd w:fill="FFFF00" w:val="clear"/>
          <w:lang w:val="pt-BR" w:eastAsia="zh-CN" w:bidi="hi-IN"/>
        </w:rPr>
      </w:r>
    </w:p>
    <w:p>
      <w:pPr>
        <w:pStyle w:val="Normal1"/>
        <w:jc w:val="both"/>
        <w:rPr/>
      </w:pPr>
      <w:r>
        <w:rPr>
          <w:rFonts w:ascii="Arial" w:hAnsi="Arial"/>
          <w:b/>
          <w:bCs/>
          <w:color w:val="00000A"/>
          <w:sz w:val="22"/>
          <w:szCs w:val="22"/>
        </w:rPr>
        <w:t>Art. 14</w:t>
      </w:r>
      <w:r>
        <w:rPr>
          <w:rFonts w:ascii="Arial" w:hAnsi="Arial"/>
          <w:color w:val="00000A"/>
          <w:sz w:val="22"/>
          <w:szCs w:val="22"/>
        </w:rPr>
        <w:t xml:space="preserve"> - As atividades constantes nos pla</w:t>
      </w:r>
      <w:r>
        <w:rPr>
          <w:rFonts w:ascii="Arial" w:hAnsi="Arial"/>
          <w:color w:val="00000A"/>
          <w:sz w:val="22"/>
          <w:szCs w:val="22"/>
          <w:shd w:fill="FFFFFF" w:val="clear"/>
        </w:rPr>
        <w:t>nos e relatórios de atividades deverã</w:t>
      </w:r>
      <w:r>
        <w:rPr>
          <w:rFonts w:ascii="Arial" w:hAnsi="Arial"/>
          <w:color w:val="00000A"/>
          <w:sz w:val="22"/>
          <w:szCs w:val="22"/>
        </w:rPr>
        <w:t>o conter, claramente, o quantitativo de horas dedicadas ao desenvolvimento do projeto de ensino.</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color w:val="00000A"/>
          <w:sz w:val="22"/>
          <w:szCs w:val="22"/>
        </w:rPr>
        <w:t>Art. 15</w:t>
      </w:r>
      <w:r>
        <w:rPr>
          <w:rFonts w:ascii="Arial" w:hAnsi="Arial"/>
          <w:color w:val="00000A"/>
          <w:sz w:val="22"/>
          <w:szCs w:val="22"/>
        </w:rPr>
        <w:t xml:space="preserve"> - É facultado ao docente coordenar e ou participar de quantos projetos de ensino desejar, respeitando-se o seguinte limite de horas semanais para fins do cômputo da carga horária:</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color w:val="FF0000"/>
        </w:rPr>
      </w:pPr>
      <w:r>
        <w:rPr>
          <w:rFonts w:ascii="Arial" w:hAnsi="Arial"/>
          <w:color w:val="00000A"/>
          <w:sz w:val="22"/>
          <w:szCs w:val="22"/>
        </w:rPr>
        <w:t>I - o máximo de até 5 horas semanais, quando for coordenador de ao menos um projeto,</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color w:val="FF0000"/>
        </w:rPr>
      </w:pPr>
      <w:r>
        <w:rPr>
          <w:rFonts w:ascii="Arial" w:hAnsi="Arial"/>
          <w:color w:val="00000A"/>
          <w:sz w:val="22"/>
          <w:szCs w:val="22"/>
        </w:rPr>
        <w:t>II - o máximo de até 2,5 horas semanais, quando for integrante, independentemente do número de projetos que participe.</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color w:val="00000A"/>
          <w:sz w:val="22"/>
          <w:szCs w:val="22"/>
        </w:rPr>
        <w:t>Art. 16</w:t>
      </w:r>
      <w:r>
        <w:rPr>
          <w:rFonts w:ascii="Arial" w:hAnsi="Arial"/>
          <w:color w:val="00000A"/>
          <w:sz w:val="22"/>
          <w:szCs w:val="22"/>
        </w:rPr>
        <w:t xml:space="preserve"> - Caberá à Assembleia do Departamento ou do órgão equivalente de lotação do docente aprovar o tempo a ser registrado pelo docente em atividades relacionadas a projetos de ensino, considerando os limites fixados acima.</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keepNext/>
        <w:jc w:val="center"/>
        <w:rPr/>
      </w:pPr>
      <w:r>
        <w:rPr>
          <w:rFonts w:ascii="Arial" w:hAnsi="Arial"/>
          <w:b/>
          <w:bCs/>
          <w:sz w:val="22"/>
          <w:szCs w:val="22"/>
        </w:rPr>
        <w:t>CAPÍTULO IV – DOS ENCARGOS DE PESQUISA</w:t>
      </w:r>
    </w:p>
    <w:p>
      <w:pPr>
        <w:pStyle w:val="Normal1"/>
        <w:keepNext/>
        <w:jc w:val="center"/>
        <w:rPr>
          <w:rFonts w:ascii="Arial" w:hAnsi="Arial" w:eastAsia="DejaVu Sans" w:cs="FreeSans"/>
          <w:color w:val="00000A"/>
          <w:sz w:val="24"/>
          <w:szCs w:val="24"/>
          <w:lang w:val="pt-BR" w:eastAsia="zh-CN" w:bidi="hi-IN"/>
        </w:rPr>
      </w:pPr>
      <w:r>
        <w:rPr>
          <w:rFonts w:eastAsia="DejaVu Sans" w:cs="FreeSans" w:ascii="Arial" w:hAnsi="Arial"/>
          <w:color w:val="00000A"/>
          <w:sz w:val="24"/>
          <w:szCs w:val="24"/>
          <w:lang w:val="pt-BR" w:eastAsia="zh-CN" w:bidi="hi-IN"/>
        </w:rPr>
      </w:r>
    </w:p>
    <w:p>
      <w:pPr>
        <w:pStyle w:val="Normal1"/>
        <w:jc w:val="both"/>
        <w:rPr/>
      </w:pPr>
      <w:r>
        <w:rPr>
          <w:rFonts w:ascii="Arial" w:hAnsi="Arial"/>
          <w:b/>
          <w:bCs/>
          <w:sz w:val="22"/>
          <w:szCs w:val="22"/>
        </w:rPr>
        <w:t xml:space="preserve">Art. 17 </w:t>
      </w:r>
      <w:r>
        <w:rPr>
          <w:rFonts w:ascii="Arial" w:hAnsi="Arial"/>
          <w:sz w:val="22"/>
          <w:szCs w:val="22"/>
        </w:rPr>
        <w:t>- São consideradas atividades de pesquisa aquelas inerentes à produção ou sistematização do conhecimento e suas aplicações.</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sz w:val="22"/>
          <w:szCs w:val="22"/>
        </w:rPr>
        <w:t>Art. 18</w:t>
      </w:r>
      <w:r>
        <w:rPr>
          <w:rFonts w:ascii="Arial" w:hAnsi="Arial"/>
          <w:sz w:val="22"/>
          <w:szCs w:val="22"/>
        </w:rPr>
        <w:t xml:space="preserve"> - Os projetos de pesquisa registrados, conforme a legislação vigente e normas internas da UFVJM, serão reconhecidos e contabilizados nos termos dessa resolução.</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sz w:val="22"/>
          <w:szCs w:val="22"/>
        </w:rPr>
        <w:t>Art. 19</w:t>
      </w:r>
      <w:r>
        <w:rPr>
          <w:rFonts w:ascii="Arial" w:hAnsi="Arial"/>
          <w:sz w:val="22"/>
          <w:szCs w:val="22"/>
        </w:rPr>
        <w:t xml:space="preserve"> - As atividades de pesquisa constantes nos pla</w:t>
      </w:r>
      <w:r>
        <w:rPr>
          <w:rFonts w:ascii="Arial" w:hAnsi="Arial"/>
          <w:sz w:val="22"/>
          <w:szCs w:val="22"/>
          <w:shd w:fill="FFFFFF" w:val="clear"/>
        </w:rPr>
        <w:t>nos e relatórios de atividades deverã</w:t>
      </w:r>
      <w:r>
        <w:rPr>
          <w:rFonts w:ascii="Arial" w:hAnsi="Arial"/>
          <w:sz w:val="22"/>
          <w:szCs w:val="22"/>
        </w:rPr>
        <w:t>o conter, claramente, o quantitativo de horas dedicadas ao desenvolvimento do projeto de pesquisa.</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sz w:val="22"/>
          <w:szCs w:val="22"/>
        </w:rPr>
        <w:t>Art. 20</w:t>
      </w:r>
      <w:r>
        <w:rPr>
          <w:rFonts w:ascii="Arial" w:hAnsi="Arial"/>
          <w:sz w:val="22"/>
          <w:szCs w:val="22"/>
        </w:rPr>
        <w:t xml:space="preserve"> - É facultado ao docente coordenar e/ou participar de quantos projetos de pesquisa desejar, respeitando-se o seguinte limite de horas semanais para fins do cômputo da carga horária:</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sz w:val="22"/>
          <w:szCs w:val="22"/>
        </w:rPr>
        <w:t>I - o máximo de até 5 horas semanais, quando for coordenador de ao menos um projeto,</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color w:val="00000A"/>
          <w:sz w:val="22"/>
          <w:szCs w:val="22"/>
        </w:rPr>
        <w:t>II - o máximo de até 2,5 horas semanais, quando for integrante, independentemente do número de projetos que participe.</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color w:val="00000A"/>
          <w:sz w:val="22"/>
          <w:szCs w:val="22"/>
        </w:rPr>
        <w:t>Art. 21</w:t>
      </w:r>
      <w:r>
        <w:rPr>
          <w:rFonts w:ascii="Arial" w:hAnsi="Arial"/>
          <w:color w:val="00000A"/>
          <w:sz w:val="22"/>
          <w:szCs w:val="22"/>
        </w:rPr>
        <w:t xml:space="preserve"> - Caberá à Assembleia do Departamento ou do órgão equivalente de lotação do docente aprovar o tempo a ser registrado pelo docente em atividades de pesquisa, considerando os limites fixados acima.</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center"/>
        <w:rPr/>
      </w:pPr>
      <w:r>
        <w:rPr>
          <w:rFonts w:ascii="Arial" w:hAnsi="Arial"/>
          <w:b/>
          <w:bCs/>
          <w:sz w:val="22"/>
          <w:szCs w:val="22"/>
        </w:rPr>
        <w:t>CAPÍTULO V - DOS ENCARGOS DE EXTENSÃO</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sz w:val="22"/>
          <w:szCs w:val="22"/>
        </w:rPr>
        <w:t>Art. 22</w:t>
      </w:r>
      <w:r>
        <w:rPr>
          <w:rFonts w:ascii="Arial" w:hAnsi="Arial"/>
          <w:sz w:val="22"/>
          <w:szCs w:val="22"/>
        </w:rPr>
        <w:t xml:space="preserve"> - São consideradas ações de extensão aquelas que compondo o processo educativo, artístico, cultural e científico, articulem, de forma indissociável, as atividades de ensino e pesquisa.</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sz w:val="22"/>
          <w:szCs w:val="22"/>
        </w:rPr>
        <w:t>Parágrafo único</w:t>
      </w:r>
      <w:r>
        <w:rPr>
          <w:rFonts w:ascii="Arial" w:hAnsi="Arial"/>
          <w:sz w:val="22"/>
          <w:szCs w:val="22"/>
        </w:rPr>
        <w:t xml:space="preserve"> – As ações de extensão são caracterizadas a partir de áreas temáticas e linhas programáticas, dentro da seguinte padronização terminológica: programa, projeto, curso, evento, prestação de serviços, produção e publicação.</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sz w:val="22"/>
          <w:szCs w:val="22"/>
        </w:rPr>
        <w:t xml:space="preserve">Art. 23 - </w:t>
      </w:r>
      <w:r>
        <w:rPr>
          <w:rFonts w:ascii="Arial" w:hAnsi="Arial"/>
          <w:sz w:val="22"/>
          <w:szCs w:val="22"/>
        </w:rPr>
        <w:t xml:space="preserve"> As ações de extensão e cultura registrados, conforme a legislação vigente e normas internas da UFVJM, serão reconhecidos e contabilizados nos termos dessa resolução.</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color w:val="00000A"/>
          <w:sz w:val="22"/>
          <w:szCs w:val="22"/>
        </w:rPr>
        <w:t>Art. 24</w:t>
      </w:r>
      <w:r>
        <w:rPr>
          <w:rFonts w:ascii="Arial" w:hAnsi="Arial"/>
          <w:color w:val="00000A"/>
          <w:sz w:val="22"/>
          <w:szCs w:val="22"/>
        </w:rPr>
        <w:t xml:space="preserve"> - É facultado ao docente coordenar e ou participar de quantas ações de extensão desejar, respeitando-se o seguinte limite de horas semanais para fins do cômputo da carga horária:</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color w:val="00000A"/>
          <w:sz w:val="22"/>
          <w:szCs w:val="22"/>
        </w:rPr>
        <w:t>I - o máximo de até 5 horas semanais, quando for coordenador de ao menos um projeto,</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color w:val="00000A"/>
          <w:sz w:val="22"/>
          <w:szCs w:val="22"/>
        </w:rPr>
        <w:t>II - o máximo de até 2,5 horas semanais, quando for integrante, independentemente do número de projetos que participe.</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color w:val="00000A"/>
          <w:sz w:val="22"/>
          <w:szCs w:val="22"/>
        </w:rPr>
        <w:t>Art. 25</w:t>
      </w:r>
      <w:r>
        <w:rPr>
          <w:rFonts w:ascii="Arial" w:hAnsi="Arial"/>
          <w:color w:val="00000A"/>
          <w:sz w:val="22"/>
          <w:szCs w:val="22"/>
        </w:rPr>
        <w:t xml:space="preserve"> - Caberá à Assembleia do Departamento ou do órgão equivalente de lotação do docente aprovar a carga horária a ser registrada pelo docente em atividades de extensão e cultura, considerando os limites fixados acima.</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FF0000"/>
          <w:sz w:val="22"/>
          <w:szCs w:val="22"/>
          <w:lang w:val="pt-BR" w:eastAsia="zh-CN" w:bidi="hi-IN"/>
        </w:rPr>
      </w:pPr>
      <w:r>
        <w:rPr>
          <w:rFonts w:eastAsia="DejaVu Sans" w:cs="FreeSans" w:ascii="Arial" w:hAnsi="Arial"/>
          <w:color w:val="FF0000"/>
          <w:sz w:val="22"/>
          <w:szCs w:val="22"/>
          <w:lang w:val="pt-BR" w:eastAsia="zh-CN" w:bidi="hi-IN"/>
        </w:rPr>
      </w:r>
    </w:p>
    <w:p>
      <w:pPr>
        <w:pStyle w:val="Normal1"/>
        <w:jc w:val="center"/>
        <w:rPr/>
      </w:pPr>
      <w:r>
        <w:rPr>
          <w:rFonts w:ascii="Arial" w:hAnsi="Arial"/>
          <w:b/>
          <w:bCs/>
          <w:sz w:val="22"/>
          <w:szCs w:val="22"/>
        </w:rPr>
        <w:t>CAPÍTULO VI - DOS ENCARGOS ADMINISTRATIVOS E DE REPRESENTAÇÃO</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sz w:val="22"/>
          <w:szCs w:val="22"/>
        </w:rPr>
        <w:t>Art. 26</w:t>
      </w:r>
      <w:r>
        <w:rPr>
          <w:rFonts w:ascii="Arial" w:hAnsi="Arial"/>
          <w:sz w:val="22"/>
          <w:szCs w:val="22"/>
        </w:rPr>
        <w:t xml:space="preserve"> - Entende-se por atividades de administração as relacionadas com:</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sz w:val="22"/>
          <w:szCs w:val="22"/>
        </w:rPr>
        <w:t>I - a direção, a coordenação, a chefia e o assessoramento, integrantes do quadro oficial da estrutura administrativa ou acadêmica da UFVJM;</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sz w:val="22"/>
          <w:szCs w:val="22"/>
        </w:rPr>
        <w:t>II - o desempenho de funções necessárias ao desenvolvimento das atividades de ensino, pesquisa e extensão nos órgãos centrais ou setoriais da instituição;</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sz w:val="22"/>
          <w:szCs w:val="22"/>
        </w:rPr>
        <w:t>III - o desempenho de outras funções previstas na legislação.</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sz w:val="22"/>
          <w:szCs w:val="22"/>
        </w:rPr>
        <w:t>Art. 27</w:t>
      </w:r>
      <w:r>
        <w:rPr>
          <w:rFonts w:ascii="Arial" w:hAnsi="Arial"/>
          <w:sz w:val="22"/>
          <w:szCs w:val="22"/>
        </w:rPr>
        <w:t xml:space="preserve"> - Ao docente investido em funções administrativas integrantes do quadro de CDs, FGs e FCCs da UFVJM será atribuída uma carga horária semanal máxima, não acumulável, para o exercício de encargos administrativos de:</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sz w:val="22"/>
          <w:szCs w:val="22"/>
        </w:rPr>
        <w:t>I - 40 horas semanais para a função de Reitor, Vice-reitor, Pró-reitor e demais ocupantes de CD-1 e CD-2.</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sz w:val="22"/>
          <w:szCs w:val="22"/>
        </w:rPr>
        <w:t>II - 30 horas semanais para a função de Diretor de Instituto e Faculdade e demais ocupantes de CD-3 e CD-4.</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color w:val="00000A"/>
          <w:sz w:val="22"/>
          <w:szCs w:val="22"/>
        </w:rPr>
        <w:t xml:space="preserve">III - 30 horas semanais para a função de Coordenador de Curso de Graduação e de Pós-graduação </w:t>
      </w:r>
      <w:r>
        <w:rPr>
          <w:rFonts w:ascii="Arial" w:hAnsi="Arial"/>
          <w:i/>
          <w:iCs/>
          <w:color w:val="00000A"/>
          <w:sz w:val="22"/>
          <w:szCs w:val="22"/>
        </w:rPr>
        <w:t>stricto</w:t>
      </w:r>
      <w:r>
        <w:rPr>
          <w:rFonts w:ascii="Arial" w:hAnsi="Arial"/>
          <w:color w:val="00000A"/>
          <w:sz w:val="22"/>
          <w:szCs w:val="22"/>
        </w:rPr>
        <w:t xml:space="preserve"> </w:t>
      </w:r>
      <w:r>
        <w:rPr>
          <w:rFonts w:ascii="Arial" w:hAnsi="Arial"/>
          <w:i/>
          <w:iCs/>
          <w:color w:val="00000A"/>
          <w:sz w:val="22"/>
          <w:szCs w:val="22"/>
        </w:rPr>
        <w:t>sensu</w:t>
      </w:r>
      <w:r>
        <w:rPr>
          <w:rFonts w:ascii="Arial" w:hAnsi="Arial"/>
          <w:color w:val="00000A"/>
          <w:sz w:val="22"/>
          <w:szCs w:val="22"/>
        </w:rPr>
        <w:t>, presenciais ou a distância.</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color w:val="00000A"/>
          <w:sz w:val="22"/>
          <w:szCs w:val="22"/>
        </w:rPr>
        <w:t>IV – 20 horas  para a função de vice-coordenador de cursos não vinculados a departamentos.</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color w:val="00000A"/>
          <w:sz w:val="22"/>
          <w:szCs w:val="22"/>
        </w:rPr>
        <w:t>V-  20 horas semanais para a função de Chefia de Departamento.</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sz w:val="22"/>
          <w:szCs w:val="22"/>
        </w:rPr>
        <w:t>VI - 15 horas semanais para a função de coordenação pedagógica e coordenação de pólo da EAD.</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color w:val="00000A"/>
          <w:sz w:val="22"/>
          <w:szCs w:val="22"/>
          <w:shd w:fill="FFFFFF" w:val="clear"/>
        </w:rPr>
        <w:t>Parágrafo único</w:t>
      </w:r>
      <w:r>
        <w:rPr>
          <w:rFonts w:ascii="Arial" w:hAnsi="Arial"/>
          <w:color w:val="00000A"/>
          <w:sz w:val="22"/>
          <w:szCs w:val="22"/>
          <w:shd w:fill="FFFFFF" w:val="clear"/>
        </w:rPr>
        <w:t xml:space="preserve"> – Ao Vice-Diretor de Instituto e Faculdade atribuir-se-á 15 horas semanais.</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sz w:val="22"/>
          <w:szCs w:val="22"/>
        </w:rPr>
        <w:t>Art. 28</w:t>
      </w:r>
      <w:r>
        <w:rPr>
          <w:rFonts w:ascii="Arial" w:hAnsi="Arial"/>
          <w:sz w:val="22"/>
          <w:szCs w:val="22"/>
        </w:rPr>
        <w:t xml:space="preserve"> - Às funções administrativas não integrantes do quadro de CDs e FGs serão atribuídas cargas horárias máximas conforme segue:</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color w:val="00000A"/>
          <w:sz w:val="22"/>
          <w:szCs w:val="22"/>
        </w:rPr>
        <w:t>I - Membro titular não nato de Conselhos Superiores da UFVJM – até 3 horas semanais.</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color w:val="00000A"/>
          <w:sz w:val="22"/>
          <w:szCs w:val="22"/>
        </w:rPr>
        <w:t xml:space="preserve">II – Membro titular não nato do Colegiado de Curso – até 1 hora semanal. </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color w:val="00000A"/>
          <w:sz w:val="22"/>
          <w:szCs w:val="22"/>
        </w:rPr>
        <w:t>III– Membro titular da Comissão Permanente de Pessoal Docente – até 3 horas semanais.</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color w:val="00000A"/>
          <w:sz w:val="22"/>
          <w:szCs w:val="22"/>
        </w:rPr>
        <w:t>IV – Membro titular das diversas Comissões Permanentes de Ética regulamentadas pelos conselhos superiores da UFVJM – até 3 horas semanais.</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color w:val="00000A"/>
          <w:sz w:val="22"/>
          <w:szCs w:val="22"/>
        </w:rPr>
        <w:t>V – Membro titular não nato de Congregação de Faculdade/Institutos – até 1 hora semanal.</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color w:val="00000A"/>
          <w:sz w:val="22"/>
          <w:szCs w:val="22"/>
        </w:rPr>
        <w:t>VI – Membro da Câmara Departamental – até 1 hora semanal.</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color w:val="00000A"/>
          <w:sz w:val="22"/>
          <w:szCs w:val="22"/>
        </w:rPr>
        <w:t>VII – Membro de outras comissões criadas no âmbito da unidade acadêmica ou da Reitoria– até 0,5 hora semanal.</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color w:val="00000A"/>
          <w:sz w:val="22"/>
          <w:szCs w:val="22"/>
        </w:rPr>
        <w:t>VIII – Representação oficial da UFVJM em conselhos externos à instituição – até 3 horas semanais.</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color w:val="00000A"/>
          <w:sz w:val="22"/>
          <w:szCs w:val="22"/>
        </w:rPr>
        <w:t>IX – Membros de Comissões de Sindicância, Processos Administrativos, Processos Administrativos Disciplinares – até 4 horas semanais.</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sz w:val="22"/>
          <w:szCs w:val="22"/>
        </w:rPr>
        <w:t>Art. 29</w:t>
      </w:r>
      <w:r>
        <w:rPr>
          <w:rFonts w:ascii="Arial" w:hAnsi="Arial"/>
          <w:sz w:val="22"/>
          <w:szCs w:val="22"/>
        </w:rPr>
        <w:t xml:space="preserve"> - Outras funções administrativas não abrangidas pela presente Resolução, quando assumidas por docentes, serão definidas através de portaria do Reitor, ou por sua delegação, explicitando-se, no ato de designação, a carga horária atribuída.</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color w:val="00000A"/>
          <w:sz w:val="22"/>
          <w:szCs w:val="22"/>
        </w:rPr>
        <w:t>Art. 30</w:t>
      </w:r>
      <w:r>
        <w:rPr>
          <w:rFonts w:ascii="Arial" w:hAnsi="Arial"/>
          <w:color w:val="00000A"/>
          <w:sz w:val="22"/>
          <w:szCs w:val="22"/>
        </w:rPr>
        <w:t xml:space="preserve"> - Só é permitida a alocação de horas em atividades administrativas quando comprovadas através de portaria expedida pela autoridade competente no âmbito da instituição, bem como comprovação do desempenho da função através da lista de presença ou ata das reuniões.</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center"/>
        <w:rPr/>
      </w:pPr>
      <w:bookmarkStart w:id="0" w:name="__DdeLink__1219_508102926"/>
      <w:r>
        <w:rPr>
          <w:rFonts w:ascii="Arial" w:hAnsi="Arial"/>
          <w:b/>
          <w:bCs/>
          <w:sz w:val="22"/>
          <w:szCs w:val="22"/>
        </w:rPr>
        <w:t xml:space="preserve">CAPÍTULO VII – </w:t>
      </w:r>
      <w:bookmarkEnd w:id="0"/>
      <w:r>
        <w:rPr>
          <w:rFonts w:ascii="Arial" w:hAnsi="Arial"/>
          <w:b/>
          <w:bCs/>
          <w:sz w:val="22"/>
          <w:szCs w:val="22"/>
        </w:rPr>
        <w:t>DO PLANEJAMENTO, ORGANIZAÇÃO E DISTRIBUIÇÃO DOS ENCARGOS DOCENTES</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sz w:val="22"/>
          <w:szCs w:val="22"/>
          <w:shd w:fill="FFFFFF" w:val="clear"/>
        </w:rPr>
        <w:t xml:space="preserve">Art. 31 </w:t>
      </w:r>
      <w:r>
        <w:rPr>
          <w:rFonts w:ascii="Arial" w:hAnsi="Arial"/>
          <w:sz w:val="22"/>
          <w:szCs w:val="22"/>
          <w:shd w:fill="FFFFFF" w:val="clear"/>
        </w:rPr>
        <w:t xml:space="preserve"> – O Plano de Trabalho do docente é o planejamento de todas as atividades acadêmicas de ensino, pesquisa, extensão e cultura e atividades administrativas que o docente se propõe a desenvolver no semestre letivo.</w:t>
      </w:r>
    </w:p>
    <w:p>
      <w:pPr>
        <w:pStyle w:val="Normal1"/>
        <w:jc w:val="both"/>
        <w:rPr>
          <w:rFonts w:ascii="Arial" w:hAnsi="Arial" w:eastAsia="DejaVu Sans" w:cs="FreeSans"/>
          <w:color w:val="00000A"/>
          <w:sz w:val="22"/>
          <w:szCs w:val="22"/>
          <w:shd w:fill="FFFFFF" w:val="clear"/>
          <w:lang w:val="pt-BR" w:eastAsia="zh-CN" w:bidi="hi-IN"/>
        </w:rPr>
      </w:pPr>
      <w:r>
        <w:rPr>
          <w:rFonts w:eastAsia="DejaVu Sans" w:cs="FreeSans" w:ascii="Arial" w:hAnsi="Arial"/>
          <w:color w:val="00000A"/>
          <w:sz w:val="22"/>
          <w:szCs w:val="22"/>
          <w:shd w:fill="FFFFFF" w:val="clear"/>
          <w:lang w:val="pt-BR" w:eastAsia="zh-CN" w:bidi="hi-IN"/>
        </w:rPr>
      </w:r>
    </w:p>
    <w:p>
      <w:pPr>
        <w:pStyle w:val="Normal1"/>
        <w:jc w:val="both"/>
        <w:rPr/>
      </w:pPr>
      <w:r>
        <w:rPr>
          <w:rFonts w:ascii="Arial" w:hAnsi="Arial"/>
          <w:b/>
          <w:bCs/>
          <w:sz w:val="22"/>
          <w:szCs w:val="22"/>
          <w:shd w:fill="FFFFFF" w:val="clear"/>
        </w:rPr>
        <w:t xml:space="preserve">Art. 32 </w:t>
      </w:r>
      <w:r>
        <w:rPr>
          <w:rFonts w:ascii="Arial" w:hAnsi="Arial"/>
          <w:sz w:val="22"/>
          <w:szCs w:val="22"/>
          <w:shd w:fill="FFFFFF" w:val="clear"/>
        </w:rPr>
        <w:t xml:space="preserve"> – O Relatório de Atividades Semestrais do Docente é o documento em que o docente apresenta sucintamente as ações realizadas por ele em conformidade com o Plano de Atividades. </w:t>
      </w:r>
    </w:p>
    <w:p>
      <w:pPr>
        <w:pStyle w:val="Normal1"/>
        <w:jc w:val="both"/>
        <w:rPr>
          <w:rFonts w:ascii="Arial" w:hAnsi="Arial" w:eastAsia="DejaVu Sans" w:cs="FreeSans"/>
          <w:color w:val="00000A"/>
          <w:sz w:val="22"/>
          <w:szCs w:val="22"/>
          <w:shd w:fill="FFFFFF" w:val="clear"/>
          <w:lang w:val="pt-BR" w:eastAsia="zh-CN" w:bidi="hi-IN"/>
        </w:rPr>
      </w:pPr>
      <w:r>
        <w:rPr>
          <w:rFonts w:eastAsia="DejaVu Sans" w:cs="FreeSans" w:ascii="Arial" w:hAnsi="Arial"/>
          <w:color w:val="00000A"/>
          <w:sz w:val="22"/>
          <w:szCs w:val="22"/>
          <w:shd w:fill="FFFFFF" w:val="clear"/>
          <w:lang w:val="pt-BR" w:eastAsia="zh-CN" w:bidi="hi-IN"/>
        </w:rPr>
      </w:r>
    </w:p>
    <w:p>
      <w:pPr>
        <w:pStyle w:val="Normal1"/>
        <w:jc w:val="both"/>
        <w:rPr/>
      </w:pPr>
      <w:r>
        <w:rPr>
          <w:rFonts w:ascii="Arial" w:hAnsi="Arial"/>
          <w:b/>
          <w:bCs/>
          <w:color w:val="00000A"/>
          <w:sz w:val="22"/>
          <w:szCs w:val="22"/>
          <w:shd w:fill="FFFFFF" w:val="clear"/>
        </w:rPr>
        <w:t>Art. 33 –</w:t>
      </w:r>
      <w:r>
        <w:rPr>
          <w:rFonts w:ascii="Arial" w:hAnsi="Arial"/>
          <w:color w:val="00000A"/>
          <w:sz w:val="22"/>
          <w:szCs w:val="22"/>
          <w:shd w:fill="FFFFFF" w:val="clear"/>
        </w:rPr>
        <w:t xml:space="preserve"> O docente deve apresentar à chefia imediata o seu Plano de Trabalho, contendo descrição das suas atividades semanais em conformidade com essa Resolução, incluindo o plano de ensino das disciplinas sob sua responsabilidade, devidamente ajustadas aos projetos pedagógicos dos cursos, de modo a integralizar a carga horária total do seu regime de contratação.</w:t>
      </w:r>
    </w:p>
    <w:p>
      <w:pPr>
        <w:pStyle w:val="Normal1"/>
        <w:jc w:val="both"/>
        <w:rPr>
          <w:rFonts w:ascii="Arial" w:hAnsi="Arial" w:eastAsia="DejaVu Sans" w:cs="FreeSans"/>
          <w:color w:val="00000A"/>
          <w:sz w:val="22"/>
          <w:szCs w:val="22"/>
          <w:shd w:fill="FFFFFF" w:val="clear"/>
          <w:lang w:val="pt-BR" w:eastAsia="zh-CN" w:bidi="hi-IN"/>
        </w:rPr>
      </w:pPr>
      <w:r>
        <w:rPr>
          <w:rFonts w:eastAsia="DejaVu Sans" w:cs="FreeSans" w:ascii="Arial" w:hAnsi="Arial"/>
          <w:color w:val="00000A"/>
          <w:sz w:val="22"/>
          <w:szCs w:val="22"/>
          <w:shd w:fill="FFFFFF" w:val="clear"/>
          <w:lang w:val="pt-BR" w:eastAsia="zh-CN" w:bidi="hi-IN"/>
        </w:rPr>
      </w:r>
    </w:p>
    <w:p>
      <w:pPr>
        <w:pStyle w:val="Normal1"/>
        <w:jc w:val="both"/>
        <w:rPr>
          <w:rFonts w:ascii="Arial" w:hAnsi="Arial"/>
          <w:color w:val="FF0000"/>
          <w:sz w:val="22"/>
          <w:szCs w:val="22"/>
          <w:highlight w:val="white"/>
        </w:rPr>
      </w:pPr>
      <w:r>
        <w:rPr>
          <w:rFonts w:ascii="Century Gothic" w:hAnsi="Century Gothic"/>
          <w:b/>
          <w:color w:val="00000A"/>
          <w:sz w:val="22"/>
          <w:szCs w:val="22"/>
          <w:shd w:fill="FFFFFF" w:val="clear"/>
        </w:rPr>
        <w:t>§</w:t>
      </w:r>
      <w:r>
        <w:rPr>
          <w:rFonts w:ascii="Arial" w:hAnsi="Arial"/>
          <w:b/>
          <w:color w:val="00000A"/>
          <w:sz w:val="22"/>
          <w:szCs w:val="22"/>
          <w:shd w:fill="FFFFFF" w:val="clear"/>
        </w:rPr>
        <w:t xml:space="preserve"> 1º</w:t>
      </w:r>
      <w:r>
        <w:rPr>
          <w:rFonts w:ascii="Arial" w:hAnsi="Arial"/>
          <w:color w:val="00000A"/>
          <w:sz w:val="22"/>
          <w:szCs w:val="22"/>
          <w:shd w:fill="FFFFFF" w:val="clear"/>
        </w:rPr>
        <w:t xml:space="preserve"> O Plano de Trabalho deverá ser apresentado à chefia imediata até 45 dias do início do prazo de lançamento do plano de oferta de disciplinas, conforme estabelecido no Calendário Acadêmico.</w:t>
      </w:r>
    </w:p>
    <w:p>
      <w:pPr>
        <w:pStyle w:val="Normal1"/>
        <w:jc w:val="both"/>
        <w:rPr>
          <w:rFonts w:ascii="Century Gothic" w:hAnsi="Century Gothic" w:eastAsia="DejaVu Sans" w:cs="FreeSans"/>
          <w:b/>
          <w:b/>
          <w:color w:val="00000A"/>
          <w:sz w:val="22"/>
          <w:szCs w:val="22"/>
          <w:shd w:fill="FFFFFF" w:val="clear"/>
          <w:lang w:val="pt-BR" w:eastAsia="zh-CN" w:bidi="hi-IN"/>
        </w:rPr>
      </w:pPr>
      <w:r>
        <w:rPr>
          <w:rFonts w:eastAsia="DejaVu Sans" w:cs="FreeSans" w:ascii="Century Gothic" w:hAnsi="Century Gothic"/>
          <w:b/>
          <w:color w:val="00000A"/>
          <w:sz w:val="22"/>
          <w:szCs w:val="22"/>
          <w:shd w:fill="FFFFFF" w:val="clear"/>
          <w:lang w:val="pt-BR" w:eastAsia="zh-CN" w:bidi="hi-IN"/>
        </w:rPr>
      </w:r>
    </w:p>
    <w:p>
      <w:pPr>
        <w:pStyle w:val="Normal1"/>
        <w:jc w:val="both"/>
        <w:rPr>
          <w:rFonts w:ascii="Arial" w:hAnsi="Arial"/>
          <w:color w:val="FF0000"/>
          <w:sz w:val="22"/>
          <w:szCs w:val="22"/>
          <w:highlight w:val="white"/>
        </w:rPr>
      </w:pPr>
      <w:r>
        <w:rPr>
          <w:rFonts w:ascii="Century Gothic" w:hAnsi="Century Gothic"/>
          <w:b/>
          <w:color w:val="00000A"/>
          <w:sz w:val="22"/>
          <w:szCs w:val="22"/>
          <w:shd w:fill="FFFFFF" w:val="clear"/>
        </w:rPr>
        <w:t>§</w:t>
      </w:r>
      <w:r>
        <w:rPr>
          <w:rFonts w:ascii="Arial" w:hAnsi="Arial"/>
          <w:b/>
          <w:color w:val="00000A"/>
          <w:sz w:val="22"/>
          <w:szCs w:val="22"/>
          <w:shd w:fill="FFFFFF" w:val="clear"/>
        </w:rPr>
        <w:t xml:space="preserve"> 2º</w:t>
      </w:r>
      <w:r>
        <w:rPr>
          <w:rFonts w:ascii="Arial" w:hAnsi="Arial"/>
          <w:color w:val="00000A"/>
          <w:sz w:val="22"/>
          <w:szCs w:val="22"/>
          <w:shd w:fill="FFFFFF" w:val="clear"/>
        </w:rPr>
        <w:t xml:space="preserve"> Após a aprovação do Plano de Trabalho pela chefia imediata do docente, esta fará o encaminhamento do mesmo para todos os coordenadores dos cursos para os quais o docente ministra unidades curriculares.</w:t>
      </w:r>
    </w:p>
    <w:p>
      <w:pPr>
        <w:pStyle w:val="Normal1"/>
        <w:jc w:val="both"/>
        <w:rPr>
          <w:rFonts w:ascii="Arial" w:hAnsi="Arial" w:eastAsia="DejaVu Sans" w:cs="FreeSans"/>
          <w:color w:val="00000A"/>
          <w:sz w:val="22"/>
          <w:szCs w:val="22"/>
          <w:shd w:fill="FFFFFF" w:val="clear"/>
          <w:lang w:val="pt-BR" w:eastAsia="zh-CN" w:bidi="hi-IN"/>
        </w:rPr>
      </w:pPr>
      <w:r>
        <w:rPr>
          <w:rFonts w:eastAsia="DejaVu Sans" w:cs="FreeSans" w:ascii="Arial" w:hAnsi="Arial"/>
          <w:color w:val="00000A"/>
          <w:sz w:val="22"/>
          <w:szCs w:val="22"/>
          <w:shd w:fill="FFFFFF" w:val="clear"/>
          <w:lang w:val="pt-BR" w:eastAsia="zh-CN" w:bidi="hi-IN"/>
        </w:rPr>
      </w:r>
    </w:p>
    <w:p>
      <w:pPr>
        <w:pStyle w:val="Normal1"/>
        <w:jc w:val="both"/>
        <w:rPr>
          <w:color w:val="FF0000"/>
        </w:rPr>
      </w:pPr>
      <w:r>
        <w:rPr>
          <w:rFonts w:ascii="Century Gothic" w:hAnsi="Century Gothic"/>
          <w:b/>
          <w:color w:val="00000A"/>
          <w:sz w:val="22"/>
          <w:szCs w:val="22"/>
          <w:shd w:fill="FFFFFF" w:val="clear"/>
        </w:rPr>
        <w:t>§</w:t>
      </w:r>
      <w:r>
        <w:rPr>
          <w:rFonts w:ascii="Arial" w:hAnsi="Arial"/>
          <w:b/>
          <w:color w:val="00000A"/>
          <w:sz w:val="22"/>
          <w:szCs w:val="22"/>
          <w:shd w:fill="FFFFFF" w:val="clear"/>
        </w:rPr>
        <w:t xml:space="preserve"> 3º </w:t>
      </w:r>
      <w:r>
        <w:rPr>
          <w:rFonts w:ascii="Arial" w:hAnsi="Arial"/>
          <w:color w:val="00000A"/>
          <w:sz w:val="22"/>
          <w:szCs w:val="22"/>
          <w:shd w:fill="FFFFFF" w:val="clear"/>
        </w:rPr>
        <w:t>Em nenhuma hipótese o Plano de Trabalho do docente poderá prever um quantitativo de horas de trabalho semanais acima ou inferior ao regime de trabalho para o qual ele é contratado.</w:t>
      </w:r>
    </w:p>
    <w:p>
      <w:pPr>
        <w:pStyle w:val="Normal1"/>
        <w:jc w:val="both"/>
        <w:rPr>
          <w:rFonts w:ascii="Arial" w:hAnsi="Arial" w:eastAsia="DejaVu Sans" w:cs="FreeSans"/>
          <w:color w:val="00000A"/>
          <w:sz w:val="22"/>
          <w:szCs w:val="22"/>
          <w:shd w:fill="FFFFFF" w:val="clear"/>
          <w:lang w:val="pt-BR" w:eastAsia="zh-CN" w:bidi="hi-IN"/>
        </w:rPr>
      </w:pPr>
      <w:r>
        <w:rPr>
          <w:rFonts w:eastAsia="DejaVu Sans" w:cs="FreeSans" w:ascii="Arial" w:hAnsi="Arial"/>
          <w:color w:val="00000A"/>
          <w:sz w:val="22"/>
          <w:szCs w:val="22"/>
          <w:shd w:fill="FFFFFF" w:val="clear"/>
          <w:lang w:val="pt-BR" w:eastAsia="zh-CN" w:bidi="hi-IN"/>
        </w:rPr>
      </w:r>
    </w:p>
    <w:p>
      <w:pPr>
        <w:pStyle w:val="Normal1"/>
        <w:jc w:val="both"/>
        <w:rPr>
          <w:rFonts w:ascii="Arial" w:hAnsi="Arial" w:eastAsia="DejaVu Sans" w:cs="FreeSans"/>
          <w:color w:val="00000A"/>
          <w:sz w:val="22"/>
          <w:szCs w:val="22"/>
          <w:shd w:fill="FFFFFF" w:val="clear"/>
          <w:lang w:val="pt-BR" w:eastAsia="zh-CN" w:bidi="hi-IN"/>
        </w:rPr>
      </w:pPr>
      <w:r>
        <w:rPr>
          <w:rFonts w:eastAsia="DejaVu Sans" w:cs="FreeSans" w:ascii="Arial" w:hAnsi="Arial"/>
          <w:color w:val="00000A"/>
          <w:sz w:val="22"/>
          <w:szCs w:val="22"/>
          <w:shd w:fill="FFFFFF" w:val="clear"/>
          <w:lang w:val="pt-BR" w:eastAsia="zh-CN" w:bidi="hi-IN"/>
        </w:rPr>
      </w:r>
    </w:p>
    <w:p>
      <w:pPr>
        <w:pStyle w:val="Normal1"/>
        <w:jc w:val="both"/>
        <w:rPr/>
      </w:pPr>
      <w:r>
        <w:rPr>
          <w:rFonts w:ascii="Arial" w:hAnsi="Arial"/>
          <w:b/>
          <w:bCs/>
          <w:color w:val="00000A"/>
          <w:sz w:val="22"/>
          <w:szCs w:val="22"/>
          <w:shd w:fill="FFFFFF" w:val="clear"/>
        </w:rPr>
        <w:t>Art. 34</w:t>
      </w:r>
      <w:r>
        <w:rPr>
          <w:rFonts w:ascii="Arial" w:hAnsi="Arial"/>
          <w:color w:val="00000A"/>
          <w:sz w:val="22"/>
          <w:szCs w:val="22"/>
          <w:shd w:fill="FFFFFF" w:val="clear"/>
        </w:rPr>
        <w:t xml:space="preserve"> - A Coordenação do Curso deve divulgar o plano de oferta de disciplinas para o período subsequente, de acordo com os prazos previstos no Calendário Acadêmico.</w:t>
      </w:r>
    </w:p>
    <w:p>
      <w:pPr>
        <w:pStyle w:val="Normal1"/>
        <w:jc w:val="both"/>
        <w:rPr>
          <w:rFonts w:ascii="Liberation Serif" w:hAnsi="Liberation Serif" w:eastAsia="DejaVu Sans" w:cs="FreeSans"/>
          <w:color w:val="00000A"/>
          <w:sz w:val="24"/>
          <w:szCs w:val="24"/>
          <w:shd w:fill="FFFFFF" w:val="clear"/>
          <w:lang w:val="pt-BR" w:eastAsia="zh-CN" w:bidi="hi-IN"/>
        </w:rPr>
      </w:pPr>
      <w:r>
        <w:rPr>
          <w:rFonts w:eastAsia="DejaVu Sans" w:cs="FreeSans"/>
          <w:color w:val="00000A"/>
          <w:sz w:val="24"/>
          <w:szCs w:val="24"/>
          <w:shd w:fill="FFFFFF" w:val="clear"/>
          <w:lang w:val="pt-BR" w:eastAsia="zh-CN" w:bidi="hi-IN"/>
        </w:rPr>
      </w:r>
    </w:p>
    <w:p>
      <w:pPr>
        <w:pStyle w:val="Normal1"/>
        <w:jc w:val="both"/>
        <w:rPr/>
      </w:pPr>
      <w:r>
        <w:rPr>
          <w:rFonts w:ascii="Arial" w:hAnsi="Arial"/>
          <w:b/>
          <w:bCs/>
          <w:sz w:val="22"/>
          <w:szCs w:val="22"/>
          <w:shd w:fill="FFFFFF" w:val="clear"/>
        </w:rPr>
        <w:t>Art. 35 –</w:t>
      </w:r>
      <w:r>
        <w:rPr>
          <w:rFonts w:ascii="Arial" w:hAnsi="Arial"/>
          <w:sz w:val="22"/>
          <w:szCs w:val="22"/>
          <w:shd w:fill="FFFFFF" w:val="clear"/>
        </w:rPr>
        <w:t xml:space="preserve"> O docente deve apresentar à chefia imediata o seu Relatório de Atividades Semestrais  contendo os documentos comprobatórios da realização das atividades previstas no Plano de Trabalho semestral anteriormente aprovado.</w:t>
      </w:r>
    </w:p>
    <w:p>
      <w:pPr>
        <w:pStyle w:val="Normal1"/>
        <w:jc w:val="both"/>
        <w:rPr>
          <w:rFonts w:ascii="Liberation Serif" w:hAnsi="Liberation Serif" w:eastAsia="DejaVu Sans" w:cs="FreeSans"/>
          <w:color w:val="00000A"/>
          <w:sz w:val="24"/>
          <w:szCs w:val="24"/>
          <w:shd w:fill="FFFFFF" w:val="clear"/>
          <w:lang w:val="pt-BR" w:eastAsia="zh-CN" w:bidi="hi-IN"/>
        </w:rPr>
      </w:pPr>
      <w:r>
        <w:rPr>
          <w:rFonts w:eastAsia="DejaVu Sans" w:cs="FreeSans"/>
          <w:color w:val="00000A"/>
          <w:sz w:val="24"/>
          <w:szCs w:val="24"/>
          <w:shd w:fill="FFFFFF" w:val="clear"/>
          <w:lang w:val="pt-BR" w:eastAsia="zh-CN" w:bidi="hi-IN"/>
        </w:rPr>
      </w:r>
    </w:p>
    <w:p>
      <w:pPr>
        <w:pStyle w:val="Normal1"/>
        <w:jc w:val="both"/>
        <w:rPr>
          <w:rFonts w:ascii="Arial" w:hAnsi="Arial" w:cs="Arial"/>
          <w:color w:val="FF0000"/>
          <w:sz w:val="22"/>
          <w:szCs w:val="22"/>
          <w:highlight w:val="white"/>
        </w:rPr>
      </w:pPr>
      <w:r>
        <w:rPr>
          <w:rFonts w:cs="Arial" w:ascii="Arial" w:hAnsi="Arial"/>
          <w:b/>
          <w:color w:val="00000A"/>
          <w:sz w:val="22"/>
          <w:szCs w:val="22"/>
          <w:shd w:fill="FFFFFF" w:val="clear"/>
        </w:rPr>
        <w:t>Parágrafo único.</w:t>
      </w:r>
      <w:r>
        <w:rPr>
          <w:rFonts w:cs="Arial" w:ascii="Arial" w:hAnsi="Arial"/>
          <w:color w:val="00000A"/>
          <w:sz w:val="22"/>
          <w:szCs w:val="22"/>
          <w:shd w:fill="FFFFFF" w:val="clear"/>
        </w:rPr>
        <w:t xml:space="preserve"> O Relatório de Atividades Semestrais deve ser apresentado à chefia imediata até 30 (trinta) dias após o início do semestre subsequente.</w:t>
      </w:r>
    </w:p>
    <w:p>
      <w:pPr>
        <w:pStyle w:val="Normal1"/>
        <w:jc w:val="both"/>
        <w:rPr>
          <w:rFonts w:ascii="Liberation Serif" w:hAnsi="Liberation Serif" w:eastAsia="DejaVu Sans" w:cs="FreeSans"/>
          <w:color w:val="00000A"/>
          <w:sz w:val="24"/>
          <w:szCs w:val="24"/>
          <w:shd w:fill="FFFFFF" w:val="clear"/>
          <w:lang w:val="pt-BR" w:eastAsia="zh-CN" w:bidi="hi-IN"/>
        </w:rPr>
      </w:pPr>
      <w:r>
        <w:rPr>
          <w:rFonts w:eastAsia="DejaVu Sans" w:cs="FreeSans"/>
          <w:color w:val="00000A"/>
          <w:sz w:val="24"/>
          <w:szCs w:val="24"/>
          <w:shd w:fill="FFFFFF" w:val="clear"/>
          <w:lang w:val="pt-BR" w:eastAsia="zh-CN" w:bidi="hi-IN"/>
        </w:rPr>
      </w:r>
    </w:p>
    <w:p>
      <w:pPr>
        <w:pStyle w:val="Normal1"/>
        <w:jc w:val="both"/>
        <w:rPr/>
      </w:pPr>
      <w:r>
        <w:rPr>
          <w:rFonts w:ascii="Arial" w:hAnsi="Arial"/>
          <w:b/>
          <w:bCs/>
          <w:sz w:val="22"/>
          <w:szCs w:val="22"/>
          <w:shd w:fill="FFFFFF" w:val="clear"/>
        </w:rPr>
        <w:t>Art. 36</w:t>
      </w:r>
      <w:r>
        <w:rPr>
          <w:rFonts w:ascii="Arial" w:hAnsi="Arial"/>
          <w:sz w:val="22"/>
          <w:szCs w:val="22"/>
          <w:shd w:fill="FFFFFF" w:val="clear"/>
        </w:rPr>
        <w:t xml:space="preserve"> – Compete à Assembleia do Departamento ou Congregação da Unidade Acadêmica ou à Coordenação de Área aprovar o Plano de Trabalho do docente.</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color w:val="00000A"/>
          <w:sz w:val="22"/>
          <w:szCs w:val="22"/>
          <w:shd w:fill="FFFFFF" w:val="clear"/>
        </w:rPr>
        <w:t>Art. 37</w:t>
      </w:r>
      <w:r>
        <w:rPr>
          <w:rFonts w:ascii="Arial" w:hAnsi="Arial"/>
          <w:color w:val="00000A"/>
          <w:sz w:val="22"/>
          <w:szCs w:val="22"/>
          <w:shd w:fill="FFFFFF" w:val="clear"/>
        </w:rPr>
        <w:t xml:space="preserve"> - O docente em exercício que não apresentar seu plano e relatório no prazo previsto, será formalmente notificado pela chefia imediata e estará obrigado a lecionar no semestre subsequente:</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tabs>
          <w:tab w:val="left" w:pos="284" w:leader="none"/>
        </w:tabs>
        <w:jc w:val="both"/>
        <w:rPr/>
      </w:pPr>
      <w:r>
        <w:rPr>
          <w:rFonts w:ascii="Arial" w:hAnsi="Arial"/>
          <w:color w:val="00000A"/>
          <w:sz w:val="22"/>
          <w:szCs w:val="22"/>
        </w:rPr>
        <w:t>I - 20 (vinte) horas / aulas semanais, no caso de docentes em regime de trabalho de tempo integral (com ou sem dedicação exclusiva),</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color w:val="00000A"/>
          <w:sz w:val="22"/>
          <w:szCs w:val="22"/>
        </w:rPr>
        <w:t>II - um mínimo de 12 (doze) horas / aulas semanais no caso de docente em regime de tempo parcial.</w:t>
      </w:r>
    </w:p>
    <w:p>
      <w:pPr>
        <w:pStyle w:val="Normal1"/>
        <w:tabs>
          <w:tab w:val="left" w:pos="1842" w:leader="none"/>
        </w:tabs>
        <w:jc w:val="both"/>
        <w:rPr>
          <w:rFonts w:ascii="Arial" w:hAnsi="Arial"/>
          <w:sz w:val="22"/>
          <w:szCs w:val="22"/>
        </w:rPr>
      </w:pPr>
      <w:r>
        <w:rPr>
          <w:rFonts w:ascii="Arial" w:hAnsi="Arial"/>
          <w:color w:val="00000A"/>
          <w:sz w:val="22"/>
          <w:szCs w:val="22"/>
        </w:rPr>
        <w:tab/>
      </w:r>
    </w:p>
    <w:p>
      <w:pPr>
        <w:pStyle w:val="Normal1"/>
        <w:jc w:val="both"/>
        <w:rPr/>
      </w:pPr>
      <w:r>
        <w:rPr>
          <w:rFonts w:ascii="Arial" w:hAnsi="Arial"/>
          <w:b/>
          <w:bCs/>
          <w:color w:val="00000A"/>
          <w:sz w:val="22"/>
          <w:szCs w:val="22"/>
          <w:shd w:fill="FFFFFF" w:val="clear"/>
        </w:rPr>
        <w:t>Art. 38</w:t>
      </w:r>
      <w:r>
        <w:rPr>
          <w:rFonts w:ascii="Arial" w:hAnsi="Arial"/>
          <w:color w:val="00000A"/>
          <w:sz w:val="22"/>
          <w:szCs w:val="22"/>
          <w:shd w:fill="FFFFFF" w:val="clear"/>
        </w:rPr>
        <w:t xml:space="preserve"> -  Os Planos de Trabalhos individuais dos docentes integrarão o plano semestral do órgão de lotação do docente a ser apreciado pela Assembleia do Departamento ou órgão equivalente, em reunião convocada para este fim, em até 15 dias antes da data de início do prazo de lançamento do plano de oferta de disciplinas, conforme estabelecido em Calendário Acadêmico.</w:t>
      </w:r>
    </w:p>
    <w:p>
      <w:pPr>
        <w:pStyle w:val="Normal1"/>
        <w:jc w:val="both"/>
        <w:rPr>
          <w:rFonts w:ascii="Arial" w:hAnsi="Arial" w:eastAsia="DejaVu Sans" w:cs="FreeSans"/>
          <w:b/>
          <w:b/>
          <w:bCs/>
          <w:color w:val="00000A"/>
          <w:sz w:val="22"/>
          <w:szCs w:val="22"/>
          <w:lang w:val="pt-BR" w:eastAsia="zh-CN" w:bidi="hi-IN"/>
        </w:rPr>
      </w:pPr>
      <w:r>
        <w:rPr>
          <w:rFonts w:eastAsia="DejaVu Sans" w:cs="FreeSans" w:ascii="Arial" w:hAnsi="Arial"/>
          <w:b/>
          <w:bCs/>
          <w:color w:val="00000A"/>
          <w:sz w:val="22"/>
          <w:szCs w:val="22"/>
          <w:lang w:val="pt-BR" w:eastAsia="zh-CN" w:bidi="hi-IN"/>
        </w:rPr>
      </w:r>
    </w:p>
    <w:p>
      <w:pPr>
        <w:pStyle w:val="Normal1"/>
        <w:jc w:val="both"/>
        <w:rPr/>
      </w:pPr>
      <w:r>
        <w:rPr>
          <w:rFonts w:ascii="Arial" w:hAnsi="Arial"/>
          <w:b/>
          <w:bCs/>
          <w:sz w:val="22"/>
          <w:szCs w:val="22"/>
        </w:rPr>
        <w:t>Art. 39 -</w:t>
      </w:r>
      <w:r>
        <w:rPr>
          <w:rFonts w:ascii="Arial" w:hAnsi="Arial"/>
          <w:sz w:val="22"/>
          <w:szCs w:val="22"/>
        </w:rPr>
        <w:t xml:space="preserve"> O órgão de lotação do docente deve instituir uma Comissão de Distribuição de Encargos Docentes que terá as seguintes funções:</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sz w:val="22"/>
          <w:szCs w:val="22"/>
        </w:rPr>
        <w:t xml:space="preserve">I - Avaliar os Planos de Trabalhos de cada docente; </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color w:val="00000A"/>
          <w:sz w:val="22"/>
          <w:szCs w:val="22"/>
        </w:rPr>
        <w:t>II – Elaborar parecer e recomendações de adequação dos Planos de Trabalhos apresentados pelos docentes caso não atendam o que regulamenta a presente resolução e garantindo a oferta de todas as unidades curriculares sob a responsabilidade do departamento ou órgão equivalente,</w:t>
      </w:r>
      <w:r>
        <w:rPr>
          <w:rFonts w:ascii="Arial" w:hAnsi="Arial"/>
          <w:color w:val="FF0000"/>
          <w:sz w:val="22"/>
          <w:szCs w:val="22"/>
        </w:rPr>
        <w:t xml:space="preserve"> </w:t>
      </w:r>
      <w:r>
        <w:rPr>
          <w:rFonts w:ascii="Arial" w:hAnsi="Arial"/>
          <w:sz w:val="22"/>
          <w:szCs w:val="22"/>
        </w:rPr>
        <w:t>concedendo-lhes prazo de 5 dias para atendimento da demanda;</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sz w:val="22"/>
          <w:szCs w:val="22"/>
        </w:rPr>
        <w:t>III – Elaborar o Plano Semestral de Atividades do departamento ou do órgão equivalente;</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sz w:val="22"/>
          <w:szCs w:val="22"/>
        </w:rPr>
        <w:t>IV – Encaminhar o Plano Semestral de Atividades do departamento ou do órgão equivalente para aprovação da respectiva Assembleia;</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sz w:val="22"/>
          <w:szCs w:val="22"/>
        </w:rPr>
        <w:t>V – Avaliar e emitir parecer acerca dos Relatórios de Atividades Individuais dos docentes, recomendando ou não sua aprovação pela respectiva Assembleia do departamento ou do órgão equivalente.</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sz w:val="22"/>
          <w:szCs w:val="22"/>
          <w:shd w:fill="FFFFFF" w:val="clear"/>
        </w:rPr>
        <w:t>Art. 40</w:t>
      </w:r>
      <w:r>
        <w:rPr>
          <w:rFonts w:ascii="Arial" w:hAnsi="Arial"/>
          <w:sz w:val="22"/>
          <w:szCs w:val="22"/>
          <w:shd w:fill="FFFFFF" w:val="clear"/>
        </w:rPr>
        <w:t xml:space="preserve"> - </w:t>
      </w:r>
      <w:r>
        <w:rPr>
          <w:rFonts w:ascii="Arial" w:hAnsi="Arial"/>
          <w:sz w:val="22"/>
          <w:szCs w:val="22"/>
        </w:rPr>
        <w:t xml:space="preserve">A Comissão de Distribuição de Encargos Docentes deve ser constituída por três docentes titulares e um suplente escolhidos pela Assembleia do Departamento ou </w:t>
      </w:r>
      <w:r>
        <w:rPr>
          <w:rFonts w:ascii="Arial" w:hAnsi="Arial"/>
          <w:sz w:val="22"/>
          <w:szCs w:val="22"/>
          <w:shd w:fill="FFFFFF" w:val="clear"/>
        </w:rPr>
        <w:t>do órg</w:t>
      </w:r>
      <w:r>
        <w:rPr>
          <w:rFonts w:ascii="Arial" w:hAnsi="Arial"/>
          <w:sz w:val="22"/>
          <w:szCs w:val="22"/>
        </w:rPr>
        <w:t>ão equivalente de lotação do docente e designados pela respectiva chefia para um mandato de um ano, renovável por mais um.</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color w:val="00000A"/>
          <w:sz w:val="22"/>
          <w:szCs w:val="22"/>
          <w:shd w:fill="FFFFFF" w:val="clear"/>
        </w:rPr>
        <w:t>Art. 41</w:t>
      </w:r>
      <w:r>
        <w:rPr>
          <w:rFonts w:ascii="Arial" w:hAnsi="Arial"/>
          <w:color w:val="00000A"/>
          <w:sz w:val="22"/>
          <w:szCs w:val="22"/>
          <w:shd w:fill="FFFFFF" w:val="clear"/>
        </w:rPr>
        <w:t xml:space="preserve"> – Garantido o atendimento às necessidades de oferta de unidades curriculares, cada órgão de lotação do docente organizará seus planos no melhor interesse de seu funcionamento, buscando integrar as diversas funções acadêmicas em seu âmbito, respeitando-se a garantia da oferta de disciplinas sob sua responsabilidade, distribuindo-as equitativamente entre todos os docentes em atividade respeitando-se a área de conhecimento para qual prestou concurso.</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sz w:val="22"/>
          <w:szCs w:val="22"/>
        </w:rPr>
        <w:t xml:space="preserve">Art. 42 - </w:t>
      </w:r>
      <w:r>
        <w:rPr>
          <w:rFonts w:ascii="Arial" w:hAnsi="Arial"/>
          <w:sz w:val="22"/>
          <w:szCs w:val="22"/>
        </w:rPr>
        <w:t xml:space="preserve">O </w:t>
      </w:r>
      <w:r>
        <w:rPr>
          <w:rFonts w:ascii="Arial" w:hAnsi="Arial"/>
          <w:sz w:val="22"/>
          <w:szCs w:val="22"/>
          <w:shd w:fill="FFFFFF" w:val="clear"/>
        </w:rPr>
        <w:t>Plano de Trabalho</w:t>
      </w:r>
      <w:r>
        <w:rPr>
          <w:rFonts w:ascii="Arial" w:hAnsi="Arial"/>
          <w:sz w:val="22"/>
          <w:szCs w:val="22"/>
        </w:rPr>
        <w:t xml:space="preserve"> semestral do Departamento ou órgão equivalente deverá conter todas atividades de ensino, pesquisa, extensão, cultura e administrativas previstas para o semestre subsequente, para todos os docentes, devendo especificar:</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sz w:val="22"/>
          <w:szCs w:val="22"/>
        </w:rPr>
        <w:t>I - os responsáveis por todas as disciplinas a serem ofertadas pelo órgão de lotação do docente;</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sz w:val="22"/>
          <w:szCs w:val="22"/>
        </w:rPr>
      </w:pPr>
      <w:r>
        <w:rPr>
          <w:rFonts w:ascii="Arial" w:hAnsi="Arial"/>
          <w:sz w:val="22"/>
          <w:szCs w:val="22"/>
        </w:rPr>
        <w:t>II - os responsáveis pelas disciplinas e demais encargos dos docentes regularmente afastados ou cedidos;</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sz w:val="22"/>
          <w:szCs w:val="22"/>
        </w:rPr>
        <w:t>III - o resumo de todas as demais atividades desempenhadas por cada docente, incluindo atividades administrativas, de ensino, pesquisa, cultura e, ou de extensão;</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sz w:val="22"/>
          <w:szCs w:val="22"/>
          <w:shd w:fill="FFFFFF" w:val="clear"/>
        </w:rPr>
        <w:t>Art. 43</w:t>
      </w:r>
      <w:r>
        <w:rPr>
          <w:rFonts w:ascii="Arial" w:hAnsi="Arial"/>
          <w:sz w:val="22"/>
          <w:szCs w:val="22"/>
          <w:shd w:fill="FFFFFF" w:val="clear"/>
        </w:rPr>
        <w:t xml:space="preserve"> - Até 30 (trinta) dias após o início de cada período letivo, o órgão de lotação do docente poderá efetuar remanejamentos e ajustes que se façam necessários no plano de trabalho no interesse prioritário do ensino.</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color w:val="00000A"/>
          <w:sz w:val="22"/>
          <w:szCs w:val="22"/>
          <w:shd w:fill="FFFFFF" w:val="clear"/>
        </w:rPr>
        <w:t>Art. 44</w:t>
      </w:r>
      <w:r>
        <w:rPr>
          <w:rFonts w:ascii="Arial" w:hAnsi="Arial"/>
          <w:color w:val="00000A"/>
          <w:sz w:val="22"/>
          <w:szCs w:val="22"/>
          <w:shd w:fill="FFFFFF" w:val="clear"/>
        </w:rPr>
        <w:t xml:space="preserve"> – O Plano de Trabalho Semestral do Departamento ou órgão equivalente deverá ser publicizado através de publicação na página da unidade acadêmica.</w:t>
      </w:r>
    </w:p>
    <w:p>
      <w:pPr>
        <w:pStyle w:val="Normal1"/>
        <w:jc w:val="both"/>
        <w:rPr>
          <w:rFonts w:ascii="Arial" w:hAnsi="Arial" w:eastAsia="DejaVu Sans" w:cs="FreeSans"/>
          <w:color w:val="3333FF"/>
          <w:sz w:val="22"/>
          <w:szCs w:val="22"/>
          <w:lang w:val="pt-BR" w:eastAsia="zh-CN" w:bidi="hi-IN"/>
        </w:rPr>
      </w:pPr>
      <w:r>
        <w:rPr>
          <w:rFonts w:eastAsia="DejaVu Sans" w:cs="FreeSans" w:ascii="Arial" w:hAnsi="Arial"/>
          <w:color w:val="3333FF"/>
          <w:sz w:val="22"/>
          <w:szCs w:val="22"/>
          <w:lang w:val="pt-BR" w:eastAsia="zh-CN" w:bidi="hi-IN"/>
        </w:rPr>
      </w:r>
    </w:p>
    <w:p>
      <w:pPr>
        <w:pStyle w:val="Normal1"/>
        <w:jc w:val="both"/>
        <w:rPr/>
      </w:pPr>
      <w:r>
        <w:rPr>
          <w:rFonts w:ascii="Arial" w:hAnsi="Arial"/>
          <w:b/>
          <w:bCs/>
          <w:color w:val="00000A"/>
          <w:sz w:val="22"/>
          <w:szCs w:val="22"/>
          <w:shd w:fill="FFFFFF" w:val="clear"/>
        </w:rPr>
        <w:t>Art. 45</w:t>
      </w:r>
      <w:r>
        <w:rPr>
          <w:rFonts w:ascii="Arial" w:hAnsi="Arial"/>
          <w:color w:val="00000A"/>
          <w:sz w:val="22"/>
          <w:szCs w:val="22"/>
          <w:shd w:fill="FFFFFF" w:val="clear"/>
        </w:rPr>
        <w:t xml:space="preserve"> – Nenhuma unidade curricular poderá deixar de ser ofertada pelo departamento ou órgão equivalente, caso haja docente concursado para a área e que tenha carga horária disponível que possibilite sua oferta, cabendo à Assembleia Departamental fazer a designação.</w:t>
      </w:r>
    </w:p>
    <w:p>
      <w:pPr>
        <w:pStyle w:val="Normal1"/>
        <w:jc w:val="both"/>
        <w:rPr>
          <w:rFonts w:ascii="Arial" w:hAnsi="Arial" w:eastAsia="DejaVu Sans" w:cs="FreeSans"/>
          <w:color w:val="00000A"/>
          <w:sz w:val="22"/>
          <w:szCs w:val="22"/>
          <w:shd w:fill="FFFFFF" w:val="clear"/>
          <w:lang w:val="pt-BR" w:eastAsia="zh-CN" w:bidi="hi-IN"/>
        </w:rPr>
      </w:pPr>
      <w:r>
        <w:rPr>
          <w:rFonts w:eastAsia="DejaVu Sans" w:cs="FreeSans" w:ascii="Arial" w:hAnsi="Arial"/>
          <w:color w:val="00000A"/>
          <w:sz w:val="22"/>
          <w:szCs w:val="22"/>
          <w:shd w:fill="FFFFFF" w:val="clear"/>
          <w:lang w:val="pt-BR" w:eastAsia="zh-CN" w:bidi="hi-IN"/>
        </w:rPr>
      </w:r>
    </w:p>
    <w:p>
      <w:pPr>
        <w:pStyle w:val="Normal1"/>
        <w:jc w:val="both"/>
        <w:rPr>
          <w:rFonts w:ascii="Arial" w:hAnsi="Arial"/>
          <w:color w:val="FF0000"/>
          <w:sz w:val="22"/>
          <w:szCs w:val="22"/>
          <w:highlight w:val="white"/>
        </w:rPr>
      </w:pPr>
      <w:r>
        <w:rPr>
          <w:rFonts w:ascii="Arial" w:hAnsi="Arial"/>
          <w:b/>
          <w:color w:val="00000A"/>
          <w:sz w:val="22"/>
          <w:szCs w:val="22"/>
          <w:shd w:fill="FFFFFF" w:val="clear"/>
        </w:rPr>
        <w:t>Parágrafo único.</w:t>
      </w:r>
      <w:r>
        <w:rPr>
          <w:rFonts w:ascii="Arial" w:hAnsi="Arial"/>
          <w:color w:val="00000A"/>
          <w:sz w:val="22"/>
          <w:szCs w:val="22"/>
          <w:shd w:fill="FFFFFF" w:val="clear"/>
        </w:rPr>
        <w:t xml:space="preserve"> Caberá à Prograd publicar portaria constando as unidades curriculares de graduação sob responsabilidade de cada departamento ou órgão de lotação.</w:t>
      </w:r>
    </w:p>
    <w:p>
      <w:pPr>
        <w:pStyle w:val="Normal1"/>
        <w:jc w:val="both"/>
        <w:rPr>
          <w:rFonts w:ascii="Arial" w:hAnsi="Arial" w:eastAsia="DejaVu Sans" w:cs="FreeSans"/>
          <w:color w:val="FF0000"/>
          <w:sz w:val="22"/>
          <w:szCs w:val="22"/>
          <w:shd w:fill="FFFFFF" w:val="clear"/>
          <w:lang w:val="pt-BR" w:eastAsia="zh-CN" w:bidi="hi-IN"/>
        </w:rPr>
      </w:pPr>
      <w:r>
        <w:rPr>
          <w:rFonts w:eastAsia="DejaVu Sans" w:cs="FreeSans" w:ascii="Arial" w:hAnsi="Arial"/>
          <w:color w:val="FF0000"/>
          <w:sz w:val="22"/>
          <w:szCs w:val="22"/>
          <w:shd w:fill="FFFFFF" w:val="clear"/>
          <w:lang w:val="pt-BR" w:eastAsia="zh-CN" w:bidi="hi-IN"/>
        </w:rPr>
      </w:r>
    </w:p>
    <w:p>
      <w:pPr>
        <w:pStyle w:val="Normal1"/>
        <w:jc w:val="both"/>
        <w:rPr/>
      </w:pPr>
      <w:r>
        <w:rPr>
          <w:rFonts w:ascii="Arial" w:hAnsi="Arial"/>
          <w:b/>
          <w:bCs/>
          <w:color w:val="00000A"/>
          <w:sz w:val="22"/>
          <w:szCs w:val="22"/>
          <w:shd w:fill="FFFFFF" w:val="clear"/>
        </w:rPr>
        <w:t>Art. 46</w:t>
      </w:r>
      <w:r>
        <w:rPr>
          <w:rFonts w:ascii="Arial" w:hAnsi="Arial"/>
          <w:color w:val="00000A"/>
          <w:sz w:val="22"/>
          <w:szCs w:val="22"/>
          <w:shd w:fill="FFFFFF" w:val="clear"/>
        </w:rPr>
        <w:t xml:space="preserve"> – Em caso de recusa de docentes ministrar unidades curriculares da sua área de atuação, mesmo tendo carga horária disponível para assumi-las, caberá ao Chefe de Departamento ou Diretor de Unidade Acadêmica promover a designação do docente.</w:t>
      </w:r>
    </w:p>
    <w:p>
      <w:pPr>
        <w:pStyle w:val="Normal1"/>
        <w:jc w:val="both"/>
        <w:rPr>
          <w:rFonts w:ascii="Arial" w:hAnsi="Arial" w:eastAsia="DejaVu Sans" w:cs="FreeSans"/>
          <w:color w:val="FF0000"/>
          <w:sz w:val="22"/>
          <w:szCs w:val="22"/>
          <w:shd w:fill="FFFFFF" w:val="clear"/>
          <w:lang w:val="pt-BR" w:eastAsia="zh-CN" w:bidi="hi-IN"/>
        </w:rPr>
      </w:pPr>
      <w:bookmarkStart w:id="1" w:name="__DdeLink__1296_402707762"/>
      <w:bookmarkStart w:id="2" w:name="__DdeLink__1296_402707762"/>
      <w:bookmarkEnd w:id="2"/>
      <w:r>
        <w:rPr>
          <w:rFonts w:eastAsia="DejaVu Sans" w:cs="FreeSans" w:ascii="Arial" w:hAnsi="Arial"/>
          <w:color w:val="FF0000"/>
          <w:sz w:val="22"/>
          <w:szCs w:val="22"/>
          <w:shd w:fill="FFFFFF" w:val="clear"/>
          <w:lang w:val="pt-BR" w:eastAsia="zh-CN" w:bidi="hi-IN"/>
        </w:rPr>
      </w:r>
    </w:p>
    <w:p>
      <w:pPr>
        <w:pStyle w:val="Normal1"/>
        <w:jc w:val="both"/>
        <w:rPr/>
      </w:pPr>
      <w:r>
        <w:rPr>
          <w:rFonts w:ascii="Arial" w:hAnsi="Arial"/>
          <w:b/>
          <w:bCs/>
          <w:color w:val="00000A"/>
          <w:sz w:val="22"/>
          <w:szCs w:val="22"/>
          <w:shd w:fill="FFFFFF" w:val="clear"/>
        </w:rPr>
        <w:t>Art. 47</w:t>
      </w:r>
      <w:r>
        <w:rPr>
          <w:rFonts w:ascii="Arial" w:hAnsi="Arial"/>
          <w:color w:val="00000A"/>
          <w:sz w:val="22"/>
          <w:szCs w:val="22"/>
          <w:shd w:fill="FFFFFF" w:val="clear"/>
        </w:rPr>
        <w:t xml:space="preserve"> – Em caso de problemas relativos a oferta de unidades curriculares em qualquer curso e existindo docente da área em qualquer unidade do mesmo campus da UFVJM, caberá à PROGRAD promover a designação do docente para ministrá-las.</w:t>
      </w:r>
    </w:p>
    <w:p>
      <w:pPr>
        <w:pStyle w:val="Normal1"/>
        <w:jc w:val="both"/>
        <w:rPr>
          <w:rFonts w:ascii="Arial" w:hAnsi="Arial" w:eastAsia="DejaVu Sans" w:cs="FreeSans"/>
          <w:color w:val="FF0000"/>
          <w:sz w:val="22"/>
          <w:szCs w:val="22"/>
          <w:shd w:fill="FFFFFF" w:val="clear"/>
          <w:lang w:val="pt-BR" w:eastAsia="zh-CN" w:bidi="hi-IN"/>
        </w:rPr>
      </w:pPr>
      <w:r>
        <w:rPr>
          <w:rFonts w:eastAsia="DejaVu Sans" w:cs="FreeSans" w:ascii="Arial" w:hAnsi="Arial"/>
          <w:color w:val="FF0000"/>
          <w:sz w:val="22"/>
          <w:szCs w:val="22"/>
          <w:shd w:fill="FFFFFF" w:val="clear"/>
          <w:lang w:val="pt-BR" w:eastAsia="zh-CN" w:bidi="hi-IN"/>
        </w:rPr>
      </w:r>
    </w:p>
    <w:p>
      <w:pPr>
        <w:pStyle w:val="Normal1"/>
        <w:jc w:val="both"/>
        <w:rPr/>
      </w:pPr>
      <w:r>
        <w:rPr>
          <w:rFonts w:ascii="Arial" w:hAnsi="Arial"/>
          <w:b/>
          <w:color w:val="00000A"/>
          <w:sz w:val="22"/>
          <w:szCs w:val="22"/>
          <w:shd w:fill="FFFFFF" w:val="clear"/>
        </w:rPr>
        <w:t xml:space="preserve">Parágrafo único - </w:t>
      </w:r>
      <w:r>
        <w:rPr>
          <w:rFonts w:ascii="Arial" w:hAnsi="Arial"/>
          <w:color w:val="00000A"/>
          <w:sz w:val="22"/>
          <w:szCs w:val="22"/>
          <w:shd w:fill="FFFFFF" w:val="clear"/>
        </w:rPr>
        <w:t xml:space="preserve"> A Prograd buscará fazer a designação dentre os docentes da área em exercício no campus, pautando-se na distribuição da carga horária, da forma mais equitativa possível.</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3333FF"/>
          <w:sz w:val="22"/>
          <w:szCs w:val="22"/>
          <w:lang w:val="pt-BR" w:eastAsia="zh-CN" w:bidi="hi-IN"/>
        </w:rPr>
      </w:pPr>
      <w:r>
        <w:rPr>
          <w:rFonts w:eastAsia="DejaVu Sans" w:cs="FreeSans" w:ascii="Arial" w:hAnsi="Arial"/>
          <w:color w:val="3333FF"/>
          <w:sz w:val="22"/>
          <w:szCs w:val="22"/>
          <w:lang w:val="pt-BR" w:eastAsia="zh-CN" w:bidi="hi-IN"/>
        </w:rPr>
      </w:r>
    </w:p>
    <w:p>
      <w:pPr>
        <w:pStyle w:val="Normal1"/>
        <w:jc w:val="center"/>
        <w:rPr/>
      </w:pPr>
      <w:r>
        <w:rPr>
          <w:rFonts w:ascii="Arial" w:hAnsi="Arial"/>
          <w:b/>
          <w:bCs/>
          <w:sz w:val="22"/>
          <w:szCs w:val="22"/>
        </w:rPr>
        <w:t>CAPÍTULO VIII – DA AVALIAÇÃO DOS RELATÓRIOS DE ATIVIDADES DOCENTES</w:t>
      </w:r>
    </w:p>
    <w:p>
      <w:pPr>
        <w:pStyle w:val="Normal1"/>
        <w:jc w:val="center"/>
        <w:rPr>
          <w:rFonts w:ascii="Arial" w:hAnsi="Arial" w:eastAsia="DejaVu Sans" w:cs="FreeSans"/>
          <w:b/>
          <w:b/>
          <w:bCs/>
          <w:color w:val="00000A"/>
          <w:sz w:val="22"/>
          <w:szCs w:val="22"/>
          <w:lang w:val="pt-BR" w:eastAsia="zh-CN" w:bidi="hi-IN"/>
        </w:rPr>
      </w:pPr>
      <w:r>
        <w:rPr>
          <w:rFonts w:eastAsia="DejaVu Sans" w:cs="FreeSans" w:ascii="Arial" w:hAnsi="Arial"/>
          <w:b/>
          <w:bCs/>
          <w:color w:val="00000A"/>
          <w:sz w:val="22"/>
          <w:szCs w:val="22"/>
          <w:lang w:val="pt-BR" w:eastAsia="zh-CN" w:bidi="hi-IN"/>
        </w:rPr>
      </w:r>
    </w:p>
    <w:p>
      <w:pPr>
        <w:pStyle w:val="Normal1"/>
        <w:jc w:val="both"/>
        <w:rPr/>
      </w:pPr>
      <w:r>
        <w:rPr>
          <w:rFonts w:ascii="Arial" w:hAnsi="Arial"/>
          <w:b/>
          <w:bCs/>
          <w:color w:val="00000A"/>
          <w:sz w:val="22"/>
          <w:szCs w:val="22"/>
        </w:rPr>
        <w:t>Art. 48</w:t>
      </w:r>
      <w:r>
        <w:rPr>
          <w:rFonts w:ascii="Arial" w:hAnsi="Arial"/>
          <w:color w:val="00000A"/>
          <w:sz w:val="22"/>
          <w:szCs w:val="22"/>
        </w:rPr>
        <w:t xml:space="preserve"> - Os relatórios de atividades dos docentes deverão ser avaliados pela Comissão de Encargos Docentes que deverá emitir parecer circunstanciado indicando quais os relatórios devem ser aprovados ou rejeitados em Relatório Semestral de Avaliação de Atividades Docentes.</w:t>
      </w:r>
    </w:p>
    <w:p>
      <w:pPr>
        <w:pStyle w:val="Normal1"/>
        <w:jc w:val="both"/>
        <w:rPr>
          <w:rFonts w:ascii="Arial" w:hAnsi="Arial" w:eastAsia="DejaVu Sans" w:cs="FreeSans"/>
          <w:b/>
          <w:b/>
          <w:bCs/>
          <w:color w:val="00000A"/>
          <w:sz w:val="22"/>
          <w:szCs w:val="22"/>
          <w:lang w:val="pt-BR" w:eastAsia="zh-CN" w:bidi="hi-IN"/>
        </w:rPr>
      </w:pPr>
      <w:r>
        <w:rPr>
          <w:rFonts w:eastAsia="DejaVu Sans" w:cs="FreeSans" w:ascii="Arial" w:hAnsi="Arial"/>
          <w:b/>
          <w:bCs/>
          <w:color w:val="00000A"/>
          <w:sz w:val="22"/>
          <w:szCs w:val="22"/>
          <w:lang w:val="pt-BR" w:eastAsia="zh-CN" w:bidi="hi-IN"/>
        </w:rPr>
      </w:r>
    </w:p>
    <w:p>
      <w:pPr>
        <w:pStyle w:val="Normal1"/>
        <w:jc w:val="both"/>
        <w:rPr/>
      </w:pPr>
      <w:r>
        <w:rPr>
          <w:rFonts w:ascii="Arial" w:hAnsi="Arial"/>
          <w:b/>
          <w:bCs/>
          <w:color w:val="00000A"/>
          <w:sz w:val="22"/>
          <w:szCs w:val="22"/>
        </w:rPr>
        <w:t>Art. 49</w:t>
      </w:r>
      <w:r>
        <w:rPr>
          <w:rFonts w:ascii="Arial" w:hAnsi="Arial"/>
          <w:color w:val="00000A"/>
          <w:sz w:val="22"/>
          <w:szCs w:val="22"/>
        </w:rPr>
        <w:t xml:space="preserve"> - O Relatório Semestral de Avaliação de Atividades Docentes elaborado pela Comissão de Encargos docentes deverá ser apreciado pela Assembleia do departamento ou órgão equivalente na mesma seção que apreciará o Plano de Atividades do Departamento.</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color w:val="00000A"/>
          <w:sz w:val="22"/>
          <w:szCs w:val="22"/>
        </w:rPr>
        <w:t>Art. 50</w:t>
      </w:r>
      <w:r>
        <w:rPr>
          <w:rFonts w:ascii="Arial" w:hAnsi="Arial"/>
          <w:color w:val="00000A"/>
          <w:sz w:val="22"/>
          <w:szCs w:val="22"/>
        </w:rPr>
        <w:t xml:space="preserve"> – Os docentes que não tiverem seus Relatórios de Atividades aprovados pela Assembleia do departamento ou órgão equivalente deverão cumprir no semestre letivo seguinte:</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color w:val="00000A"/>
          <w:sz w:val="22"/>
          <w:szCs w:val="22"/>
        </w:rPr>
        <w:t>I - um mínimo de 16 (dezeseis) horas / aula semanais, no caso de docentes em regime de trabalho de tempo integral (com ou sem dedicação exclusiva),</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color w:val="00000A"/>
          <w:sz w:val="22"/>
          <w:szCs w:val="22"/>
        </w:rPr>
        <w:t>II - um mínimo de 14 (quatorze) horas / aulas semanais no caso de docente em regime de tempo parcial.</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center"/>
        <w:rPr/>
      </w:pPr>
      <w:r>
        <w:rPr>
          <w:rFonts w:ascii="Arial" w:hAnsi="Arial"/>
          <w:b/>
          <w:bCs/>
          <w:sz w:val="22"/>
          <w:szCs w:val="22"/>
        </w:rPr>
        <w:t>CAPÍTULO IX – DAS DISPOSIÇÕES FINAIS</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sz w:val="22"/>
          <w:szCs w:val="22"/>
        </w:rPr>
        <w:t>Art. 51</w:t>
      </w:r>
      <w:r>
        <w:rPr>
          <w:rFonts w:ascii="Arial" w:hAnsi="Arial"/>
          <w:sz w:val="22"/>
          <w:szCs w:val="22"/>
        </w:rPr>
        <w:t xml:space="preserve"> - O docente que se encontra regularmente afastado para capacitação e/ou qualificação fica obrigado, para acompanhamento das suas atividades, à apresentação de relatório semestral.</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sz w:val="22"/>
          <w:szCs w:val="22"/>
        </w:rPr>
        <w:t>Art. 52</w:t>
      </w:r>
      <w:r>
        <w:rPr>
          <w:rFonts w:ascii="Arial" w:hAnsi="Arial"/>
          <w:sz w:val="22"/>
          <w:szCs w:val="22"/>
        </w:rPr>
        <w:t xml:space="preserve"> - Os Relatórios semestrais de atividades de docente afastado para capacitação e/ou  qualificação será usado pela CPPD para fins de progressão ou promoção na carreira docente, condicionado à sua aprovação pelo Colegiado do órgão de lotação do docente, conforme estabelece a legislação vigente.</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sz w:val="22"/>
          <w:szCs w:val="22"/>
        </w:rPr>
        <w:t>Art. 53</w:t>
      </w:r>
      <w:r>
        <w:rPr>
          <w:rFonts w:ascii="Arial" w:hAnsi="Arial"/>
          <w:sz w:val="22"/>
          <w:szCs w:val="22"/>
        </w:rPr>
        <w:t xml:space="preserve"> - O docente que se encontra regularmente cedido para órgão externo ou em exercício provisório – ou em qualquer outro semelhante - em órgão externo fica obrigado, para acompanhamento das suas atividades, à apresentação de relatório semestral junto ao seu órgão de lotação.</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sz w:val="22"/>
          <w:szCs w:val="22"/>
        </w:rPr>
        <w:t>Art. 54</w:t>
      </w:r>
      <w:r>
        <w:rPr>
          <w:rFonts w:ascii="Arial" w:hAnsi="Arial"/>
          <w:sz w:val="22"/>
          <w:szCs w:val="22"/>
        </w:rPr>
        <w:t xml:space="preserve"> - O Relatório semestral de atividades de docente regularmente cedido para órgão externo ou em exercício provisório – ou em qualquer outro estatuto semelhante - em órgão externo será usado pela CPPD para fins de progressão ou promoção na carreira docente, condicionado à sua aprovação pelo Colegiado do órgão de lotação do docente.</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sz w:val="22"/>
          <w:szCs w:val="22"/>
        </w:rPr>
        <w:t>Parágrafo único</w:t>
      </w:r>
      <w:r>
        <w:rPr>
          <w:rFonts w:ascii="Arial" w:hAnsi="Arial"/>
          <w:sz w:val="22"/>
          <w:szCs w:val="22"/>
        </w:rPr>
        <w:t xml:space="preserve"> – Compete à CPPD conceder ou não a progressão ou promoção na carreira ao docente em avaliação sem atribuição de nota, com base no parecer do órgão de lotação do docente.</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sz w:val="22"/>
          <w:szCs w:val="22"/>
        </w:rPr>
        <w:t>Art. 55</w:t>
      </w:r>
      <w:r>
        <w:rPr>
          <w:rFonts w:ascii="Arial" w:hAnsi="Arial"/>
          <w:sz w:val="22"/>
          <w:szCs w:val="22"/>
        </w:rPr>
        <w:t xml:space="preserve"> - Cabe à chefia imediata do docente, conforme Estatuto e Regimento Interno da UFVJM, coordenar a elaboração e execução do plano do órgão, bem como fiscalizar sua execução e adotar medidas cabíveis quando ocorrer descumprimento de obrigação por parte dos docentes.</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sz w:val="22"/>
          <w:szCs w:val="22"/>
        </w:rPr>
        <w:t>Art. 56</w:t>
      </w:r>
      <w:r>
        <w:rPr>
          <w:rFonts w:ascii="Arial" w:hAnsi="Arial"/>
          <w:sz w:val="22"/>
          <w:szCs w:val="22"/>
        </w:rPr>
        <w:t xml:space="preserve"> - No caso do não cumprimento do disposto nesta resolução</w:t>
      </w:r>
      <w:r>
        <w:rPr>
          <w:rFonts w:ascii="Arial" w:hAnsi="Arial"/>
          <w:color w:val="FF0000"/>
          <w:sz w:val="22"/>
          <w:szCs w:val="22"/>
        </w:rPr>
        <w:t xml:space="preserve"> </w:t>
      </w:r>
      <w:r>
        <w:rPr>
          <w:rFonts w:ascii="Arial" w:hAnsi="Arial"/>
          <w:sz w:val="22"/>
          <w:szCs w:val="22"/>
        </w:rPr>
        <w:t>caberá à chefia imediata do docente dar ciência fundamentada e documental do fato à Reitoria para que esta instaure processo administrativo disciplinar para apurar os fatos.</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sz w:val="22"/>
          <w:szCs w:val="22"/>
        </w:rPr>
        <w:t>Art. 57</w:t>
      </w:r>
      <w:r>
        <w:rPr>
          <w:rFonts w:ascii="Arial" w:hAnsi="Arial"/>
          <w:sz w:val="22"/>
          <w:szCs w:val="22"/>
        </w:rPr>
        <w:t xml:space="preserve"> – Casos omissos serão resolvidos pelo Consepe.</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color w:val="00000A"/>
          <w:sz w:val="22"/>
          <w:szCs w:val="22"/>
        </w:rPr>
        <w:t>Art. 58</w:t>
      </w:r>
      <w:r>
        <w:rPr>
          <w:rFonts w:ascii="Arial" w:hAnsi="Arial"/>
          <w:color w:val="00000A"/>
          <w:sz w:val="22"/>
          <w:szCs w:val="22"/>
        </w:rPr>
        <w:t xml:space="preserve"> - Revogam-se as disposições em contrário e a Resolução 19/ Consepe/2016.</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Fonts w:ascii="Arial" w:hAnsi="Arial"/>
          <w:b/>
          <w:bCs/>
          <w:sz w:val="22"/>
          <w:szCs w:val="22"/>
        </w:rPr>
        <w:t>Art. 59</w:t>
      </w:r>
      <w:r>
        <w:rPr>
          <w:rFonts w:ascii="Arial" w:hAnsi="Arial"/>
          <w:sz w:val="22"/>
          <w:szCs w:val="22"/>
        </w:rPr>
        <w:t xml:space="preserve">  - Esta Resolução entra em vigor na data de sua publicação.</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center"/>
        <w:rPr>
          <w:rFonts w:ascii="Arial" w:hAnsi="Arial" w:eastAsia="DejaVu Sans" w:cs="FreeSans"/>
          <w:b/>
          <w:b/>
          <w:color w:val="00000A"/>
          <w:sz w:val="22"/>
          <w:szCs w:val="22"/>
          <w:lang w:val="pt-BR" w:eastAsia="zh-CN" w:bidi="hi-IN"/>
        </w:rPr>
      </w:pPr>
      <w:r>
        <w:rPr>
          <w:rFonts w:eastAsia="DejaVu Sans" w:cs="FreeSans" w:ascii="Arial" w:hAnsi="Arial"/>
          <w:b/>
          <w:color w:val="00000A"/>
          <w:sz w:val="22"/>
          <w:szCs w:val="22"/>
          <w:lang w:val="pt-BR" w:eastAsia="zh-CN" w:bidi="hi-IN"/>
        </w:rPr>
      </w:r>
    </w:p>
    <w:p>
      <w:pPr>
        <w:pStyle w:val="Normal1"/>
        <w:jc w:val="center"/>
        <w:rPr>
          <w:rFonts w:ascii="Arial" w:hAnsi="Arial" w:eastAsia="DejaVu Sans" w:cs="FreeSans"/>
          <w:b/>
          <w:b/>
          <w:color w:val="00000A"/>
          <w:sz w:val="22"/>
          <w:szCs w:val="22"/>
          <w:lang w:val="pt-BR" w:eastAsia="zh-CN" w:bidi="hi-IN"/>
        </w:rPr>
      </w:pPr>
      <w:r>
        <w:rPr>
          <w:rFonts w:eastAsia="DejaVu Sans" w:cs="FreeSans" w:ascii="Arial" w:hAnsi="Arial"/>
          <w:b/>
          <w:color w:val="00000A"/>
          <w:sz w:val="22"/>
          <w:szCs w:val="22"/>
          <w:lang w:val="pt-BR" w:eastAsia="zh-CN" w:bidi="hi-IN"/>
        </w:rPr>
      </w:r>
    </w:p>
    <w:p>
      <w:pPr>
        <w:pStyle w:val="Normal1"/>
        <w:jc w:val="center"/>
        <w:rPr>
          <w:rFonts w:ascii="Arial" w:hAnsi="Arial" w:eastAsia="DejaVu Sans" w:cs="FreeSans"/>
          <w:b/>
          <w:b/>
          <w:color w:val="00000A"/>
          <w:sz w:val="22"/>
          <w:szCs w:val="22"/>
          <w:lang w:val="pt-BR" w:eastAsia="zh-CN" w:bidi="hi-IN"/>
        </w:rPr>
      </w:pPr>
      <w:r>
        <w:rPr>
          <w:rFonts w:eastAsia="DejaVu Sans" w:cs="FreeSans" w:ascii="Arial" w:hAnsi="Arial"/>
          <w:b/>
          <w:color w:val="00000A"/>
          <w:sz w:val="22"/>
          <w:szCs w:val="22"/>
          <w:lang w:val="pt-BR" w:eastAsia="zh-CN" w:bidi="hi-IN"/>
        </w:rPr>
      </w:r>
    </w:p>
    <w:p>
      <w:pPr>
        <w:pStyle w:val="Normal1"/>
        <w:jc w:val="center"/>
        <w:rPr>
          <w:rFonts w:ascii="Arial" w:hAnsi="Arial" w:eastAsia="DejaVu Sans" w:cs="FreeSans"/>
          <w:b/>
          <w:b/>
          <w:color w:val="00000A"/>
          <w:sz w:val="22"/>
          <w:szCs w:val="22"/>
          <w:lang w:val="pt-BR" w:eastAsia="zh-CN" w:bidi="hi-IN"/>
        </w:rPr>
      </w:pPr>
      <w:r>
        <w:rPr>
          <w:rFonts w:eastAsia="DejaVu Sans" w:cs="FreeSans" w:ascii="Arial" w:hAnsi="Arial"/>
          <w:b/>
          <w:color w:val="00000A"/>
          <w:sz w:val="22"/>
          <w:szCs w:val="22"/>
          <w:lang w:val="pt-BR" w:eastAsia="zh-CN" w:bidi="hi-IN"/>
        </w:rPr>
      </w:r>
    </w:p>
    <w:p>
      <w:pPr>
        <w:pStyle w:val="Normal1"/>
        <w:jc w:val="center"/>
        <w:rPr>
          <w:rFonts w:ascii="Arial" w:hAnsi="Arial" w:eastAsia="DejaVu Sans" w:cs="FreeSans"/>
          <w:b/>
          <w:b/>
          <w:color w:val="00000A"/>
          <w:sz w:val="22"/>
          <w:szCs w:val="22"/>
          <w:lang w:val="pt-BR" w:eastAsia="zh-CN" w:bidi="hi-IN"/>
        </w:rPr>
      </w:pPr>
      <w:r>
        <w:rPr>
          <w:rFonts w:eastAsia="DejaVu Sans" w:cs="FreeSans" w:ascii="Arial" w:hAnsi="Arial"/>
          <w:b/>
          <w:color w:val="00000A"/>
          <w:sz w:val="22"/>
          <w:szCs w:val="22"/>
          <w:lang w:val="pt-BR" w:eastAsia="zh-CN" w:bidi="hi-IN"/>
        </w:rPr>
      </w:r>
    </w:p>
    <w:p>
      <w:pPr>
        <w:pStyle w:val="Normal1"/>
        <w:jc w:val="center"/>
        <w:rPr>
          <w:rFonts w:ascii="Arial" w:hAnsi="Arial"/>
          <w:b/>
          <w:b/>
          <w:sz w:val="22"/>
          <w:szCs w:val="22"/>
        </w:rPr>
      </w:pPr>
      <w:r>
        <w:rPr>
          <w:rFonts w:ascii="Arial" w:hAnsi="Arial"/>
          <w:b/>
          <w:sz w:val="22"/>
          <w:szCs w:val="22"/>
        </w:rPr>
        <w:t>Prof. Gilciano Saraiva Nogueira</w:t>
      </w:r>
    </w:p>
    <w:p>
      <w:pPr>
        <w:pStyle w:val="Normal1"/>
        <w:jc w:val="center"/>
        <w:rPr/>
      </w:pPr>
      <w:r>
        <w:rPr>
          <w:rFonts w:ascii="Arial" w:hAnsi="Arial"/>
          <w:sz w:val="22"/>
          <w:szCs w:val="22"/>
        </w:rPr>
        <w:t>Presidente do Consepe</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
        <w:suppressAutoHyphens w:val="false"/>
        <w:rPr>
          <w:rFonts w:ascii="Arial" w:hAnsi="Arial" w:eastAsia="DejaVu Sans" w:cs="FreeSans"/>
          <w:color w:val="FF0000"/>
          <w:sz w:val="22"/>
          <w:szCs w:val="22"/>
          <w:lang w:val="pt-BR" w:eastAsia="zh-CN" w:bidi="hi-IN"/>
        </w:rPr>
      </w:pPr>
      <w:bookmarkStart w:id="3" w:name="_GoBack"/>
      <w:bookmarkStart w:id="4" w:name="_GoBack"/>
      <w:bookmarkEnd w:id="4"/>
      <w:r>
        <w:rPr>
          <w:rFonts w:eastAsia="DejaVu Sans" w:cs="FreeSans" w:ascii="Arial" w:hAnsi="Arial"/>
          <w:color w:val="FF0000"/>
          <w:sz w:val="22"/>
          <w:szCs w:val="22"/>
          <w:lang w:val="pt-BR" w:eastAsia="zh-CN" w:bidi="hi-IN"/>
        </w:rPr>
      </w:r>
      <w:r>
        <w:br w:type="page"/>
      </w:r>
    </w:p>
    <w:tbl>
      <w:tblPr>
        <w:tblW w:w="10500" w:type="dxa"/>
        <w:jc w:val="left"/>
        <w:tblInd w:w="-802" w:type="dxa"/>
        <w:tblBorders/>
        <w:tblCellMar>
          <w:top w:w="0" w:type="dxa"/>
          <w:left w:w="108" w:type="dxa"/>
          <w:bottom w:w="0" w:type="dxa"/>
          <w:right w:w="108" w:type="dxa"/>
        </w:tblCellMar>
      </w:tblPr>
      <w:tblGrid>
        <w:gridCol w:w="2238"/>
        <w:gridCol w:w="6442"/>
        <w:gridCol w:w="1820"/>
      </w:tblGrid>
      <w:tr>
        <w:trPr>
          <w:cantSplit w:val="true"/>
        </w:trPr>
        <w:tc>
          <w:tcPr>
            <w:tcW w:w="2238" w:type="dxa"/>
            <w:tcBorders/>
            <w:shd w:color="auto" w:fill="auto" w:val="clear"/>
            <w:vAlign w:val="center"/>
          </w:tcPr>
          <w:p>
            <w:pPr>
              <w:pStyle w:val="Normal1"/>
              <w:pageBreakBefore/>
              <w:rPr/>
            </w:pPr>
            <w:r>
              <w:rPr/>
              <w:drawing>
                <wp:inline distT="0" distB="0" distL="0" distR="0">
                  <wp:extent cx="819150" cy="862965"/>
                  <wp:effectExtent l="0" t="0" r="0" b="0"/>
                  <wp:docPr id="3"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descr=""/>
                          <pic:cNvPicPr>
                            <a:picLocks noChangeAspect="1" noChangeArrowheads="1"/>
                          </pic:cNvPicPr>
                        </pic:nvPicPr>
                        <pic:blipFill>
                          <a:blip r:embed="rId4"/>
                          <a:stretch>
                            <a:fillRect/>
                          </a:stretch>
                        </pic:blipFill>
                        <pic:spPr bwMode="auto">
                          <a:xfrm>
                            <a:off x="0" y="0"/>
                            <a:ext cx="819150" cy="862965"/>
                          </a:xfrm>
                          <a:prstGeom prst="rect">
                            <a:avLst/>
                          </a:prstGeom>
                        </pic:spPr>
                      </pic:pic>
                    </a:graphicData>
                  </a:graphic>
                </wp:inline>
              </w:drawing>
            </w:r>
          </w:p>
          <w:p>
            <w:pPr>
              <w:pStyle w:val="Normal1"/>
              <w:rPr/>
            </w:pPr>
            <w:r>
              <w:rPr/>
            </w:r>
          </w:p>
        </w:tc>
        <w:tc>
          <w:tcPr>
            <w:tcW w:w="6442" w:type="dxa"/>
            <w:tcBorders/>
            <w:shd w:color="auto" w:fill="auto" w:val="clear"/>
            <w:vAlign w:val="center"/>
          </w:tcPr>
          <w:p>
            <w:pPr>
              <w:pStyle w:val="Normal1"/>
              <w:jc w:val="center"/>
              <w:rPr>
                <w:rFonts w:ascii="Arial" w:hAnsi="Arial" w:cs="Arial"/>
                <w:b/>
                <w:b/>
                <w:sz w:val="18"/>
                <w:szCs w:val="18"/>
              </w:rPr>
            </w:pPr>
            <w:r>
              <w:rPr>
                <w:rFonts w:cs="Arial" w:ascii="Arial" w:hAnsi="Arial"/>
                <w:b/>
                <w:sz w:val="18"/>
                <w:szCs w:val="18"/>
              </w:rPr>
              <w:t>MINISTÉRIO DA EDUCAÇÃO</w:t>
            </w:r>
          </w:p>
          <w:p>
            <w:pPr>
              <w:pStyle w:val="Normal1"/>
              <w:jc w:val="center"/>
              <w:rPr>
                <w:rFonts w:ascii="Arial" w:hAnsi="Arial" w:eastAsia="DejaVu Sans" w:cs="Arial"/>
                <w:b/>
                <w:b/>
                <w:color w:val="00000A"/>
                <w:sz w:val="18"/>
                <w:szCs w:val="18"/>
                <w:lang w:val="pt-BR" w:eastAsia="zh-CN" w:bidi="hi-IN"/>
              </w:rPr>
            </w:pPr>
            <w:r>
              <w:rPr>
                <w:rFonts w:eastAsia="DejaVu Sans" w:cs="Arial" w:ascii="Arial" w:hAnsi="Arial"/>
                <w:b/>
                <w:color w:val="00000A"/>
                <w:sz w:val="18"/>
                <w:szCs w:val="18"/>
                <w:lang w:val="pt-BR" w:eastAsia="zh-CN" w:bidi="hi-IN"/>
              </w:rPr>
            </w:r>
          </w:p>
          <w:p>
            <w:pPr>
              <w:pStyle w:val="Cabealho"/>
              <w:tabs>
                <w:tab w:val="center" w:pos="4819" w:leader="none"/>
                <w:tab w:val="right" w:pos="8504" w:leader="none"/>
                <w:tab w:val="right" w:pos="9638" w:leader="none"/>
              </w:tabs>
              <w:spacing w:lineRule="auto" w:line="360"/>
              <w:jc w:val="center"/>
              <w:rPr>
                <w:rFonts w:ascii="Arial" w:hAnsi="Arial" w:cs="Arial"/>
                <w:b/>
                <w:b/>
                <w:sz w:val="18"/>
                <w:szCs w:val="18"/>
              </w:rPr>
            </w:pPr>
            <w:r>
              <w:rPr>
                <w:rFonts w:cs="Arial" w:ascii="Arial" w:hAnsi="Arial"/>
                <w:b/>
                <w:sz w:val="18"/>
                <w:szCs w:val="18"/>
              </w:rPr>
              <w:t>UNIVERSIDADE FEDERAL DOS VALES DO JEQUITINHONHA E MUCURI</w:t>
            </w:r>
          </w:p>
          <w:p>
            <w:pPr>
              <w:pStyle w:val="Cabealho"/>
              <w:tabs>
                <w:tab w:val="center" w:pos="4819" w:leader="none"/>
                <w:tab w:val="right" w:pos="8504" w:leader="none"/>
                <w:tab w:val="right" w:pos="9638" w:leader="none"/>
              </w:tabs>
              <w:spacing w:lineRule="auto" w:line="360"/>
              <w:jc w:val="center"/>
              <w:rPr>
                <w:rFonts w:ascii="Arial" w:hAnsi="Arial" w:cs="Arial"/>
                <w:b/>
                <w:b/>
                <w:sz w:val="18"/>
                <w:szCs w:val="18"/>
              </w:rPr>
            </w:pPr>
            <w:r>
              <w:rPr>
                <w:rFonts w:cs="Arial" w:ascii="Arial" w:hAnsi="Arial"/>
                <w:b/>
                <w:sz w:val="18"/>
                <w:szCs w:val="18"/>
              </w:rPr>
              <w:t>CONSEPE</w:t>
            </w:r>
          </w:p>
        </w:tc>
        <w:tc>
          <w:tcPr>
            <w:tcW w:w="1820" w:type="dxa"/>
            <w:tcBorders/>
            <w:shd w:color="auto" w:fill="auto" w:val="clear"/>
            <w:vAlign w:val="center"/>
          </w:tcPr>
          <w:p>
            <w:pPr>
              <w:pStyle w:val="Normal1"/>
              <w:jc w:val="center"/>
              <w:rPr>
                <w:rFonts w:ascii="Arial" w:hAnsi="Arial" w:cs="Arial"/>
                <w:b/>
                <w:b/>
                <w:sz w:val="18"/>
                <w:szCs w:val="18"/>
              </w:rPr>
            </w:pPr>
            <w:r>
              <w:rPr/>
              <w:drawing>
                <wp:inline distT="0" distB="0" distL="0" distR="0">
                  <wp:extent cx="981075" cy="751840"/>
                  <wp:effectExtent l="0" t="0" r="0" b="0"/>
                  <wp:docPr id="4"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3" descr=""/>
                          <pic:cNvPicPr>
                            <a:picLocks noChangeAspect="1" noChangeArrowheads="1"/>
                          </pic:cNvPicPr>
                        </pic:nvPicPr>
                        <pic:blipFill>
                          <a:blip r:embed="rId5"/>
                          <a:stretch>
                            <a:fillRect/>
                          </a:stretch>
                        </pic:blipFill>
                        <pic:spPr bwMode="auto">
                          <a:xfrm>
                            <a:off x="0" y="0"/>
                            <a:ext cx="981075" cy="751840"/>
                          </a:xfrm>
                          <a:prstGeom prst="rect">
                            <a:avLst/>
                          </a:prstGeom>
                        </pic:spPr>
                      </pic:pic>
                    </a:graphicData>
                  </a:graphic>
                </wp:inline>
              </w:drawing>
            </w:r>
          </w:p>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r>
    </w:tbl>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center"/>
        <w:rPr/>
      </w:pPr>
      <w:r>
        <w:rPr>
          <w:b/>
          <w:bCs/>
          <w:color w:val="000000"/>
          <w:shd w:fill="FFFFFF" w:val="clear"/>
        </w:rPr>
        <w:t>ANEXO I</w:t>
      </w:r>
    </w:p>
    <w:p>
      <w:pPr>
        <w:pStyle w:val="Normal1"/>
        <w:jc w:val="center"/>
        <w:rPr>
          <w:rFonts w:ascii="Liberation Serif" w:hAnsi="Liberation Serif" w:eastAsia="DejaVu Sans" w:cs="FreeSans"/>
          <w:b/>
          <w:b/>
          <w:bCs/>
          <w:color w:val="00000A"/>
          <w:sz w:val="24"/>
          <w:szCs w:val="24"/>
          <w:lang w:val="pt-BR" w:eastAsia="zh-CN" w:bidi="hi-IN"/>
        </w:rPr>
      </w:pPr>
      <w:r>
        <w:rPr>
          <w:rFonts w:eastAsia="DejaVu Sans" w:cs="FreeSans"/>
          <w:b/>
          <w:bCs/>
          <w:color w:val="00000A"/>
          <w:sz w:val="24"/>
          <w:szCs w:val="24"/>
          <w:lang w:val="pt-BR" w:eastAsia="zh-CN" w:bidi="hi-IN"/>
        </w:rPr>
      </w:r>
    </w:p>
    <w:p>
      <w:pPr>
        <w:pStyle w:val="Normal1"/>
        <w:jc w:val="center"/>
        <w:rPr>
          <w:b/>
          <w:b/>
          <w:bCs/>
          <w:color w:val="000000"/>
          <w:highlight w:val="white"/>
        </w:rPr>
      </w:pPr>
      <w:r>
        <w:rPr>
          <w:b/>
          <w:bCs/>
          <w:color w:val="000000"/>
          <w:shd w:fill="FFFFFF" w:val="clear"/>
        </w:rPr>
        <w:t>MODELO DE PLANO DE TRABALHO DOCENTE</w:t>
      </w:r>
    </w:p>
    <w:p>
      <w:pPr>
        <w:pStyle w:val="Normal1"/>
        <w:rPr/>
      </w:pPr>
      <w:r>
        <w:rPr/>
      </w:r>
    </w:p>
    <w:tbl>
      <w:tblPr>
        <w:tblW w:w="9638" w:type="dxa"/>
        <w:jc w:val="center"/>
        <w:tblInd w:w="0"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7" w:type="dxa"/>
          <w:bottom w:w="55" w:type="dxa"/>
          <w:right w:w="55" w:type="dxa"/>
        </w:tblCellMar>
      </w:tblPr>
      <w:tblGrid>
        <w:gridCol w:w="4632"/>
        <w:gridCol w:w="5005"/>
      </w:tblGrid>
      <w:tr>
        <w:trPr/>
        <w:tc>
          <w:tcPr>
            <w:tcW w:w="9637"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7" w:type="dxa"/>
            </w:tcMar>
          </w:tcPr>
          <w:p>
            <w:pPr>
              <w:pStyle w:val="Contedodatabela"/>
              <w:jc w:val="both"/>
              <w:rPr>
                <w:color w:val="00000A"/>
                <w:sz w:val="24"/>
              </w:rPr>
            </w:pPr>
            <w:r>
              <w:rPr/>
              <w:t>Servidor:</w:t>
            </w:r>
          </w:p>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r>
      <w:tr>
        <w:trPr/>
        <w:tc>
          <w:tcPr>
            <w:tcW w:w="463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7" w:type="dxa"/>
            </w:tcMar>
          </w:tcPr>
          <w:p>
            <w:pPr>
              <w:pStyle w:val="Contedodatabela"/>
              <w:jc w:val="both"/>
              <w:rPr>
                <w:color w:val="00000A"/>
                <w:sz w:val="24"/>
              </w:rPr>
            </w:pPr>
            <w:r>
              <w:rPr/>
              <w:t>Cargo:</w:t>
            </w:r>
          </w:p>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50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7" w:type="dxa"/>
            </w:tcMar>
          </w:tcPr>
          <w:p>
            <w:pPr>
              <w:pStyle w:val="Normal1"/>
              <w:rPr/>
            </w:pPr>
            <w:r>
              <w:rPr/>
              <w:t>Matrícula SIAPE:</w:t>
            </w:r>
          </w:p>
        </w:tc>
      </w:tr>
      <w:tr>
        <w:trPr/>
        <w:tc>
          <w:tcPr>
            <w:tcW w:w="463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7" w:type="dxa"/>
            </w:tcMar>
          </w:tcPr>
          <w:p>
            <w:pPr>
              <w:pStyle w:val="Contedodatabela"/>
              <w:jc w:val="both"/>
              <w:rPr>
                <w:color w:val="00000A"/>
                <w:sz w:val="24"/>
              </w:rPr>
            </w:pPr>
            <w:r>
              <w:rPr/>
              <w:t>Unidade:</w:t>
            </w:r>
          </w:p>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50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7" w:type="dxa"/>
            </w:tcMar>
          </w:tcPr>
          <w:p>
            <w:pPr>
              <w:pStyle w:val="Contedodatabela"/>
              <w:jc w:val="both"/>
              <w:rPr>
                <w:color w:val="00000A"/>
                <w:sz w:val="24"/>
              </w:rPr>
            </w:pPr>
            <w:r>
              <w:rPr/>
              <w:t>Coordenação de Área/Departamento:</w:t>
            </w:r>
          </w:p>
        </w:tc>
      </w:tr>
    </w:tbl>
    <w:p>
      <w:pPr>
        <w:pStyle w:val="Normal1"/>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p>
      <w:pPr>
        <w:pStyle w:val="Normal1"/>
        <w:jc w:val="center"/>
        <w:rPr>
          <w:b/>
          <w:b/>
          <w:bCs/>
          <w:color w:val="000000"/>
          <w:highlight w:val="white"/>
        </w:rPr>
      </w:pPr>
      <w:r>
        <w:rPr>
          <w:b/>
          <w:bCs/>
          <w:color w:val="000000"/>
          <w:shd w:fill="FFFFFF" w:val="clear"/>
        </w:rPr>
        <w:t>ENCARGOS DIDÁTICOS</w:t>
      </w:r>
    </w:p>
    <w:p>
      <w:pPr>
        <w:pStyle w:val="Normal1"/>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bl>
      <w:tblPr>
        <w:tblW w:w="9638" w:type="dxa"/>
        <w:jc w:val="center"/>
        <w:tblInd w:w="0" w:type="dxa"/>
        <w:tblBorders>
          <w:top w:val="single" w:sz="2" w:space="0" w:color="000001"/>
          <w:left w:val="single" w:sz="2" w:space="0" w:color="000001"/>
          <w:bottom w:val="single" w:sz="2" w:space="0" w:color="000001"/>
          <w:insideH w:val="single" w:sz="2" w:space="0" w:color="000001"/>
        </w:tblBorders>
        <w:tblCellMar>
          <w:top w:w="55" w:type="dxa"/>
          <w:left w:w="7" w:type="dxa"/>
          <w:bottom w:w="55" w:type="dxa"/>
          <w:right w:w="55" w:type="dxa"/>
        </w:tblCellMar>
      </w:tblPr>
      <w:tblGrid>
        <w:gridCol w:w="2911"/>
        <w:gridCol w:w="2818"/>
        <w:gridCol w:w="2263"/>
        <w:gridCol w:w="6"/>
        <w:gridCol w:w="1639"/>
      </w:tblGrid>
      <w:tr>
        <w:trPr/>
        <w:tc>
          <w:tcPr>
            <w:tcW w:w="2911" w:type="dxa"/>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center"/>
              <w:rPr>
                <w:color w:val="00000A"/>
                <w:sz w:val="24"/>
              </w:rPr>
            </w:pPr>
            <w:r>
              <w:rPr/>
              <w:t>Unidade Curricular</w:t>
            </w:r>
          </w:p>
        </w:tc>
        <w:tc>
          <w:tcPr>
            <w:tcW w:w="2818" w:type="dxa"/>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center"/>
              <w:rPr>
                <w:color w:val="00000A"/>
                <w:sz w:val="24"/>
              </w:rPr>
            </w:pPr>
            <w:r>
              <w:rPr/>
              <w:t>Curso/Graduação</w:t>
            </w:r>
          </w:p>
        </w:tc>
        <w:tc>
          <w:tcPr>
            <w:tcW w:w="2263" w:type="dxa"/>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center"/>
              <w:rPr>
                <w:color w:val="00000A"/>
                <w:sz w:val="24"/>
              </w:rPr>
            </w:pPr>
            <w:r>
              <w:rPr/>
              <w:t>Horas-Aula</w:t>
            </w:r>
          </w:p>
        </w:tc>
        <w:tc>
          <w:tcPr>
            <w:tcW w:w="1645"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7" w:type="dxa"/>
            </w:tcMar>
          </w:tcPr>
          <w:p>
            <w:pPr>
              <w:pStyle w:val="Contedodatabela"/>
              <w:jc w:val="center"/>
              <w:rPr>
                <w:color w:val="00000A"/>
                <w:sz w:val="24"/>
              </w:rPr>
            </w:pPr>
            <w:r>
              <w:rPr/>
              <w:t>Pontos</w:t>
            </w:r>
          </w:p>
        </w:tc>
      </w:tr>
      <w:tr>
        <w:trPr/>
        <w:tc>
          <w:tcPr>
            <w:tcW w:w="2911" w:type="dxa"/>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2818" w:type="dxa"/>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2263" w:type="dxa"/>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1645"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7" w:type="dxa"/>
            </w:tcMar>
          </w:tcPr>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r>
      <w:tr>
        <w:trPr/>
        <w:tc>
          <w:tcPr>
            <w:tcW w:w="2911" w:type="dxa"/>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2818" w:type="dxa"/>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2263" w:type="dxa"/>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1645"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7" w:type="dxa"/>
            </w:tcMar>
          </w:tcPr>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r>
      <w:tr>
        <w:trPr/>
        <w:tc>
          <w:tcPr>
            <w:tcW w:w="2911" w:type="dxa"/>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center"/>
              <w:rPr>
                <w:color w:val="00000A"/>
                <w:sz w:val="24"/>
              </w:rPr>
            </w:pPr>
            <w:r>
              <w:rPr/>
              <w:t>Unidade Curricular</w:t>
            </w:r>
          </w:p>
        </w:tc>
        <w:tc>
          <w:tcPr>
            <w:tcW w:w="2818" w:type="dxa"/>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center"/>
              <w:rPr>
                <w:color w:val="00000A"/>
                <w:sz w:val="24"/>
              </w:rPr>
            </w:pPr>
            <w:r>
              <w:rPr/>
              <w:t>Pós-Graduação</w:t>
            </w:r>
          </w:p>
        </w:tc>
        <w:tc>
          <w:tcPr>
            <w:tcW w:w="2263" w:type="dxa"/>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center"/>
              <w:rPr>
                <w:color w:val="00000A"/>
                <w:sz w:val="24"/>
              </w:rPr>
            </w:pPr>
            <w:r>
              <w:rPr/>
              <w:t>Horas-Aula</w:t>
            </w:r>
          </w:p>
        </w:tc>
        <w:tc>
          <w:tcPr>
            <w:tcW w:w="1645"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7" w:type="dxa"/>
            </w:tcMar>
          </w:tcPr>
          <w:p>
            <w:pPr>
              <w:pStyle w:val="Contedodatabela"/>
              <w:jc w:val="center"/>
              <w:rPr>
                <w:color w:val="00000A"/>
                <w:sz w:val="24"/>
              </w:rPr>
            </w:pPr>
            <w:r>
              <w:rPr/>
              <w:t>Pontos</w:t>
            </w:r>
          </w:p>
        </w:tc>
      </w:tr>
      <w:tr>
        <w:trPr/>
        <w:tc>
          <w:tcPr>
            <w:tcW w:w="2911" w:type="dxa"/>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2818" w:type="dxa"/>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2263" w:type="dxa"/>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1645"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7" w:type="dxa"/>
            </w:tcMar>
          </w:tcPr>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r>
      <w:tr>
        <w:trPr/>
        <w:tc>
          <w:tcPr>
            <w:tcW w:w="2911" w:type="dxa"/>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2818" w:type="dxa"/>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2263" w:type="dxa"/>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1645"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7" w:type="dxa"/>
            </w:tcMar>
          </w:tcPr>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r>
      <w:tr>
        <w:trPr/>
        <w:tc>
          <w:tcPr>
            <w:tcW w:w="7998" w:type="dxa"/>
            <w:gridSpan w:val="4"/>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both"/>
              <w:rPr>
                <w:color w:val="00000A"/>
                <w:sz w:val="24"/>
              </w:rPr>
            </w:pPr>
            <w:r>
              <w:rPr/>
              <w:t>Subtotal</w:t>
            </w:r>
          </w:p>
        </w:tc>
        <w:tc>
          <w:tcPr>
            <w:tcW w:w="163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7" w:type="dxa"/>
            </w:tcMar>
          </w:tcPr>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r>
    </w:tbl>
    <w:p>
      <w:pPr>
        <w:pStyle w:val="Normal1"/>
        <w:rPr/>
      </w:pPr>
      <w:r>
        <w:rPr/>
      </w:r>
    </w:p>
    <w:p>
      <w:pPr>
        <w:pStyle w:val="Normal1"/>
        <w:jc w:val="center"/>
        <w:rPr>
          <w:rFonts w:ascii="Liberation Serif" w:hAnsi="Liberation Serif" w:eastAsia="DejaVu Sans" w:cs="FreeSans"/>
          <w:color w:val="FF0000"/>
          <w:sz w:val="24"/>
          <w:szCs w:val="24"/>
          <w:lang w:val="pt-BR" w:eastAsia="zh-CN" w:bidi="hi-IN"/>
        </w:rPr>
      </w:pPr>
      <w:r>
        <w:rPr>
          <w:rFonts w:eastAsia="DejaVu Sans" w:cs="FreeSans"/>
          <w:color w:val="FF0000"/>
          <w:sz w:val="24"/>
          <w:szCs w:val="24"/>
          <w:lang w:val="pt-BR" w:eastAsia="zh-CN" w:bidi="hi-IN"/>
        </w:rPr>
      </w:r>
    </w:p>
    <w:p>
      <w:pPr>
        <w:pStyle w:val="Normal1"/>
        <w:jc w:val="center"/>
        <w:rPr>
          <w:b/>
          <w:b/>
          <w:bCs/>
          <w:color w:val="000000"/>
        </w:rPr>
      </w:pPr>
      <w:r>
        <w:rPr>
          <w:b/>
          <w:bCs/>
          <w:color w:val="000000"/>
        </w:rPr>
        <w:t>ENCARGOS ACADÊMICOS</w:t>
      </w:r>
    </w:p>
    <w:p>
      <w:pPr>
        <w:pStyle w:val="Normal1"/>
        <w:rPr/>
      </w:pPr>
      <w:r>
        <w:rPr/>
      </w:r>
    </w:p>
    <w:tbl>
      <w:tblPr>
        <w:tblW w:w="9638" w:type="dxa"/>
        <w:jc w:val="center"/>
        <w:tblInd w:w="0" w:type="dxa"/>
        <w:tblBorders>
          <w:top w:val="single" w:sz="2" w:space="0" w:color="000001"/>
          <w:left w:val="single" w:sz="2" w:space="0" w:color="000001"/>
          <w:bottom w:val="single" w:sz="2" w:space="0" w:color="000001"/>
          <w:insideH w:val="single" w:sz="2" w:space="0" w:color="000001"/>
        </w:tblBorders>
        <w:tblCellMar>
          <w:top w:w="55" w:type="dxa"/>
          <w:left w:w="7" w:type="dxa"/>
          <w:bottom w:w="55" w:type="dxa"/>
          <w:right w:w="55" w:type="dxa"/>
        </w:tblCellMar>
      </w:tblPr>
      <w:tblGrid>
        <w:gridCol w:w="2404"/>
        <w:gridCol w:w="2411"/>
        <w:gridCol w:w="2398"/>
        <w:gridCol w:w="1"/>
        <w:gridCol w:w="2423"/>
      </w:tblGrid>
      <w:tr>
        <w:trPr/>
        <w:tc>
          <w:tcPr>
            <w:tcW w:w="2404" w:type="dxa"/>
            <w:vMerge w:val="restart"/>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both"/>
              <w:rPr>
                <w:color w:val="00000A"/>
                <w:sz w:val="24"/>
              </w:rPr>
            </w:pPr>
            <w:r>
              <w:rPr/>
              <w:t>Projeto(s) de Pesquisa</w:t>
            </w:r>
          </w:p>
        </w:tc>
        <w:tc>
          <w:tcPr>
            <w:tcW w:w="4810" w:type="dxa"/>
            <w:gridSpan w:val="3"/>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both"/>
              <w:rPr>
                <w:color w:val="00000A"/>
                <w:sz w:val="24"/>
              </w:rPr>
            </w:pPr>
            <w:r>
              <w:rPr/>
              <w:t>Título(s)</w:t>
            </w:r>
          </w:p>
        </w:tc>
        <w:tc>
          <w:tcPr>
            <w:tcW w:w="242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7" w:type="dxa"/>
            </w:tcMar>
          </w:tcPr>
          <w:p>
            <w:pPr>
              <w:pStyle w:val="Contedodatabela"/>
              <w:jc w:val="both"/>
              <w:rPr>
                <w:color w:val="00000A"/>
                <w:sz w:val="24"/>
              </w:rPr>
            </w:pPr>
            <w:r>
              <w:rPr/>
              <w:t>Nº de registro</w:t>
            </w:r>
          </w:p>
        </w:tc>
      </w:tr>
      <w:tr>
        <w:trPr/>
        <w:tc>
          <w:tcPr>
            <w:tcW w:w="2404" w:type="dxa"/>
            <w:vMerge w:val="continue"/>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Normal1"/>
              <w:rPr/>
            </w:pPr>
            <w:r>
              <w:rPr/>
            </w:r>
          </w:p>
        </w:tc>
        <w:tc>
          <w:tcPr>
            <w:tcW w:w="4810" w:type="dxa"/>
            <w:gridSpan w:val="3"/>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242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7" w:type="dxa"/>
            </w:tcMar>
          </w:tcPr>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r>
      <w:tr>
        <w:trPr/>
        <w:tc>
          <w:tcPr>
            <w:tcW w:w="2404" w:type="dxa"/>
            <w:vMerge w:val="restart"/>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both"/>
              <w:rPr>
                <w:color w:val="00000A"/>
                <w:sz w:val="24"/>
              </w:rPr>
            </w:pPr>
            <w:r>
              <w:rPr/>
              <w:t>Projeto(s) de Extensão</w:t>
            </w:r>
          </w:p>
        </w:tc>
        <w:tc>
          <w:tcPr>
            <w:tcW w:w="4810" w:type="dxa"/>
            <w:gridSpan w:val="3"/>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both"/>
              <w:rPr>
                <w:color w:val="00000A"/>
                <w:sz w:val="24"/>
              </w:rPr>
            </w:pPr>
            <w:r>
              <w:rPr/>
              <w:t>Título(s)</w:t>
            </w:r>
          </w:p>
        </w:tc>
        <w:tc>
          <w:tcPr>
            <w:tcW w:w="242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7" w:type="dxa"/>
            </w:tcMar>
          </w:tcPr>
          <w:p>
            <w:pPr>
              <w:pStyle w:val="Contedodatabela"/>
              <w:jc w:val="both"/>
              <w:rPr>
                <w:color w:val="00000A"/>
                <w:sz w:val="24"/>
              </w:rPr>
            </w:pPr>
            <w:r>
              <w:rPr/>
              <w:t>Nº de registro</w:t>
            </w:r>
          </w:p>
        </w:tc>
      </w:tr>
      <w:tr>
        <w:trPr/>
        <w:tc>
          <w:tcPr>
            <w:tcW w:w="2404" w:type="dxa"/>
            <w:vMerge w:val="continue"/>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Normal1"/>
              <w:rPr/>
            </w:pPr>
            <w:r>
              <w:rPr/>
            </w:r>
          </w:p>
        </w:tc>
        <w:tc>
          <w:tcPr>
            <w:tcW w:w="4810" w:type="dxa"/>
            <w:gridSpan w:val="3"/>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242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7" w:type="dxa"/>
            </w:tcMar>
          </w:tcPr>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r>
      <w:tr>
        <w:trPr/>
        <w:tc>
          <w:tcPr>
            <w:tcW w:w="2404" w:type="dxa"/>
            <w:vMerge w:val="restart"/>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both"/>
              <w:rPr>
                <w:color w:val="00000A"/>
                <w:sz w:val="24"/>
              </w:rPr>
            </w:pPr>
            <w:r>
              <w:rPr/>
              <w:t>Orientação de alunos</w:t>
            </w:r>
          </w:p>
        </w:tc>
        <w:tc>
          <w:tcPr>
            <w:tcW w:w="2411" w:type="dxa"/>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center"/>
              <w:rPr>
                <w:color w:val="00000A"/>
                <w:sz w:val="24"/>
              </w:rPr>
            </w:pPr>
            <w:r>
              <w:rPr/>
              <w:t>Graduação (nº)</w:t>
            </w:r>
          </w:p>
        </w:tc>
        <w:tc>
          <w:tcPr>
            <w:tcW w:w="2398" w:type="dxa"/>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center"/>
              <w:rPr>
                <w:color w:val="00000A"/>
                <w:sz w:val="24"/>
              </w:rPr>
            </w:pPr>
            <w:r>
              <w:rPr/>
              <w:t>Mestrado (nº)</w:t>
            </w:r>
          </w:p>
        </w:tc>
        <w:tc>
          <w:tcPr>
            <w:tcW w:w="2424"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7" w:type="dxa"/>
            </w:tcMar>
          </w:tcPr>
          <w:p>
            <w:pPr>
              <w:pStyle w:val="Contedodatabela"/>
              <w:jc w:val="center"/>
              <w:rPr>
                <w:color w:val="00000A"/>
                <w:sz w:val="24"/>
              </w:rPr>
            </w:pPr>
            <w:r>
              <w:rPr/>
              <w:t>Doutorado (nº)</w:t>
            </w:r>
          </w:p>
        </w:tc>
      </w:tr>
      <w:tr>
        <w:trPr/>
        <w:tc>
          <w:tcPr>
            <w:tcW w:w="2404" w:type="dxa"/>
            <w:vMerge w:val="continue"/>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Normal1"/>
              <w:rPr/>
            </w:pPr>
            <w:r>
              <w:rPr/>
            </w:r>
          </w:p>
        </w:tc>
        <w:tc>
          <w:tcPr>
            <w:tcW w:w="2411" w:type="dxa"/>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2398" w:type="dxa"/>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2424"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7" w:type="dxa"/>
            </w:tcMar>
          </w:tcPr>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r>
      <w:tr>
        <w:trPr/>
        <w:tc>
          <w:tcPr>
            <w:tcW w:w="2404" w:type="dxa"/>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both"/>
              <w:rPr>
                <w:color w:val="00000A"/>
                <w:sz w:val="24"/>
              </w:rPr>
            </w:pPr>
            <w:r>
              <w:rPr/>
              <w:t>Atividades Administrativas</w:t>
            </w:r>
          </w:p>
        </w:tc>
        <w:tc>
          <w:tcPr>
            <w:tcW w:w="2411" w:type="dxa"/>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center"/>
              <w:rPr>
                <w:color w:val="00000A"/>
                <w:sz w:val="24"/>
              </w:rPr>
            </w:pPr>
            <w:r>
              <w:rPr/>
              <w:t>Pró-Reitorias</w:t>
            </w:r>
          </w:p>
        </w:tc>
        <w:tc>
          <w:tcPr>
            <w:tcW w:w="2398" w:type="dxa"/>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center"/>
              <w:rPr>
                <w:color w:val="00000A"/>
                <w:sz w:val="24"/>
              </w:rPr>
            </w:pPr>
            <w:r>
              <w:rPr/>
              <w:t>Direção</w:t>
            </w:r>
          </w:p>
        </w:tc>
        <w:tc>
          <w:tcPr>
            <w:tcW w:w="2424"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7" w:type="dxa"/>
            </w:tcMar>
          </w:tcPr>
          <w:p>
            <w:pPr>
              <w:pStyle w:val="Contedodatabela"/>
              <w:jc w:val="center"/>
              <w:rPr>
                <w:color w:val="00000A"/>
                <w:sz w:val="24"/>
              </w:rPr>
            </w:pPr>
            <w:r>
              <w:rPr/>
              <w:t>Coordenação</w:t>
            </w:r>
          </w:p>
        </w:tc>
      </w:tr>
      <w:tr>
        <w:trPr/>
        <w:tc>
          <w:tcPr>
            <w:tcW w:w="2404" w:type="dxa"/>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2411" w:type="dxa"/>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2398" w:type="dxa"/>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2424"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7" w:type="dxa"/>
            </w:tcMar>
          </w:tcPr>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r>
      <w:tr>
        <w:trPr/>
        <w:tc>
          <w:tcPr>
            <w:tcW w:w="2404" w:type="dxa"/>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2411" w:type="dxa"/>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2398" w:type="dxa"/>
            <w:tcBorders>
              <w:top w:val="single" w:sz="2" w:space="0" w:color="000001"/>
              <w:left w:val="single" w:sz="2" w:space="0" w:color="000001"/>
              <w:bottom w:val="single" w:sz="2" w:space="0" w:color="000001"/>
              <w:insideH w:val="single" w:sz="2" w:space="0" w:color="000001"/>
            </w:tcBorders>
            <w:shd w:color="auto" w:fill="auto" w:val="clear"/>
            <w:tcMar>
              <w:left w:w="7" w:type="dxa"/>
            </w:tcMar>
          </w:tcPr>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2424"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7" w:type="dxa"/>
            </w:tcMar>
          </w:tcPr>
          <w:p>
            <w:pPr>
              <w:pStyle w:val="Contedodatabela"/>
              <w:jc w:val="both"/>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r>
    </w:tbl>
    <w:p>
      <w:pPr>
        <w:pStyle w:val="Normal1"/>
        <w:rPr/>
      </w:pPr>
      <w:r>
        <w:rPr/>
      </w:r>
    </w:p>
    <w:p>
      <w:pPr>
        <w:pStyle w:val="Normal1"/>
        <w:rPr/>
      </w:pPr>
      <w:r>
        <w:rPr/>
      </w:r>
    </w:p>
    <w:p>
      <w:pPr>
        <w:pStyle w:val="Normal1"/>
        <w:rPr/>
      </w:pPr>
      <w:r>
        <w:rPr/>
      </w:r>
    </w:p>
    <w:p>
      <w:pPr>
        <w:pStyle w:val="Normal1"/>
        <w:jc w:val="center"/>
        <w:rPr>
          <w:b/>
          <w:b/>
          <w:bCs/>
        </w:rPr>
      </w:pPr>
      <w:r>
        <w:rPr>
          <w:b/>
          <w:bCs/>
        </w:rPr>
        <w:t>JUSTIFICATIVA</w:t>
      </w:r>
    </w:p>
    <w:p>
      <w:pPr>
        <w:pStyle w:val="Normal1"/>
        <w:jc w:val="center"/>
        <w:rPr>
          <w:rFonts w:ascii="Liberation Serif" w:hAnsi="Liberation Serif" w:eastAsia="DejaVu Sans" w:cs="FreeSans"/>
          <w:b/>
          <w:b/>
          <w:bCs/>
          <w:color w:val="00000A"/>
          <w:sz w:val="24"/>
          <w:szCs w:val="24"/>
          <w:lang w:val="pt-BR" w:eastAsia="zh-CN" w:bidi="hi-IN"/>
        </w:rPr>
      </w:pPr>
      <w:r>
        <w:rPr>
          <w:rFonts w:eastAsia="DejaVu Sans" w:cs="FreeSans"/>
          <w:b/>
          <w:bCs/>
          <w:color w:val="00000A"/>
          <w:sz w:val="24"/>
          <w:szCs w:val="24"/>
          <w:lang w:val="pt-BR" w:eastAsia="zh-CN" w:bidi="hi-IN"/>
        </w:rPr>
      </w:r>
    </w:p>
    <w:tbl>
      <w:tblPr>
        <w:tblW w:w="9638" w:type="dxa"/>
        <w:jc w:val="center"/>
        <w:tblInd w:w="0"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7" w:type="dxa"/>
          <w:bottom w:w="55" w:type="dxa"/>
          <w:right w:w="55" w:type="dxa"/>
        </w:tblCellMar>
      </w:tblPr>
      <w:tblGrid>
        <w:gridCol w:w="9638"/>
      </w:tblGrid>
      <w:tr>
        <w:trPr/>
        <w:tc>
          <w:tcPr>
            <w:tcW w:w="963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7" w:type="dxa"/>
            </w:tcMar>
          </w:tcPr>
          <w:p>
            <w:pPr>
              <w:pStyle w:val="Contedodatabela"/>
              <w:rPr/>
            </w:pPr>
            <w:r>
              <w:rPr/>
            </w:r>
          </w:p>
          <w:p>
            <w:pPr>
              <w:pStyle w:val="Contedodatabela"/>
              <w:rPr/>
            </w:pPr>
            <w:r>
              <w:rPr/>
            </w:r>
          </w:p>
          <w:p>
            <w:pPr>
              <w:pStyle w:val="Contedodatabela"/>
              <w:rPr/>
            </w:pPr>
            <w:r>
              <w:rPr/>
            </w:r>
          </w:p>
          <w:p>
            <w:pPr>
              <w:pStyle w:val="Contedodatabela"/>
              <w:rPr/>
            </w:pPr>
            <w:r>
              <w:rPr/>
            </w:r>
          </w:p>
          <w:p>
            <w:pPr>
              <w:pStyle w:val="Contedodatabela"/>
              <w:rPr/>
            </w:pPr>
            <w:r>
              <w:rPr/>
            </w:r>
          </w:p>
          <w:p>
            <w:pPr>
              <w:pStyle w:val="Contedodatabela"/>
              <w:rPr/>
            </w:pPr>
            <w:r>
              <w:rPr/>
            </w:r>
          </w:p>
          <w:p>
            <w:pPr>
              <w:pStyle w:val="Contedodatabela"/>
              <w:rPr/>
            </w:pPr>
            <w:r>
              <w:rPr/>
            </w:r>
          </w:p>
          <w:p>
            <w:pPr>
              <w:pStyle w:val="Contedodatabela"/>
              <w:rPr/>
            </w:pPr>
            <w:r>
              <w:rPr/>
            </w:r>
          </w:p>
          <w:p>
            <w:pPr>
              <w:pStyle w:val="Contedodatabela"/>
              <w:rPr/>
            </w:pPr>
            <w:r>
              <w:rPr/>
            </w:r>
          </w:p>
          <w:p>
            <w:pPr>
              <w:pStyle w:val="Contedodatabela"/>
              <w:rPr/>
            </w:pPr>
            <w:r>
              <w:rPr/>
            </w:r>
          </w:p>
          <w:p>
            <w:pPr>
              <w:pStyle w:val="Contedodatabela"/>
              <w:rPr/>
            </w:pPr>
            <w:r>
              <w:rPr/>
            </w:r>
          </w:p>
        </w:tc>
      </w:tr>
    </w:tbl>
    <w:p>
      <w:pPr>
        <w:pStyle w:val="Normal1"/>
        <w:rPr/>
      </w:pPr>
      <w:r>
        <w:rPr/>
      </w:r>
    </w:p>
    <w:p>
      <w:pPr>
        <w:pStyle w:val="Normal1"/>
        <w:jc w:val="center"/>
        <w:rPr>
          <w:color w:val="00000A"/>
          <w:sz w:val="24"/>
        </w:rPr>
      </w:pPr>
      <w:r>
        <w:rPr/>
        <w:t>EM ___________/____________/______________.</w:t>
      </w:r>
    </w:p>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p>
      <w:pPr>
        <w:pStyle w:val="Normal1"/>
        <w:jc w:val="center"/>
        <w:rPr>
          <w:color w:val="00000A"/>
          <w:sz w:val="24"/>
        </w:rPr>
      </w:pPr>
      <w:r>
        <w:rPr/>
        <w:t>________________________________</w:t>
      </w:r>
    </w:p>
    <w:p>
      <w:pPr>
        <w:pStyle w:val="Normal1"/>
        <w:jc w:val="center"/>
        <w:rPr>
          <w:rFonts w:ascii="Arial" w:hAnsi="Arial"/>
          <w:sz w:val="22"/>
          <w:szCs w:val="22"/>
        </w:rPr>
      </w:pPr>
      <w:r>
        <w:rPr>
          <w:rFonts w:ascii="Arial" w:hAnsi="Arial"/>
          <w:sz w:val="22"/>
          <w:szCs w:val="22"/>
        </w:rPr>
        <w:t>Servidor</w:t>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suppressAutoHyphens w:val="false"/>
        <w:overflowPunct w:val="true"/>
        <w:textAlignment w:val="auto"/>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tbl>
      <w:tblPr>
        <w:tblW w:w="9638" w:type="dxa"/>
        <w:jc w:val="center"/>
        <w:tblInd w:w="0" w:type="dxa"/>
        <w:tblBorders>
          <w:top w:val="double" w:sz="4" w:space="0" w:color="00000A"/>
          <w:left w:val="double" w:sz="4" w:space="0" w:color="00000A"/>
          <w:bottom w:val="single" w:sz="4" w:space="0" w:color="00000A"/>
          <w:right w:val="double" w:sz="4" w:space="0" w:color="00000A"/>
          <w:insideH w:val="single" w:sz="4" w:space="0" w:color="00000A"/>
          <w:insideV w:val="double" w:sz="4" w:space="0" w:color="00000A"/>
        </w:tblBorders>
        <w:tblCellMar>
          <w:top w:w="0" w:type="dxa"/>
          <w:left w:w="-15" w:type="dxa"/>
          <w:bottom w:w="0" w:type="dxa"/>
          <w:right w:w="70" w:type="dxa"/>
        </w:tblCellMar>
      </w:tblPr>
      <w:tblGrid>
        <w:gridCol w:w="2661"/>
        <w:gridCol w:w="5245"/>
        <w:gridCol w:w="1732"/>
      </w:tblGrid>
      <w:tr>
        <w:trPr>
          <w:trHeight w:val="398" w:hRule="atLeast"/>
        </w:trPr>
        <w:tc>
          <w:tcPr>
            <w:tcW w:w="9638" w:type="dxa"/>
            <w:gridSpan w:val="3"/>
            <w:tcBorders>
              <w:top w:val="double" w:sz="4" w:space="0" w:color="00000A"/>
              <w:left w:val="double" w:sz="4" w:space="0" w:color="00000A"/>
              <w:bottom w:val="single" w:sz="4" w:space="0" w:color="00000A"/>
              <w:right w:val="double" w:sz="4" w:space="0" w:color="00000A"/>
              <w:insideH w:val="single" w:sz="4" w:space="0" w:color="00000A"/>
              <w:insideV w:val="double" w:sz="4" w:space="0" w:color="00000A"/>
            </w:tcBorders>
            <w:shd w:color="auto" w:fill="auto" w:val="clear"/>
            <w:tcMar>
              <w:left w:w="-15" w:type="dxa"/>
            </w:tcMar>
            <w:vAlign w:val="center"/>
          </w:tcPr>
          <w:p>
            <w:pPr>
              <w:pStyle w:val="Normal1"/>
              <w:jc w:val="center"/>
              <w:rPr>
                <w:b/>
                <w:b/>
                <w:sz w:val="28"/>
              </w:rPr>
            </w:pPr>
            <w:r>
              <w:rPr>
                <w:b/>
                <w:sz w:val="28"/>
              </w:rPr>
              <w:t>UNIVERSIDADE FEDERAL DOS VALES DO JEQUITINHONHA E MUCURI</w:t>
            </w:r>
          </w:p>
        </w:tc>
      </w:tr>
      <w:tr>
        <w:trPr>
          <w:trHeight w:val="398" w:hRule="atLeast"/>
        </w:trPr>
        <w:tc>
          <w:tcPr>
            <w:tcW w:w="9638" w:type="dxa"/>
            <w:gridSpan w:val="3"/>
            <w:tcBorders>
              <w:top w:val="single" w:sz="4" w:space="0" w:color="00000A"/>
              <w:left w:val="double" w:sz="4" w:space="0" w:color="00000A"/>
              <w:bottom w:val="single" w:sz="4" w:space="0" w:color="00000A"/>
              <w:right w:val="double" w:sz="4" w:space="0" w:color="00000A"/>
              <w:insideH w:val="single" w:sz="4" w:space="0" w:color="00000A"/>
              <w:insideV w:val="double" w:sz="4" w:space="0" w:color="00000A"/>
            </w:tcBorders>
            <w:shd w:color="auto" w:fill="auto" w:val="clear"/>
            <w:tcMar>
              <w:left w:w="-15" w:type="dxa"/>
            </w:tcMar>
            <w:vAlign w:val="center"/>
          </w:tcPr>
          <w:p>
            <w:pPr>
              <w:pStyle w:val="Normal1"/>
              <w:jc w:val="center"/>
              <w:rPr>
                <w:b/>
                <w:b/>
                <w:bCs/>
                <w:color w:val="000000"/>
                <w:highlight w:val="white"/>
              </w:rPr>
            </w:pPr>
            <w:r>
              <w:rPr>
                <w:b/>
                <w:bCs/>
                <w:color w:val="000000"/>
                <w:shd w:fill="FFFFFF" w:val="clear"/>
              </w:rPr>
              <w:t>PLANO DE TRABALHO DOCENTE - Previsto</w:t>
            </w:r>
          </w:p>
        </w:tc>
      </w:tr>
      <w:tr>
        <w:trPr>
          <w:trHeight w:val="320" w:hRule="atLeast"/>
        </w:trPr>
        <w:tc>
          <w:tcPr>
            <w:tcW w:w="2661" w:type="dxa"/>
            <w:tcBorders>
              <w:top w:val="single" w:sz="4" w:space="0" w:color="00000A"/>
              <w:left w:val="double" w:sz="4" w:space="0" w:color="00000A"/>
              <w:bottom w:val="single" w:sz="4" w:space="0" w:color="00000A"/>
              <w:right w:val="single" w:sz="4" w:space="0" w:color="00000A"/>
              <w:insideH w:val="single" w:sz="4" w:space="0" w:color="00000A"/>
              <w:insideV w:val="single" w:sz="4" w:space="0" w:color="00000A"/>
            </w:tcBorders>
            <w:shd w:color="auto" w:fill="auto" w:val="clear"/>
            <w:tcMar>
              <w:left w:w="-15" w:type="dxa"/>
            </w:tcMar>
            <w:vAlign w:val="center"/>
          </w:tcPr>
          <w:p>
            <w:pPr>
              <w:pStyle w:val="Ttulo2"/>
              <w:spacing w:before="240" w:after="120"/>
              <w:jc w:val="left"/>
              <w:rPr>
                <w:b w:val="false"/>
                <w:b w:val="false"/>
                <w:sz w:val="24"/>
              </w:rPr>
            </w:pPr>
            <w:r>
              <w:rPr>
                <w:b w:val="false"/>
                <w:sz w:val="24"/>
              </w:rPr>
              <w:t>Siape:</w:t>
            </w:r>
          </w:p>
        </w:tc>
        <w:tc>
          <w:tcPr>
            <w:tcW w:w="5245" w:type="dxa"/>
            <w:tcBorders>
              <w:top w:val="single" w:sz="4" w:space="0" w:color="00000A"/>
              <w:left w:val="double" w:sz="4" w:space="0" w:color="00000A"/>
              <w:bottom w:val="single" w:sz="4" w:space="0" w:color="00000A"/>
              <w:right w:val="single" w:sz="4" w:space="0" w:color="00000A"/>
              <w:insideH w:val="single" w:sz="4" w:space="0" w:color="00000A"/>
              <w:insideV w:val="single" w:sz="4" w:space="0" w:color="00000A"/>
            </w:tcBorders>
            <w:shd w:color="auto" w:fill="auto" w:val="clear"/>
            <w:tcMar>
              <w:left w:w="-15" w:type="dxa"/>
            </w:tcMar>
            <w:vAlign w:val="center"/>
          </w:tcPr>
          <w:p>
            <w:pPr>
              <w:pStyle w:val="Ttulo2"/>
              <w:keepNext/>
              <w:widowControl w:val="false"/>
              <w:numPr>
                <w:ilvl w:val="0"/>
                <w:numId w:val="0"/>
              </w:numPr>
              <w:overflowPunct w:val="true"/>
              <w:bidi w:val="0"/>
              <w:spacing w:before="240" w:after="120"/>
              <w:jc w:val="center"/>
              <w:outlineLvl w:val="1"/>
              <w:rPr>
                <w:b w:val="false"/>
                <w:b w:val="false"/>
                <w:sz w:val="24"/>
              </w:rPr>
            </w:pPr>
            <w:r>
              <w:rPr>
                <w:b w:val="false"/>
                <w:sz w:val="24"/>
              </w:rPr>
              <w:t>Unidade de lotação:</w:t>
            </w:r>
          </w:p>
        </w:tc>
        <w:tc>
          <w:tcPr>
            <w:tcW w:w="1732" w:type="dxa"/>
            <w:tcBorders>
              <w:top w:val="single" w:sz="4" w:space="0" w:color="00000A"/>
              <w:left w:val="single" w:sz="4" w:space="0" w:color="00000A"/>
              <w:bottom w:val="single" w:sz="4" w:space="0" w:color="00000A"/>
              <w:right w:val="double" w:sz="4" w:space="0" w:color="00000A"/>
              <w:insideH w:val="single" w:sz="4" w:space="0" w:color="00000A"/>
              <w:insideV w:val="double" w:sz="4" w:space="0" w:color="00000A"/>
            </w:tcBorders>
            <w:shd w:color="auto" w:fill="auto" w:val="clear"/>
            <w:tcMar>
              <w:left w:w="14" w:type="dxa"/>
            </w:tcMar>
            <w:vAlign w:val="center"/>
          </w:tcPr>
          <w:p>
            <w:pPr>
              <w:pStyle w:val="Normal1"/>
              <w:rPr/>
            </w:pPr>
            <w:r>
              <w:rPr/>
              <w:t>Ano:</w:t>
            </w:r>
          </w:p>
        </w:tc>
      </w:tr>
      <w:tr>
        <w:trPr>
          <w:trHeight w:val="320" w:hRule="atLeast"/>
        </w:trPr>
        <w:tc>
          <w:tcPr>
            <w:tcW w:w="7906" w:type="dxa"/>
            <w:gridSpan w:val="2"/>
            <w:tcBorders>
              <w:top w:val="single" w:sz="4" w:space="0" w:color="00000A"/>
              <w:left w:val="double" w:sz="4" w:space="0" w:color="00000A"/>
              <w:bottom w:val="single" w:sz="4" w:space="0" w:color="00000A"/>
              <w:right w:val="single" w:sz="4" w:space="0" w:color="00000A"/>
              <w:insideH w:val="single" w:sz="4" w:space="0" w:color="00000A"/>
              <w:insideV w:val="single" w:sz="4" w:space="0" w:color="00000A"/>
            </w:tcBorders>
            <w:shd w:color="auto" w:fill="auto" w:val="clear"/>
            <w:tcMar>
              <w:left w:w="-15" w:type="dxa"/>
            </w:tcMar>
            <w:vAlign w:val="center"/>
          </w:tcPr>
          <w:p>
            <w:pPr>
              <w:pStyle w:val="Normal1"/>
              <w:rPr>
                <w:color w:val="FF0000"/>
              </w:rPr>
            </w:pPr>
            <w:r>
              <w:rPr/>
              <w:t>Docente:</w:t>
            </w:r>
          </w:p>
        </w:tc>
        <w:tc>
          <w:tcPr>
            <w:tcW w:w="1732" w:type="dxa"/>
            <w:tcBorders>
              <w:top w:val="single" w:sz="4" w:space="0" w:color="00000A"/>
              <w:left w:val="single" w:sz="4" w:space="0" w:color="00000A"/>
              <w:bottom w:val="single" w:sz="4" w:space="0" w:color="00000A"/>
              <w:right w:val="double" w:sz="4" w:space="0" w:color="00000A"/>
              <w:insideH w:val="single" w:sz="4" w:space="0" w:color="00000A"/>
              <w:insideV w:val="double" w:sz="4" w:space="0" w:color="00000A"/>
            </w:tcBorders>
            <w:shd w:color="auto" w:fill="auto" w:val="clear"/>
            <w:tcMar>
              <w:left w:w="14" w:type="dxa"/>
            </w:tcMar>
            <w:vAlign w:val="center"/>
          </w:tcPr>
          <w:p>
            <w:pPr>
              <w:pStyle w:val="Normal1"/>
              <w:rPr/>
            </w:pPr>
            <w:r>
              <w:rPr/>
              <w:t>Semestre:</w:t>
            </w:r>
          </w:p>
        </w:tc>
      </w:tr>
    </w:tbl>
    <w:p>
      <w:pPr>
        <w:pStyle w:val="Normal1"/>
        <w:rPr/>
      </w:pPr>
      <w:r>
        <w:rPr/>
      </w:r>
    </w:p>
    <w:p>
      <w:pPr>
        <w:pStyle w:val="Ttulo3"/>
        <w:rPr>
          <w:sz w:val="24"/>
        </w:rPr>
      </w:pPr>
      <w:r>
        <w:rPr>
          <w:sz w:val="24"/>
        </w:rPr>
        <w:t xml:space="preserve">Grupo I – Atividades de ensino </w:t>
      </w:r>
    </w:p>
    <w:tbl>
      <w:tblPr>
        <w:tblW w:w="9638" w:type="dxa"/>
        <w:jc w:val="center"/>
        <w:tblInd w:w="0" w:type="dxa"/>
        <w:tblBorders>
          <w:top w:val="double" w:sz="4" w:space="0" w:color="00000A"/>
          <w:left w:val="double" w:sz="4" w:space="0" w:color="00000A"/>
          <w:bottom w:val="single" w:sz="4" w:space="0" w:color="00000A"/>
          <w:right w:val="double" w:sz="4" w:space="0" w:color="00000A"/>
          <w:insideH w:val="single" w:sz="4" w:space="0" w:color="00000A"/>
          <w:insideV w:val="double" w:sz="4" w:space="0" w:color="00000A"/>
        </w:tblBorders>
        <w:tblCellMar>
          <w:top w:w="0" w:type="dxa"/>
          <w:left w:w="-15" w:type="dxa"/>
          <w:bottom w:w="0" w:type="dxa"/>
          <w:right w:w="70" w:type="dxa"/>
        </w:tblCellMar>
      </w:tblPr>
      <w:tblGrid>
        <w:gridCol w:w="878"/>
        <w:gridCol w:w="5196"/>
        <w:gridCol w:w="888"/>
        <w:gridCol w:w="1013"/>
        <w:gridCol w:w="1663"/>
      </w:tblGrid>
      <w:tr>
        <w:trPr>
          <w:trHeight w:val="360" w:hRule="atLeast"/>
          <w:cantSplit w:val="true"/>
        </w:trPr>
        <w:tc>
          <w:tcPr>
            <w:tcW w:w="9638" w:type="dxa"/>
            <w:gridSpan w:val="5"/>
            <w:tcBorders>
              <w:top w:val="double" w:sz="4" w:space="0" w:color="00000A"/>
              <w:left w:val="double" w:sz="4" w:space="0" w:color="00000A"/>
              <w:bottom w:val="single" w:sz="4" w:space="0" w:color="00000A"/>
              <w:right w:val="double" w:sz="4" w:space="0" w:color="00000A"/>
              <w:insideH w:val="single" w:sz="4" w:space="0" w:color="00000A"/>
              <w:insideV w:val="double" w:sz="4" w:space="0" w:color="00000A"/>
            </w:tcBorders>
            <w:shd w:color="auto" w:fill="auto" w:val="clear"/>
            <w:tcMar>
              <w:left w:w="-15" w:type="dxa"/>
            </w:tcMar>
            <w:vAlign w:val="center"/>
          </w:tcPr>
          <w:p>
            <w:pPr>
              <w:pStyle w:val="Normal1"/>
              <w:jc w:val="center"/>
              <w:rPr>
                <w:b/>
                <w:b/>
              </w:rPr>
            </w:pPr>
            <w:r>
              <w:rPr>
                <w:b/>
              </w:rPr>
              <w:t>DISCIPLINAS MINISTRADAS – 2014-2</w:t>
            </w:r>
          </w:p>
        </w:tc>
      </w:tr>
      <w:tr>
        <w:trPr/>
        <w:tc>
          <w:tcPr>
            <w:tcW w:w="878" w:type="dxa"/>
            <w:tcBorders>
              <w:top w:val="single" w:sz="4" w:space="0" w:color="00000A"/>
              <w:left w:val="double" w:sz="4" w:space="0" w:color="00000A"/>
              <w:bottom w:val="single" w:sz="4" w:space="0" w:color="00000A"/>
              <w:right w:val="single" w:sz="4" w:space="0" w:color="00000A"/>
              <w:insideH w:val="single" w:sz="4" w:space="0" w:color="00000A"/>
              <w:insideV w:val="single" w:sz="4" w:space="0" w:color="00000A"/>
            </w:tcBorders>
            <w:shd w:color="auto" w:fill="auto" w:val="clear"/>
            <w:tcMar>
              <w:left w:w="-15" w:type="dxa"/>
            </w:tcMar>
            <w:vAlign w:val="center"/>
          </w:tcPr>
          <w:p>
            <w:pPr>
              <w:pStyle w:val="Normal1"/>
              <w:jc w:val="center"/>
              <w:rPr>
                <w:color w:val="00000A"/>
                <w:sz w:val="24"/>
              </w:rPr>
            </w:pPr>
            <w:r>
              <w:rPr/>
              <w:t>Sigla</w:t>
            </w:r>
          </w:p>
        </w:tc>
        <w:tc>
          <w:tcPr>
            <w:tcW w:w="51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vAlign w:val="center"/>
          </w:tcPr>
          <w:p>
            <w:pPr>
              <w:pStyle w:val="Normal1"/>
              <w:jc w:val="center"/>
              <w:rPr>
                <w:color w:val="00000A"/>
                <w:sz w:val="24"/>
              </w:rPr>
            </w:pPr>
            <w:r>
              <w:rPr/>
              <w:t>Nome</w:t>
            </w:r>
          </w:p>
        </w:tc>
        <w:tc>
          <w:tcPr>
            <w:tcW w:w="88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vAlign w:val="center"/>
          </w:tcPr>
          <w:p>
            <w:pPr>
              <w:pStyle w:val="Normal1"/>
              <w:jc w:val="center"/>
              <w:rPr/>
            </w:pPr>
            <w:r>
              <w:rPr/>
              <w:t>Nível</w:t>
            </w:r>
            <w:r>
              <w:rPr>
                <w:vertAlign w:val="superscript"/>
              </w:rPr>
              <w:t>1</w:t>
            </w:r>
          </w:p>
        </w:tc>
        <w:tc>
          <w:tcPr>
            <w:tcW w:w="101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vAlign w:val="center"/>
          </w:tcPr>
          <w:p>
            <w:pPr>
              <w:pStyle w:val="Normal1"/>
              <w:jc w:val="center"/>
              <w:rPr>
                <w:vertAlign w:val="superscript"/>
              </w:rPr>
            </w:pPr>
            <w:r>
              <w:rPr/>
              <w:t>Alunos</w:t>
            </w:r>
            <w:r>
              <w:rPr>
                <w:vertAlign w:val="superscript"/>
              </w:rPr>
              <w:t>2</w:t>
            </w:r>
          </w:p>
        </w:tc>
        <w:tc>
          <w:tcPr>
            <w:tcW w:w="166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vAlign w:val="center"/>
          </w:tcPr>
          <w:p>
            <w:pPr>
              <w:pStyle w:val="Normal1"/>
              <w:jc w:val="center"/>
              <w:rPr>
                <w:vertAlign w:val="superscript"/>
              </w:rPr>
            </w:pPr>
            <w:r>
              <w:rPr/>
              <w:t>Horas</w:t>
            </w:r>
            <w:r>
              <w:rPr>
                <w:vertAlign w:val="superscript"/>
              </w:rPr>
              <w:t>3</w:t>
            </w:r>
          </w:p>
        </w:tc>
      </w:tr>
      <w:tr>
        <w:trPr/>
        <w:tc>
          <w:tcPr>
            <w:tcW w:w="878" w:type="dxa"/>
            <w:tcBorders>
              <w:top w:val="single" w:sz="4" w:space="0" w:color="00000A"/>
              <w:left w:val="double" w:sz="4" w:space="0" w:color="00000A"/>
              <w:bottom w:val="single" w:sz="4" w:space="0" w:color="00000A"/>
              <w:right w:val="single" w:sz="4" w:space="0" w:color="00000A"/>
              <w:insideH w:val="single" w:sz="4" w:space="0" w:color="00000A"/>
              <w:insideV w:val="single" w:sz="4" w:space="0" w:color="00000A"/>
            </w:tcBorders>
            <w:shd w:color="auto" w:fill="auto" w:val="clear"/>
            <w:tcMar>
              <w:left w:w="-15" w:type="dxa"/>
            </w:tcMar>
          </w:tcPr>
          <w:p>
            <w:pPr>
              <w:pStyle w:val="Normal1"/>
              <w:rPr/>
            </w:pPr>
            <w:r>
              <w:rPr/>
            </w:r>
          </w:p>
        </w:tc>
        <w:tc>
          <w:tcPr>
            <w:tcW w:w="51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pPr>
            <w:r>
              <w:rPr/>
            </w:r>
          </w:p>
        </w:tc>
        <w:tc>
          <w:tcPr>
            <w:tcW w:w="88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pPr>
            <w:r>
              <w:rPr/>
            </w:r>
          </w:p>
        </w:tc>
        <w:tc>
          <w:tcPr>
            <w:tcW w:w="101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166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r>
      <w:tr>
        <w:trPr/>
        <w:tc>
          <w:tcPr>
            <w:tcW w:w="878" w:type="dxa"/>
            <w:tcBorders>
              <w:top w:val="single" w:sz="4" w:space="0" w:color="00000A"/>
              <w:left w:val="double" w:sz="4" w:space="0" w:color="00000A"/>
              <w:bottom w:val="single" w:sz="4" w:space="0" w:color="00000A"/>
              <w:right w:val="single" w:sz="4" w:space="0" w:color="00000A"/>
              <w:insideH w:val="single" w:sz="4" w:space="0" w:color="00000A"/>
              <w:insideV w:val="single" w:sz="4" w:space="0" w:color="00000A"/>
            </w:tcBorders>
            <w:shd w:color="auto" w:fill="auto" w:val="clear"/>
            <w:tcMar>
              <w:left w:w="-15" w:type="dxa"/>
            </w:tcMar>
          </w:tcPr>
          <w:p>
            <w:pPr>
              <w:pStyle w:val="Normal1"/>
              <w:rPr/>
            </w:pPr>
            <w:r>
              <w:rPr/>
            </w:r>
          </w:p>
        </w:tc>
        <w:tc>
          <w:tcPr>
            <w:tcW w:w="51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pPr>
            <w:r>
              <w:rPr/>
            </w:r>
          </w:p>
        </w:tc>
        <w:tc>
          <w:tcPr>
            <w:tcW w:w="88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pPr>
            <w:r>
              <w:rPr/>
            </w:r>
          </w:p>
        </w:tc>
        <w:tc>
          <w:tcPr>
            <w:tcW w:w="101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166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r>
      <w:tr>
        <w:trPr/>
        <w:tc>
          <w:tcPr>
            <w:tcW w:w="878" w:type="dxa"/>
            <w:tcBorders>
              <w:top w:val="single" w:sz="4" w:space="0" w:color="00000A"/>
              <w:left w:val="double" w:sz="4" w:space="0" w:color="00000A"/>
              <w:bottom w:val="single" w:sz="4" w:space="0" w:color="00000A"/>
              <w:right w:val="single" w:sz="4" w:space="0" w:color="00000A"/>
              <w:insideH w:val="single" w:sz="4" w:space="0" w:color="00000A"/>
              <w:insideV w:val="single" w:sz="4" w:space="0" w:color="00000A"/>
            </w:tcBorders>
            <w:shd w:color="auto" w:fill="auto" w:val="clear"/>
            <w:tcMar>
              <w:left w:w="-15" w:type="dxa"/>
            </w:tcMar>
          </w:tcPr>
          <w:p>
            <w:pPr>
              <w:pStyle w:val="Normal1"/>
              <w:rPr/>
            </w:pPr>
            <w:r>
              <w:rPr/>
            </w:r>
          </w:p>
        </w:tc>
        <w:tc>
          <w:tcPr>
            <w:tcW w:w="51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pPr>
            <w:r>
              <w:rPr/>
            </w:r>
          </w:p>
        </w:tc>
        <w:tc>
          <w:tcPr>
            <w:tcW w:w="88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pPr>
            <w:r>
              <w:rPr/>
            </w:r>
          </w:p>
        </w:tc>
        <w:tc>
          <w:tcPr>
            <w:tcW w:w="101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166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r>
      <w:tr>
        <w:trPr/>
        <w:tc>
          <w:tcPr>
            <w:tcW w:w="878" w:type="dxa"/>
            <w:tcBorders>
              <w:top w:val="single" w:sz="4" w:space="0" w:color="00000A"/>
              <w:left w:val="double" w:sz="4" w:space="0" w:color="00000A"/>
              <w:bottom w:val="single" w:sz="4" w:space="0" w:color="00000A"/>
              <w:right w:val="single" w:sz="4" w:space="0" w:color="00000A"/>
              <w:insideH w:val="single" w:sz="4" w:space="0" w:color="00000A"/>
              <w:insideV w:val="single" w:sz="4" w:space="0" w:color="00000A"/>
            </w:tcBorders>
            <w:shd w:color="auto" w:fill="auto" w:val="clear"/>
            <w:tcMar>
              <w:left w:w="-15" w:type="dxa"/>
            </w:tcMar>
          </w:tcPr>
          <w:p>
            <w:pPr>
              <w:pStyle w:val="Normal1"/>
              <w:rPr/>
            </w:pPr>
            <w:r>
              <w:rPr/>
            </w:r>
          </w:p>
        </w:tc>
        <w:tc>
          <w:tcPr>
            <w:tcW w:w="51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pPr>
            <w:r>
              <w:rPr/>
            </w:r>
          </w:p>
        </w:tc>
        <w:tc>
          <w:tcPr>
            <w:tcW w:w="88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pPr>
            <w:r>
              <w:rPr/>
            </w:r>
          </w:p>
        </w:tc>
        <w:tc>
          <w:tcPr>
            <w:tcW w:w="101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166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r>
      <w:tr>
        <w:trPr/>
        <w:tc>
          <w:tcPr>
            <w:tcW w:w="878" w:type="dxa"/>
            <w:tcBorders>
              <w:top w:val="single" w:sz="4" w:space="0" w:color="00000A"/>
              <w:left w:val="double" w:sz="4" w:space="0" w:color="00000A"/>
              <w:bottom w:val="single" w:sz="4" w:space="0" w:color="00000A"/>
              <w:right w:val="single" w:sz="4" w:space="0" w:color="00000A"/>
              <w:insideH w:val="single" w:sz="4" w:space="0" w:color="00000A"/>
              <w:insideV w:val="single" w:sz="4" w:space="0" w:color="00000A"/>
            </w:tcBorders>
            <w:shd w:color="auto" w:fill="auto" w:val="clear"/>
            <w:tcMar>
              <w:left w:w="-15" w:type="dxa"/>
            </w:tcMar>
          </w:tcPr>
          <w:p>
            <w:pPr>
              <w:pStyle w:val="Normal1"/>
              <w:rPr/>
            </w:pPr>
            <w:r>
              <w:rPr/>
            </w:r>
          </w:p>
        </w:tc>
        <w:tc>
          <w:tcPr>
            <w:tcW w:w="51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pPr>
            <w:r>
              <w:rPr/>
            </w:r>
          </w:p>
        </w:tc>
        <w:tc>
          <w:tcPr>
            <w:tcW w:w="88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pPr>
            <w:r>
              <w:rPr/>
            </w:r>
          </w:p>
        </w:tc>
        <w:tc>
          <w:tcPr>
            <w:tcW w:w="101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166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r>
      <w:tr>
        <w:trPr/>
        <w:tc>
          <w:tcPr>
            <w:tcW w:w="878" w:type="dxa"/>
            <w:tcBorders>
              <w:top w:val="single" w:sz="4" w:space="0" w:color="00000A"/>
              <w:left w:val="double" w:sz="4" w:space="0" w:color="00000A"/>
              <w:bottom w:val="double" w:sz="4" w:space="0" w:color="00000A"/>
              <w:right w:val="single" w:sz="4" w:space="0" w:color="00000A"/>
              <w:insideH w:val="double" w:sz="4" w:space="0" w:color="00000A"/>
              <w:insideV w:val="single" w:sz="4" w:space="0" w:color="00000A"/>
            </w:tcBorders>
            <w:shd w:color="auto" w:fill="auto" w:val="clear"/>
            <w:tcMar>
              <w:left w:w="-15" w:type="dxa"/>
            </w:tcMar>
          </w:tcPr>
          <w:p>
            <w:pPr>
              <w:pStyle w:val="Normal1"/>
              <w:rPr/>
            </w:pPr>
            <w:r>
              <w:rPr/>
            </w:r>
          </w:p>
        </w:tc>
        <w:tc>
          <w:tcPr>
            <w:tcW w:w="5196" w:type="dxa"/>
            <w:tcBorders>
              <w:top w:val="single" w:sz="4" w:space="0" w:color="00000A"/>
              <w:left w:val="single" w:sz="4" w:space="0" w:color="00000A"/>
              <w:bottom w:val="double" w:sz="4" w:space="0" w:color="00000A"/>
              <w:right w:val="single" w:sz="4" w:space="0" w:color="00000A"/>
              <w:insideH w:val="double" w:sz="4" w:space="0" w:color="00000A"/>
              <w:insideV w:val="single" w:sz="4" w:space="0" w:color="00000A"/>
            </w:tcBorders>
            <w:shd w:color="auto" w:fill="auto" w:val="clear"/>
            <w:tcMar>
              <w:left w:w="5" w:type="dxa"/>
            </w:tcMar>
          </w:tcPr>
          <w:p>
            <w:pPr>
              <w:pStyle w:val="Normal1"/>
              <w:rPr/>
            </w:pPr>
            <w:r>
              <w:rPr/>
            </w:r>
          </w:p>
        </w:tc>
        <w:tc>
          <w:tcPr>
            <w:tcW w:w="888" w:type="dxa"/>
            <w:tcBorders>
              <w:top w:val="single" w:sz="4" w:space="0" w:color="00000A"/>
              <w:left w:val="single" w:sz="4" w:space="0" w:color="00000A"/>
              <w:bottom w:val="double" w:sz="4" w:space="0" w:color="00000A"/>
              <w:right w:val="single" w:sz="4" w:space="0" w:color="00000A"/>
              <w:insideH w:val="double" w:sz="4" w:space="0" w:color="00000A"/>
              <w:insideV w:val="single" w:sz="4" w:space="0" w:color="00000A"/>
            </w:tcBorders>
            <w:shd w:color="auto" w:fill="auto" w:val="clear"/>
            <w:tcMar>
              <w:left w:w="5" w:type="dxa"/>
            </w:tcMar>
          </w:tcPr>
          <w:p>
            <w:pPr>
              <w:pStyle w:val="Normal1"/>
              <w:rPr/>
            </w:pPr>
            <w:r>
              <w:rPr/>
            </w:r>
          </w:p>
        </w:tc>
        <w:tc>
          <w:tcPr>
            <w:tcW w:w="1013" w:type="dxa"/>
            <w:tcBorders>
              <w:top w:val="single" w:sz="4" w:space="0" w:color="00000A"/>
              <w:left w:val="single" w:sz="4" w:space="0" w:color="00000A"/>
              <w:bottom w:val="double" w:sz="4" w:space="0" w:color="00000A"/>
              <w:right w:val="single" w:sz="4" w:space="0" w:color="00000A"/>
              <w:insideH w:val="doub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1663" w:type="dxa"/>
            <w:tcBorders>
              <w:top w:val="single" w:sz="4" w:space="0" w:color="00000A"/>
              <w:left w:val="single" w:sz="4" w:space="0" w:color="00000A"/>
              <w:bottom w:val="double" w:sz="4" w:space="0" w:color="00000A"/>
              <w:right w:val="single" w:sz="4" w:space="0" w:color="00000A"/>
              <w:insideH w:val="doub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r>
    </w:tbl>
    <w:p>
      <w:pPr>
        <w:pStyle w:val="Normal1"/>
        <w:jc w:val="both"/>
        <w:rPr>
          <w:color w:val="00000A"/>
          <w:sz w:val="24"/>
        </w:rPr>
      </w:pPr>
      <w:r>
        <w:rPr/>
        <w:t>1 – GR (Graduação) / ESP(Especialização) / MES (Mestrado) / DR (Doutorado) / EXT(Extensão) . 3 – Número de alunos por turma. 3 – Número de horas-aula ministrada por semana.</w:t>
      </w:r>
    </w:p>
    <w:p>
      <w:pPr>
        <w:pStyle w:val="Normal1"/>
        <w:rPr/>
      </w:pPr>
      <w:r>
        <w:rPr/>
      </w:r>
    </w:p>
    <w:tbl>
      <w:tblPr>
        <w:tblW w:w="9638" w:type="dxa"/>
        <w:jc w:val="center"/>
        <w:tblInd w:w="0" w:type="dxa"/>
        <w:tblBorders>
          <w:top w:val="double" w:sz="4" w:space="0" w:color="00000A"/>
          <w:left w:val="double" w:sz="4" w:space="0" w:color="00000A"/>
          <w:bottom w:val="single" w:sz="4" w:space="0" w:color="00000A"/>
          <w:right w:val="double" w:sz="4" w:space="0" w:color="00000A"/>
          <w:insideH w:val="single" w:sz="4" w:space="0" w:color="00000A"/>
          <w:insideV w:val="double" w:sz="4" w:space="0" w:color="00000A"/>
        </w:tblBorders>
        <w:tblCellMar>
          <w:top w:w="0" w:type="dxa"/>
          <w:left w:w="-15" w:type="dxa"/>
          <w:bottom w:w="0" w:type="dxa"/>
          <w:right w:w="70" w:type="dxa"/>
        </w:tblCellMar>
      </w:tblPr>
      <w:tblGrid>
        <w:gridCol w:w="4419"/>
        <w:gridCol w:w="506"/>
        <w:gridCol w:w="375"/>
        <w:gridCol w:w="506"/>
        <w:gridCol w:w="506"/>
        <w:gridCol w:w="517"/>
        <w:gridCol w:w="506"/>
        <w:gridCol w:w="753"/>
        <w:gridCol w:w="756"/>
        <w:gridCol w:w="793"/>
      </w:tblGrid>
      <w:tr>
        <w:trPr>
          <w:trHeight w:val="360" w:hRule="atLeast"/>
          <w:cantSplit w:val="true"/>
        </w:trPr>
        <w:tc>
          <w:tcPr>
            <w:tcW w:w="9637" w:type="dxa"/>
            <w:gridSpan w:val="10"/>
            <w:tcBorders>
              <w:top w:val="double" w:sz="4" w:space="0" w:color="00000A"/>
              <w:left w:val="double" w:sz="4" w:space="0" w:color="00000A"/>
              <w:bottom w:val="single" w:sz="4" w:space="0" w:color="00000A"/>
              <w:right w:val="double" w:sz="4" w:space="0" w:color="00000A"/>
              <w:insideH w:val="single" w:sz="4" w:space="0" w:color="00000A"/>
              <w:insideV w:val="double" w:sz="4" w:space="0" w:color="00000A"/>
            </w:tcBorders>
            <w:shd w:color="auto" w:fill="auto" w:val="clear"/>
            <w:tcMar>
              <w:left w:w="-15" w:type="dxa"/>
            </w:tcMar>
            <w:vAlign w:val="center"/>
          </w:tcPr>
          <w:p>
            <w:pPr>
              <w:pStyle w:val="Normal1"/>
              <w:jc w:val="center"/>
              <w:rPr>
                <w:b/>
                <w:b/>
              </w:rPr>
            </w:pPr>
            <w:r>
              <w:rPr>
                <w:b/>
              </w:rPr>
              <w:t>ORIENTAÇÃO EM ANDAMENTO</w:t>
            </w:r>
          </w:p>
        </w:tc>
      </w:tr>
      <w:tr>
        <w:trPr/>
        <w:tc>
          <w:tcPr>
            <w:tcW w:w="441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color w:val="00000A"/>
                <w:sz w:val="24"/>
              </w:rPr>
            </w:pPr>
            <w:r>
              <w:rPr/>
              <w:t>Nome do aluno</w:t>
            </w:r>
          </w:p>
        </w:tc>
        <w:tc>
          <w:tcPr>
            <w:tcW w:w="5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sz w:val="20"/>
                <w:szCs w:val="20"/>
              </w:rPr>
            </w:pPr>
            <w:r>
              <w:rPr>
                <w:sz w:val="20"/>
                <w:szCs w:val="20"/>
              </w:rPr>
              <w:t>EXT</w:t>
            </w:r>
          </w:p>
        </w:tc>
        <w:tc>
          <w:tcPr>
            <w:tcW w:w="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sz w:val="20"/>
                <w:szCs w:val="20"/>
                <w:vertAlign w:val="superscript"/>
              </w:rPr>
            </w:pPr>
            <w:r>
              <w:rPr>
                <w:sz w:val="20"/>
                <w:szCs w:val="20"/>
              </w:rPr>
              <w:t>IC</w:t>
            </w:r>
          </w:p>
        </w:tc>
        <w:tc>
          <w:tcPr>
            <w:tcW w:w="5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sz w:val="20"/>
                <w:szCs w:val="20"/>
              </w:rPr>
            </w:pPr>
            <w:r>
              <w:rPr>
                <w:sz w:val="20"/>
                <w:szCs w:val="20"/>
              </w:rPr>
              <w:t>TCC</w:t>
            </w:r>
          </w:p>
        </w:tc>
        <w:tc>
          <w:tcPr>
            <w:tcW w:w="5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sz w:val="20"/>
                <w:szCs w:val="20"/>
                <w:vertAlign w:val="subscript"/>
                <w:lang w:val="en-US"/>
              </w:rPr>
            </w:pPr>
            <w:r>
              <w:rPr>
                <w:sz w:val="20"/>
                <w:szCs w:val="20"/>
              </w:rPr>
              <w:t>ESP</w:t>
            </w:r>
          </w:p>
        </w:tc>
        <w:tc>
          <w:tcPr>
            <w:tcW w:w="5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sz w:val="20"/>
                <w:szCs w:val="20"/>
                <w:vertAlign w:val="subscript"/>
                <w:lang w:val="en-US"/>
              </w:rPr>
            </w:pPr>
            <w:r>
              <w:rPr>
                <w:sz w:val="20"/>
                <w:szCs w:val="20"/>
              </w:rPr>
              <w:t>MES</w:t>
            </w:r>
          </w:p>
        </w:tc>
        <w:tc>
          <w:tcPr>
            <w:tcW w:w="5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sz w:val="20"/>
                <w:szCs w:val="20"/>
                <w:vertAlign w:val="subscript"/>
                <w:lang w:val="en-US"/>
              </w:rPr>
            </w:pPr>
            <w:r>
              <w:rPr>
                <w:sz w:val="20"/>
                <w:szCs w:val="20"/>
              </w:rPr>
              <w:t>DR</w:t>
            </w:r>
          </w:p>
        </w:tc>
        <w:tc>
          <w:tcPr>
            <w:tcW w:w="7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sz w:val="20"/>
                <w:szCs w:val="20"/>
                <w:vertAlign w:val="superscript"/>
                <w:lang w:val="en-US"/>
              </w:rPr>
            </w:pPr>
            <w:r>
              <w:rPr>
                <w:sz w:val="20"/>
                <w:szCs w:val="20"/>
                <w:lang w:val="en-US"/>
              </w:rPr>
              <w:t>Início</w:t>
            </w:r>
            <w:r>
              <w:rPr>
                <w:sz w:val="20"/>
                <w:szCs w:val="20"/>
                <w:vertAlign w:val="superscript"/>
                <w:lang w:val="en-US"/>
              </w:rPr>
              <w:t>1</w:t>
            </w:r>
          </w:p>
        </w:tc>
        <w:tc>
          <w:tcPr>
            <w:tcW w:w="75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sz w:val="20"/>
                <w:szCs w:val="20"/>
                <w:vertAlign w:val="superscript"/>
                <w:lang w:val="en-US"/>
              </w:rPr>
            </w:pPr>
            <w:r>
              <w:rPr>
                <w:sz w:val="20"/>
                <w:szCs w:val="20"/>
                <w:lang w:val="en-US"/>
              </w:rPr>
              <w:t>Térm</w:t>
            </w:r>
            <w:r>
              <w:rPr>
                <w:sz w:val="20"/>
                <w:szCs w:val="20"/>
                <w:vertAlign w:val="superscript"/>
                <w:lang w:val="en-US"/>
              </w:rPr>
              <w:t>2</w:t>
            </w:r>
          </w:p>
        </w:tc>
        <w:tc>
          <w:tcPr>
            <w:tcW w:w="793" w:type="dxa"/>
            <w:tcBorders>
              <w:top w:val="single" w:sz="4" w:space="0" w:color="00000A"/>
              <w:left w:val="single" w:sz="4" w:space="0" w:color="00000A"/>
              <w:bottom w:val="single" w:sz="4" w:space="0" w:color="00000A"/>
              <w:right w:val="double" w:sz="4" w:space="0" w:color="00000A"/>
              <w:insideH w:val="single" w:sz="4" w:space="0" w:color="00000A"/>
              <w:insideV w:val="double" w:sz="4" w:space="0" w:color="00000A"/>
            </w:tcBorders>
            <w:shd w:color="auto" w:fill="auto" w:val="clear"/>
            <w:tcMar>
              <w:left w:w="5" w:type="dxa"/>
            </w:tcMar>
          </w:tcPr>
          <w:p>
            <w:pPr>
              <w:pStyle w:val="Normal1"/>
              <w:rPr>
                <w:sz w:val="20"/>
                <w:szCs w:val="20"/>
                <w:vertAlign w:val="superscript"/>
                <w:lang w:val="en-US"/>
              </w:rPr>
            </w:pPr>
            <w:r>
              <w:rPr>
                <w:sz w:val="20"/>
                <w:szCs w:val="20"/>
              </w:rPr>
              <w:t>Horas</w:t>
            </w:r>
            <w:r>
              <w:rPr>
                <w:sz w:val="20"/>
                <w:szCs w:val="20"/>
                <w:vertAlign w:val="superscript"/>
              </w:rPr>
              <w:t>3</w:t>
            </w:r>
          </w:p>
        </w:tc>
      </w:tr>
      <w:tr>
        <w:trPr/>
        <w:tc>
          <w:tcPr>
            <w:tcW w:w="441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7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75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793" w:type="dxa"/>
            <w:tcBorders>
              <w:top w:val="single" w:sz="4" w:space="0" w:color="00000A"/>
              <w:left w:val="single" w:sz="4" w:space="0" w:color="00000A"/>
              <w:bottom w:val="single" w:sz="4" w:space="0" w:color="00000A"/>
              <w:right w:val="double" w:sz="4" w:space="0" w:color="00000A"/>
              <w:insideH w:val="single" w:sz="4" w:space="0" w:color="00000A"/>
              <w:insideV w:val="doub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r>
      <w:tr>
        <w:trPr/>
        <w:tc>
          <w:tcPr>
            <w:tcW w:w="441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7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75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793" w:type="dxa"/>
            <w:tcBorders>
              <w:top w:val="single" w:sz="4" w:space="0" w:color="00000A"/>
              <w:left w:val="single" w:sz="4" w:space="0" w:color="00000A"/>
              <w:bottom w:val="single" w:sz="4" w:space="0" w:color="00000A"/>
              <w:right w:val="double" w:sz="4" w:space="0" w:color="00000A"/>
              <w:insideH w:val="single" w:sz="4" w:space="0" w:color="00000A"/>
              <w:insideV w:val="doub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r>
      <w:tr>
        <w:trPr/>
        <w:tc>
          <w:tcPr>
            <w:tcW w:w="441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7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75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793" w:type="dxa"/>
            <w:tcBorders>
              <w:top w:val="single" w:sz="4" w:space="0" w:color="00000A"/>
              <w:left w:val="single" w:sz="4" w:space="0" w:color="00000A"/>
              <w:bottom w:val="single" w:sz="4" w:space="0" w:color="00000A"/>
              <w:right w:val="double" w:sz="4" w:space="0" w:color="00000A"/>
              <w:insideH w:val="single" w:sz="4" w:space="0" w:color="00000A"/>
              <w:insideV w:val="doub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r>
      <w:tr>
        <w:trPr/>
        <w:tc>
          <w:tcPr>
            <w:tcW w:w="441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7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75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793" w:type="dxa"/>
            <w:tcBorders>
              <w:top w:val="single" w:sz="4" w:space="0" w:color="00000A"/>
              <w:left w:val="single" w:sz="4" w:space="0" w:color="00000A"/>
              <w:bottom w:val="single" w:sz="4" w:space="0" w:color="00000A"/>
              <w:right w:val="double" w:sz="4" w:space="0" w:color="00000A"/>
              <w:insideH w:val="single" w:sz="4" w:space="0" w:color="00000A"/>
              <w:insideV w:val="doub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r>
      <w:tr>
        <w:trPr/>
        <w:tc>
          <w:tcPr>
            <w:tcW w:w="441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7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75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793" w:type="dxa"/>
            <w:tcBorders>
              <w:top w:val="single" w:sz="4" w:space="0" w:color="00000A"/>
              <w:left w:val="single" w:sz="4" w:space="0" w:color="00000A"/>
              <w:bottom w:val="single" w:sz="4" w:space="0" w:color="00000A"/>
              <w:right w:val="double" w:sz="4" w:space="0" w:color="00000A"/>
              <w:insideH w:val="single" w:sz="4" w:space="0" w:color="00000A"/>
              <w:insideV w:val="doub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r>
      <w:tr>
        <w:trPr/>
        <w:tc>
          <w:tcPr>
            <w:tcW w:w="441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7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75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793" w:type="dxa"/>
            <w:tcBorders>
              <w:top w:val="single" w:sz="4" w:space="0" w:color="00000A"/>
              <w:left w:val="single" w:sz="4" w:space="0" w:color="00000A"/>
              <w:bottom w:val="single" w:sz="4" w:space="0" w:color="00000A"/>
              <w:right w:val="double" w:sz="4" w:space="0" w:color="00000A"/>
              <w:insideH w:val="single" w:sz="4" w:space="0" w:color="00000A"/>
              <w:insideV w:val="doub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r>
      <w:tr>
        <w:trPr/>
        <w:tc>
          <w:tcPr>
            <w:tcW w:w="441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7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75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793" w:type="dxa"/>
            <w:tcBorders>
              <w:top w:val="single" w:sz="4" w:space="0" w:color="00000A"/>
              <w:left w:val="single" w:sz="4" w:space="0" w:color="00000A"/>
              <w:bottom w:val="single" w:sz="4" w:space="0" w:color="00000A"/>
              <w:right w:val="double" w:sz="4" w:space="0" w:color="00000A"/>
              <w:insideH w:val="single" w:sz="4" w:space="0" w:color="00000A"/>
              <w:insideV w:val="doub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r>
      <w:tr>
        <w:trPr/>
        <w:tc>
          <w:tcPr>
            <w:tcW w:w="4419" w:type="dxa"/>
            <w:tcBorders>
              <w:top w:val="single" w:sz="4" w:space="0" w:color="00000A"/>
              <w:left w:val="single" w:sz="4" w:space="0" w:color="00000A"/>
              <w:bottom w:val="double" w:sz="4" w:space="0" w:color="00000A"/>
              <w:right w:val="single" w:sz="4" w:space="0" w:color="00000A"/>
              <w:insideH w:val="double" w:sz="4" w:space="0" w:color="00000A"/>
              <w:insideV w:val="single" w:sz="4" w:space="0" w:color="00000A"/>
            </w:tcBorders>
            <w:shd w:color="auto" w:fill="auto" w:val="clear"/>
            <w:tcMar>
              <w:left w:w="5" w:type="dxa"/>
            </w:tcMar>
          </w:tcPr>
          <w:p>
            <w:pPr>
              <w:pStyle w:val="Normal1"/>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06" w:type="dxa"/>
            <w:tcBorders>
              <w:top w:val="single" w:sz="4" w:space="0" w:color="00000A"/>
              <w:left w:val="single" w:sz="4" w:space="0" w:color="00000A"/>
              <w:bottom w:val="double" w:sz="4" w:space="0" w:color="00000A"/>
              <w:right w:val="single" w:sz="4" w:space="0" w:color="00000A"/>
              <w:insideH w:val="double" w:sz="4" w:space="0" w:color="00000A"/>
              <w:insideV w:val="single" w:sz="4" w:space="0" w:color="00000A"/>
            </w:tcBorders>
            <w:shd w:color="auto" w:fill="auto" w:val="clear"/>
            <w:tcMar>
              <w:left w:w="5" w:type="dxa"/>
            </w:tcMar>
          </w:tcPr>
          <w:p>
            <w:pPr>
              <w:pStyle w:val="Normal1"/>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375" w:type="dxa"/>
            <w:tcBorders>
              <w:top w:val="single" w:sz="4" w:space="0" w:color="00000A"/>
              <w:left w:val="single" w:sz="4" w:space="0" w:color="00000A"/>
              <w:bottom w:val="double" w:sz="4" w:space="0" w:color="00000A"/>
              <w:right w:val="single" w:sz="4" w:space="0" w:color="00000A"/>
              <w:insideH w:val="doub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06" w:type="dxa"/>
            <w:tcBorders>
              <w:top w:val="single" w:sz="4" w:space="0" w:color="00000A"/>
              <w:left w:val="single" w:sz="4" w:space="0" w:color="00000A"/>
              <w:bottom w:val="double" w:sz="4" w:space="0" w:color="00000A"/>
              <w:right w:val="single" w:sz="4" w:space="0" w:color="00000A"/>
              <w:insideH w:val="doub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06" w:type="dxa"/>
            <w:tcBorders>
              <w:top w:val="single" w:sz="4" w:space="0" w:color="00000A"/>
              <w:left w:val="single" w:sz="4" w:space="0" w:color="00000A"/>
              <w:bottom w:val="double" w:sz="4" w:space="0" w:color="00000A"/>
              <w:right w:val="single" w:sz="4" w:space="0" w:color="00000A"/>
              <w:insideH w:val="doub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17" w:type="dxa"/>
            <w:tcBorders>
              <w:top w:val="single" w:sz="4" w:space="0" w:color="00000A"/>
              <w:left w:val="single" w:sz="4" w:space="0" w:color="00000A"/>
              <w:bottom w:val="double" w:sz="4" w:space="0" w:color="00000A"/>
              <w:right w:val="single" w:sz="4" w:space="0" w:color="00000A"/>
              <w:insideH w:val="doub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506" w:type="dxa"/>
            <w:tcBorders>
              <w:top w:val="single" w:sz="4" w:space="0" w:color="00000A"/>
              <w:left w:val="single" w:sz="4" w:space="0" w:color="00000A"/>
              <w:bottom w:val="double" w:sz="4" w:space="0" w:color="00000A"/>
              <w:right w:val="single" w:sz="4" w:space="0" w:color="00000A"/>
              <w:insideH w:val="doub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753" w:type="dxa"/>
            <w:tcBorders>
              <w:top w:val="single" w:sz="4" w:space="0" w:color="00000A"/>
              <w:left w:val="single" w:sz="4" w:space="0" w:color="00000A"/>
              <w:bottom w:val="double" w:sz="4" w:space="0" w:color="00000A"/>
              <w:right w:val="single" w:sz="4" w:space="0" w:color="00000A"/>
              <w:insideH w:val="doub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756" w:type="dxa"/>
            <w:tcBorders>
              <w:top w:val="single" w:sz="4" w:space="0" w:color="00000A"/>
              <w:left w:val="single" w:sz="4" w:space="0" w:color="00000A"/>
              <w:bottom w:val="double" w:sz="4" w:space="0" w:color="00000A"/>
              <w:right w:val="single" w:sz="4" w:space="0" w:color="00000A"/>
              <w:insideH w:val="doub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c>
          <w:tcPr>
            <w:tcW w:w="793" w:type="dxa"/>
            <w:tcBorders>
              <w:top w:val="single" w:sz="4" w:space="0" w:color="00000A"/>
              <w:left w:val="single" w:sz="4" w:space="0" w:color="00000A"/>
              <w:bottom w:val="double" w:sz="4" w:space="0" w:color="00000A"/>
              <w:right w:val="double" w:sz="4" w:space="0" w:color="00000A"/>
              <w:insideH w:val="double" w:sz="4" w:space="0" w:color="00000A"/>
              <w:insideV w:val="doub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en-US" w:eastAsia="zh-CN" w:bidi="hi-IN"/>
              </w:rPr>
            </w:pPr>
            <w:r>
              <w:rPr>
                <w:rFonts w:eastAsia="DejaVu Sans" w:cs="FreeSans"/>
                <w:color w:val="FF0000"/>
                <w:sz w:val="24"/>
                <w:szCs w:val="24"/>
                <w:lang w:val="en-US" w:eastAsia="zh-CN" w:bidi="hi-IN"/>
              </w:rPr>
            </w:r>
          </w:p>
        </w:tc>
      </w:tr>
    </w:tbl>
    <w:p>
      <w:pPr>
        <w:pStyle w:val="Corpodotexto"/>
        <w:spacing w:lineRule="auto" w:line="240" w:before="0" w:after="0"/>
        <w:rPr>
          <w:rFonts w:ascii="Liberation Serif" w:hAnsi="Liberation Serif" w:eastAsia="DejaVu Sans" w:cs="FreeSans"/>
          <w:color w:val="00000A"/>
          <w:sz w:val="20"/>
          <w:szCs w:val="24"/>
          <w:lang w:val="pt-BR" w:eastAsia="zh-CN" w:bidi="hi-IN"/>
        </w:rPr>
      </w:pPr>
      <w:r>
        <w:rPr/>
        <w:t>EXT (Atividades de Extensão) - IC (Iniciação Científica) - TCC (Trabalho de Conclusão de Curso) / MES (Mestrado) / DR (Doutorado) / ESP (Especialização). 1/2 – Indicar apenas semestre/ano 3 – horas-semana.</w:t>
      </w:r>
    </w:p>
    <w:p>
      <w:pPr>
        <w:pStyle w:val="Ttulo3"/>
        <w:rPr>
          <w:rFonts w:ascii="Times New Roman" w:hAnsi="Times New Roman" w:eastAsia="Times New Roman" w:cs="Times New Roman"/>
          <w:b/>
          <w:b/>
          <w:color w:val="00000A"/>
          <w:sz w:val="24"/>
          <w:szCs w:val="20"/>
          <w:lang w:val="pt-BR" w:eastAsia="pt-BR" w:bidi="ar-SA"/>
        </w:rPr>
      </w:pPr>
      <w:r>
        <w:rPr>
          <w:rFonts w:eastAsia="Times New Roman" w:cs="Times New Roman" w:ascii="Times New Roman" w:hAnsi="Times New Roman"/>
          <w:b/>
          <w:color w:val="00000A"/>
          <w:sz w:val="24"/>
          <w:szCs w:val="20"/>
          <w:lang w:val="pt-BR" w:eastAsia="pt-BR" w:bidi="ar-SA"/>
        </w:rPr>
      </w:r>
    </w:p>
    <w:p>
      <w:pPr>
        <w:pStyle w:val="Normal1"/>
        <w:rPr/>
      </w:pPr>
      <w:r>
        <w:rPr/>
      </w:r>
    </w:p>
    <w:p>
      <w:pPr>
        <w:pStyle w:val="Ttulo3"/>
        <w:rPr>
          <w:sz w:val="24"/>
        </w:rPr>
      </w:pPr>
      <w:r>
        <w:rPr>
          <w:sz w:val="24"/>
        </w:rPr>
        <w:t xml:space="preserve">Atividades Administrativas </w:t>
      </w:r>
    </w:p>
    <w:tbl>
      <w:tblPr>
        <w:tblW w:w="9638" w:type="dxa"/>
        <w:jc w:val="center"/>
        <w:tblInd w:w="0" w:type="dxa"/>
        <w:tblBorders>
          <w:top w:val="double" w:sz="4" w:space="0" w:color="00000A"/>
          <w:left w:val="double" w:sz="4" w:space="0" w:color="00000A"/>
          <w:bottom w:val="single" w:sz="4" w:space="0" w:color="00000A"/>
          <w:right w:val="double" w:sz="4" w:space="0" w:color="00000A"/>
          <w:insideH w:val="single" w:sz="4" w:space="0" w:color="00000A"/>
          <w:insideV w:val="double" w:sz="4" w:space="0" w:color="00000A"/>
        </w:tblBorders>
        <w:tblCellMar>
          <w:top w:w="0" w:type="dxa"/>
          <w:left w:w="-15" w:type="dxa"/>
          <w:bottom w:w="0" w:type="dxa"/>
          <w:right w:w="70" w:type="dxa"/>
        </w:tblCellMar>
      </w:tblPr>
      <w:tblGrid>
        <w:gridCol w:w="6855"/>
        <w:gridCol w:w="624"/>
        <w:gridCol w:w="751"/>
        <w:gridCol w:w="625"/>
        <w:gridCol w:w="783"/>
      </w:tblGrid>
      <w:tr>
        <w:trPr>
          <w:trHeight w:val="360" w:hRule="atLeast"/>
          <w:cantSplit w:val="true"/>
        </w:trPr>
        <w:tc>
          <w:tcPr>
            <w:tcW w:w="9638" w:type="dxa"/>
            <w:gridSpan w:val="5"/>
            <w:tcBorders>
              <w:top w:val="double" w:sz="4" w:space="0" w:color="00000A"/>
              <w:left w:val="double" w:sz="4" w:space="0" w:color="00000A"/>
              <w:bottom w:val="single" w:sz="4" w:space="0" w:color="00000A"/>
              <w:right w:val="double" w:sz="4" w:space="0" w:color="00000A"/>
              <w:insideH w:val="single" w:sz="4" w:space="0" w:color="00000A"/>
              <w:insideV w:val="double" w:sz="4" w:space="0" w:color="00000A"/>
            </w:tcBorders>
            <w:shd w:color="auto" w:fill="auto" w:val="clear"/>
            <w:tcMar>
              <w:left w:w="-15" w:type="dxa"/>
            </w:tcMar>
            <w:vAlign w:val="center"/>
          </w:tcPr>
          <w:p>
            <w:pPr>
              <w:pStyle w:val="Ttulo4"/>
              <w:keepNext/>
              <w:widowControl w:val="false"/>
              <w:numPr>
                <w:ilvl w:val="0"/>
                <w:numId w:val="0"/>
              </w:numPr>
              <w:overflowPunct w:val="true"/>
              <w:bidi w:val="0"/>
              <w:spacing w:before="240" w:after="120"/>
              <w:jc w:val="center"/>
              <w:outlineLvl w:val="3"/>
              <w:rPr/>
            </w:pPr>
            <w:r>
              <w:rPr/>
              <w:t>ATIVIDADES DE APOIO ADMINISTRATIVO</w:t>
            </w:r>
            <w:r>
              <w:rPr>
                <w:b w:val="false"/>
                <w:vertAlign w:val="superscript"/>
              </w:rPr>
              <w:t>1</w:t>
            </w:r>
          </w:p>
        </w:tc>
      </w:tr>
      <w:tr>
        <w:trPr/>
        <w:tc>
          <w:tcPr>
            <w:tcW w:w="6855" w:type="dxa"/>
            <w:tcBorders>
              <w:top w:val="single" w:sz="4" w:space="0" w:color="00000A"/>
              <w:left w:val="double" w:sz="4" w:space="0" w:color="00000A"/>
              <w:bottom w:val="single" w:sz="4" w:space="0" w:color="00000A"/>
              <w:right w:val="single" w:sz="4" w:space="0" w:color="00000A"/>
              <w:insideH w:val="single" w:sz="4" w:space="0" w:color="00000A"/>
              <w:insideV w:val="single" w:sz="4" w:space="0" w:color="00000A"/>
            </w:tcBorders>
            <w:shd w:color="auto" w:fill="auto" w:val="clear"/>
            <w:tcMar>
              <w:left w:w="-15" w:type="dxa"/>
            </w:tcMar>
          </w:tcPr>
          <w:p>
            <w:pPr>
              <w:pStyle w:val="Normal1"/>
              <w:jc w:val="center"/>
              <w:rPr>
                <w:color w:val="00000A"/>
                <w:sz w:val="24"/>
              </w:rPr>
            </w:pPr>
            <w:r>
              <w:rPr/>
              <w:t>Função/Cargo</w:t>
            </w:r>
          </w:p>
        </w:tc>
        <w:tc>
          <w:tcPr>
            <w:tcW w:w="62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sz w:val="20"/>
                <w:szCs w:val="20"/>
              </w:rPr>
            </w:pPr>
            <w:r>
              <w:rPr>
                <w:sz w:val="20"/>
                <w:szCs w:val="20"/>
              </w:rPr>
              <w:t>Órgão</w:t>
            </w:r>
          </w:p>
        </w:tc>
        <w:tc>
          <w:tcPr>
            <w:tcW w:w="7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sz w:val="20"/>
                <w:szCs w:val="20"/>
              </w:rPr>
            </w:pPr>
            <w:r>
              <w:rPr>
                <w:sz w:val="20"/>
                <w:szCs w:val="20"/>
              </w:rPr>
              <w:t>Início</w:t>
            </w:r>
          </w:p>
        </w:tc>
        <w:tc>
          <w:tcPr>
            <w:tcW w:w="6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sz w:val="20"/>
                <w:szCs w:val="20"/>
              </w:rPr>
            </w:pPr>
            <w:r>
              <w:rPr>
                <w:sz w:val="20"/>
                <w:szCs w:val="20"/>
              </w:rPr>
              <w:t>Térm.</w:t>
            </w:r>
          </w:p>
        </w:tc>
        <w:tc>
          <w:tcPr>
            <w:tcW w:w="783" w:type="dxa"/>
            <w:tcBorders>
              <w:top w:val="single" w:sz="4" w:space="0" w:color="00000A"/>
              <w:left w:val="single" w:sz="4" w:space="0" w:color="00000A"/>
              <w:bottom w:val="single" w:sz="4" w:space="0" w:color="00000A"/>
              <w:right w:val="double" w:sz="4" w:space="0" w:color="00000A"/>
              <w:insideH w:val="single" w:sz="4" w:space="0" w:color="00000A"/>
              <w:insideV w:val="double" w:sz="4" w:space="0" w:color="00000A"/>
            </w:tcBorders>
            <w:shd w:color="auto" w:fill="auto" w:val="clear"/>
            <w:tcMar>
              <w:left w:w="5" w:type="dxa"/>
            </w:tcMar>
          </w:tcPr>
          <w:p>
            <w:pPr>
              <w:pStyle w:val="Normal1"/>
              <w:jc w:val="center"/>
              <w:rPr>
                <w:sz w:val="20"/>
                <w:szCs w:val="20"/>
              </w:rPr>
            </w:pPr>
            <w:r>
              <w:rPr>
                <w:sz w:val="20"/>
                <w:szCs w:val="20"/>
              </w:rPr>
              <w:t>Horas</w:t>
            </w:r>
            <w:r>
              <w:rPr>
                <w:sz w:val="20"/>
                <w:szCs w:val="20"/>
                <w:vertAlign w:val="superscript"/>
              </w:rPr>
              <w:t>2</w:t>
            </w:r>
          </w:p>
        </w:tc>
      </w:tr>
      <w:tr>
        <w:trPr/>
        <w:tc>
          <w:tcPr>
            <w:tcW w:w="6855" w:type="dxa"/>
            <w:tcBorders>
              <w:top w:val="single" w:sz="4" w:space="0" w:color="00000A"/>
              <w:left w:val="double" w:sz="4" w:space="0" w:color="00000A"/>
              <w:bottom w:val="single" w:sz="4" w:space="0" w:color="00000A"/>
              <w:right w:val="single" w:sz="4" w:space="0" w:color="00000A"/>
              <w:insideH w:val="single" w:sz="4" w:space="0" w:color="00000A"/>
              <w:insideV w:val="single" w:sz="4" w:space="0" w:color="00000A"/>
            </w:tcBorders>
            <w:shd w:color="auto" w:fill="auto" w:val="clear"/>
            <w:tcMar>
              <w:left w:w="-15" w:type="dxa"/>
            </w:tcMar>
          </w:tcPr>
          <w:p>
            <w:pPr>
              <w:pStyle w:val="Normal1"/>
              <w:rPr/>
            </w:pPr>
            <w:r>
              <w:rPr/>
            </w:r>
          </w:p>
        </w:tc>
        <w:tc>
          <w:tcPr>
            <w:tcW w:w="62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pPr>
            <w:r>
              <w:rPr/>
            </w:r>
          </w:p>
        </w:tc>
        <w:tc>
          <w:tcPr>
            <w:tcW w:w="7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6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783" w:type="dxa"/>
            <w:tcBorders>
              <w:top w:val="single" w:sz="4" w:space="0" w:color="00000A"/>
              <w:left w:val="single" w:sz="4" w:space="0" w:color="00000A"/>
              <w:bottom w:val="single" w:sz="4" w:space="0" w:color="00000A"/>
              <w:right w:val="double" w:sz="4" w:space="0" w:color="00000A"/>
              <w:insideH w:val="single" w:sz="4" w:space="0" w:color="00000A"/>
              <w:insideV w:val="doub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r>
      <w:tr>
        <w:trPr/>
        <w:tc>
          <w:tcPr>
            <w:tcW w:w="6855" w:type="dxa"/>
            <w:tcBorders>
              <w:top w:val="single" w:sz="4" w:space="0" w:color="00000A"/>
              <w:left w:val="double" w:sz="4" w:space="0" w:color="00000A"/>
              <w:bottom w:val="single" w:sz="4" w:space="0" w:color="00000A"/>
              <w:right w:val="single" w:sz="4" w:space="0" w:color="00000A"/>
              <w:insideH w:val="single" w:sz="4" w:space="0" w:color="00000A"/>
              <w:insideV w:val="single" w:sz="4" w:space="0" w:color="00000A"/>
            </w:tcBorders>
            <w:shd w:color="auto" w:fill="auto" w:val="clear"/>
            <w:tcMar>
              <w:left w:w="-15" w:type="dxa"/>
            </w:tcMar>
          </w:tcPr>
          <w:p>
            <w:pPr>
              <w:pStyle w:val="Normal1"/>
              <w:rPr/>
            </w:pPr>
            <w:r>
              <w:rPr/>
            </w:r>
          </w:p>
        </w:tc>
        <w:tc>
          <w:tcPr>
            <w:tcW w:w="62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pPr>
            <w:r>
              <w:rPr/>
            </w:r>
          </w:p>
        </w:tc>
        <w:tc>
          <w:tcPr>
            <w:tcW w:w="7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6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783" w:type="dxa"/>
            <w:tcBorders>
              <w:top w:val="single" w:sz="4" w:space="0" w:color="00000A"/>
              <w:left w:val="single" w:sz="4" w:space="0" w:color="00000A"/>
              <w:bottom w:val="single" w:sz="4" w:space="0" w:color="00000A"/>
              <w:right w:val="double" w:sz="4" w:space="0" w:color="00000A"/>
              <w:insideH w:val="single" w:sz="4" w:space="0" w:color="00000A"/>
              <w:insideV w:val="doub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r>
      <w:tr>
        <w:trPr/>
        <w:tc>
          <w:tcPr>
            <w:tcW w:w="6855" w:type="dxa"/>
            <w:tcBorders>
              <w:top w:val="single" w:sz="4" w:space="0" w:color="00000A"/>
              <w:left w:val="double" w:sz="4" w:space="0" w:color="00000A"/>
              <w:bottom w:val="single" w:sz="4" w:space="0" w:color="00000A"/>
              <w:right w:val="single" w:sz="4" w:space="0" w:color="00000A"/>
              <w:insideH w:val="single" w:sz="4" w:space="0" w:color="00000A"/>
              <w:insideV w:val="single" w:sz="4" w:space="0" w:color="00000A"/>
            </w:tcBorders>
            <w:shd w:color="auto" w:fill="auto" w:val="clear"/>
            <w:tcMar>
              <w:left w:w="-15" w:type="dxa"/>
            </w:tcMar>
          </w:tcPr>
          <w:p>
            <w:pPr>
              <w:pStyle w:val="Normal1"/>
              <w:rPr/>
            </w:pPr>
            <w:r>
              <w:rPr/>
            </w:r>
          </w:p>
        </w:tc>
        <w:tc>
          <w:tcPr>
            <w:tcW w:w="62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pPr>
            <w:r>
              <w:rPr/>
            </w:r>
          </w:p>
        </w:tc>
        <w:tc>
          <w:tcPr>
            <w:tcW w:w="7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6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783" w:type="dxa"/>
            <w:tcBorders>
              <w:top w:val="single" w:sz="4" w:space="0" w:color="00000A"/>
              <w:left w:val="single" w:sz="4" w:space="0" w:color="00000A"/>
              <w:bottom w:val="single" w:sz="4" w:space="0" w:color="00000A"/>
              <w:right w:val="double" w:sz="4" w:space="0" w:color="00000A"/>
              <w:insideH w:val="single" w:sz="4" w:space="0" w:color="00000A"/>
              <w:insideV w:val="doub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r>
      <w:tr>
        <w:trPr/>
        <w:tc>
          <w:tcPr>
            <w:tcW w:w="6855" w:type="dxa"/>
            <w:tcBorders>
              <w:top w:val="single" w:sz="4" w:space="0" w:color="00000A"/>
              <w:left w:val="double" w:sz="4" w:space="0" w:color="00000A"/>
              <w:bottom w:val="double" w:sz="4" w:space="0" w:color="00000A"/>
              <w:right w:val="single" w:sz="4" w:space="0" w:color="00000A"/>
              <w:insideH w:val="double" w:sz="4" w:space="0" w:color="00000A"/>
              <w:insideV w:val="single" w:sz="4" w:space="0" w:color="00000A"/>
            </w:tcBorders>
            <w:shd w:color="auto" w:fill="auto" w:val="clear"/>
            <w:tcMar>
              <w:left w:w="-15" w:type="dxa"/>
            </w:tcMar>
          </w:tcPr>
          <w:p>
            <w:pPr>
              <w:pStyle w:val="Normal1"/>
              <w:rPr/>
            </w:pPr>
            <w:r>
              <w:rPr/>
            </w:r>
          </w:p>
        </w:tc>
        <w:tc>
          <w:tcPr>
            <w:tcW w:w="624" w:type="dxa"/>
            <w:tcBorders>
              <w:top w:val="single" w:sz="4" w:space="0" w:color="00000A"/>
              <w:left w:val="single" w:sz="4" w:space="0" w:color="00000A"/>
              <w:bottom w:val="double" w:sz="4" w:space="0" w:color="00000A"/>
              <w:right w:val="single" w:sz="4" w:space="0" w:color="00000A"/>
              <w:insideH w:val="double" w:sz="4" w:space="0" w:color="00000A"/>
              <w:insideV w:val="single" w:sz="4" w:space="0" w:color="00000A"/>
            </w:tcBorders>
            <w:shd w:color="auto" w:fill="auto" w:val="clear"/>
            <w:tcMar>
              <w:left w:w="5" w:type="dxa"/>
            </w:tcMar>
          </w:tcPr>
          <w:p>
            <w:pPr>
              <w:pStyle w:val="Normal1"/>
              <w:rPr/>
            </w:pPr>
            <w:r>
              <w:rPr/>
            </w:r>
          </w:p>
        </w:tc>
        <w:tc>
          <w:tcPr>
            <w:tcW w:w="751" w:type="dxa"/>
            <w:tcBorders>
              <w:top w:val="single" w:sz="4" w:space="0" w:color="00000A"/>
              <w:left w:val="single" w:sz="4" w:space="0" w:color="00000A"/>
              <w:bottom w:val="double" w:sz="4" w:space="0" w:color="00000A"/>
              <w:right w:val="single" w:sz="4" w:space="0" w:color="00000A"/>
              <w:insideH w:val="doub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625" w:type="dxa"/>
            <w:tcBorders>
              <w:top w:val="single" w:sz="4" w:space="0" w:color="00000A"/>
              <w:left w:val="single" w:sz="4" w:space="0" w:color="00000A"/>
              <w:bottom w:val="double" w:sz="4" w:space="0" w:color="00000A"/>
              <w:right w:val="single" w:sz="4" w:space="0" w:color="00000A"/>
              <w:insideH w:val="doub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783" w:type="dxa"/>
            <w:tcBorders>
              <w:top w:val="single" w:sz="4" w:space="0" w:color="00000A"/>
              <w:left w:val="single" w:sz="4" w:space="0" w:color="00000A"/>
              <w:bottom w:val="double" w:sz="4" w:space="0" w:color="00000A"/>
              <w:right w:val="double" w:sz="4" w:space="0" w:color="00000A"/>
              <w:insideH w:val="double" w:sz="4" w:space="0" w:color="00000A"/>
              <w:insideV w:val="doub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r>
    </w:tbl>
    <w:p>
      <w:pPr>
        <w:pStyle w:val="Corpodotexto"/>
        <w:spacing w:lineRule="auto" w:line="240" w:before="0" w:after="0"/>
        <w:rPr>
          <w:rFonts w:ascii="Liberation Serif" w:hAnsi="Liberation Serif" w:eastAsia="DejaVu Sans" w:cs="FreeSans"/>
          <w:color w:val="00000A"/>
          <w:sz w:val="20"/>
          <w:szCs w:val="24"/>
          <w:lang w:val="pt-BR" w:eastAsia="zh-CN" w:bidi="hi-IN"/>
        </w:rPr>
      </w:pPr>
      <w:r>
        <w:rPr/>
        <w:t>1 – Cargos de direção. Cargo de Chefia e Coordenação. Participação em comissões. Outras atividades de apoio administrativo. 2 – horas-semana de dedicação.</w:t>
      </w:r>
    </w:p>
    <w:p>
      <w:pPr>
        <w:pStyle w:val="Normal1"/>
        <w:rPr/>
      </w:pPr>
      <w:r>
        <w:rPr/>
      </w:r>
    </w:p>
    <w:p>
      <w:pPr>
        <w:pStyle w:val="Normal1"/>
        <w:rPr>
          <w:b/>
          <w:b/>
          <w:bCs/>
        </w:rPr>
      </w:pPr>
      <w:r>
        <w:rPr>
          <w:b/>
          <w:bCs/>
        </w:rPr>
        <w:t xml:space="preserve">Grupo VI – </w:t>
      </w:r>
      <w:r>
        <w:rPr>
          <w:b/>
        </w:rPr>
        <w:t>Atividades de Representação</w:t>
      </w:r>
    </w:p>
    <w:tbl>
      <w:tblPr>
        <w:tblW w:w="9638" w:type="dxa"/>
        <w:jc w:val="center"/>
        <w:tblInd w:w="0" w:type="dxa"/>
        <w:tblBorders>
          <w:top w:val="double" w:sz="4" w:space="0" w:color="00000A"/>
          <w:left w:val="double" w:sz="4" w:space="0" w:color="00000A"/>
          <w:bottom w:val="single" w:sz="4" w:space="0" w:color="00000A"/>
          <w:right w:val="double" w:sz="4" w:space="0" w:color="00000A"/>
          <w:insideH w:val="single" w:sz="4" w:space="0" w:color="00000A"/>
          <w:insideV w:val="double" w:sz="4" w:space="0" w:color="00000A"/>
        </w:tblBorders>
        <w:tblCellMar>
          <w:top w:w="0" w:type="dxa"/>
          <w:left w:w="-15" w:type="dxa"/>
          <w:bottom w:w="0" w:type="dxa"/>
          <w:right w:w="70" w:type="dxa"/>
        </w:tblCellMar>
      </w:tblPr>
      <w:tblGrid>
        <w:gridCol w:w="4712"/>
        <w:gridCol w:w="2392"/>
        <w:gridCol w:w="881"/>
        <w:gridCol w:w="878"/>
        <w:gridCol w:w="775"/>
      </w:tblGrid>
      <w:tr>
        <w:trPr>
          <w:trHeight w:val="360" w:hRule="atLeast"/>
          <w:cantSplit w:val="true"/>
        </w:trPr>
        <w:tc>
          <w:tcPr>
            <w:tcW w:w="9638" w:type="dxa"/>
            <w:gridSpan w:val="5"/>
            <w:tcBorders>
              <w:top w:val="double" w:sz="4" w:space="0" w:color="00000A"/>
              <w:left w:val="double" w:sz="4" w:space="0" w:color="00000A"/>
              <w:bottom w:val="single" w:sz="4" w:space="0" w:color="00000A"/>
              <w:right w:val="double" w:sz="4" w:space="0" w:color="00000A"/>
              <w:insideH w:val="single" w:sz="4" w:space="0" w:color="00000A"/>
              <w:insideV w:val="double" w:sz="4" w:space="0" w:color="00000A"/>
            </w:tcBorders>
            <w:shd w:color="auto" w:fill="auto" w:val="clear"/>
            <w:tcMar>
              <w:left w:w="-15" w:type="dxa"/>
            </w:tcMar>
            <w:vAlign w:val="center"/>
          </w:tcPr>
          <w:p>
            <w:pPr>
              <w:pStyle w:val="Ttulo4"/>
              <w:keepNext/>
              <w:widowControl w:val="false"/>
              <w:numPr>
                <w:ilvl w:val="0"/>
                <w:numId w:val="0"/>
              </w:numPr>
              <w:overflowPunct w:val="true"/>
              <w:bidi w:val="0"/>
              <w:spacing w:before="240" w:after="120"/>
              <w:jc w:val="center"/>
              <w:outlineLvl w:val="3"/>
              <w:rPr/>
            </w:pPr>
            <w:r>
              <w:rPr/>
              <w:t>ATIVIDADES</w:t>
            </w:r>
            <w:r>
              <w:rPr>
                <w:b w:val="false"/>
                <w:vertAlign w:val="superscript"/>
              </w:rPr>
              <w:t>1</w:t>
            </w:r>
            <w:r>
              <w:rPr/>
              <w:t xml:space="preserve"> </w:t>
            </w:r>
          </w:p>
        </w:tc>
      </w:tr>
      <w:tr>
        <w:trPr/>
        <w:tc>
          <w:tcPr>
            <w:tcW w:w="4712" w:type="dxa"/>
            <w:tcBorders>
              <w:top w:val="single" w:sz="4" w:space="0" w:color="00000A"/>
              <w:left w:val="double" w:sz="4" w:space="0" w:color="00000A"/>
              <w:bottom w:val="single" w:sz="4" w:space="0" w:color="00000A"/>
              <w:right w:val="single" w:sz="4" w:space="0" w:color="00000A"/>
              <w:insideH w:val="single" w:sz="4" w:space="0" w:color="00000A"/>
              <w:insideV w:val="single" w:sz="4" w:space="0" w:color="00000A"/>
            </w:tcBorders>
            <w:shd w:color="auto" w:fill="auto" w:val="clear"/>
            <w:tcMar>
              <w:left w:w="-15" w:type="dxa"/>
            </w:tcMar>
          </w:tcPr>
          <w:p>
            <w:pPr>
              <w:pStyle w:val="Normal1"/>
              <w:jc w:val="center"/>
              <w:rPr>
                <w:color w:val="00000A"/>
                <w:sz w:val="24"/>
              </w:rPr>
            </w:pPr>
            <w:r>
              <w:rPr/>
              <w:t>Função/Cargo</w:t>
            </w:r>
          </w:p>
        </w:tc>
        <w:tc>
          <w:tcPr>
            <w:tcW w:w="23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color w:val="00000A"/>
                <w:sz w:val="24"/>
              </w:rPr>
            </w:pPr>
            <w:r>
              <w:rPr/>
              <w:t>Órgão/entidade</w:t>
            </w:r>
          </w:p>
        </w:tc>
        <w:tc>
          <w:tcPr>
            <w:tcW w:w="8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color w:val="00000A"/>
                <w:sz w:val="24"/>
              </w:rPr>
            </w:pPr>
            <w:r>
              <w:rPr/>
              <w:t>Início</w:t>
            </w:r>
          </w:p>
        </w:tc>
        <w:tc>
          <w:tcPr>
            <w:tcW w:w="8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color w:val="00000A"/>
                <w:sz w:val="24"/>
              </w:rPr>
            </w:pPr>
            <w:r>
              <w:rPr/>
              <w:t>Térm.</w:t>
            </w:r>
          </w:p>
        </w:tc>
        <w:tc>
          <w:tcPr>
            <w:tcW w:w="775" w:type="dxa"/>
            <w:tcBorders>
              <w:top w:val="single" w:sz="4" w:space="0" w:color="00000A"/>
              <w:left w:val="single" w:sz="4" w:space="0" w:color="00000A"/>
              <w:bottom w:val="single" w:sz="4" w:space="0" w:color="00000A"/>
              <w:right w:val="double" w:sz="4" w:space="0" w:color="00000A"/>
              <w:insideH w:val="single" w:sz="4" w:space="0" w:color="00000A"/>
              <w:insideV w:val="double" w:sz="4" w:space="0" w:color="00000A"/>
            </w:tcBorders>
            <w:shd w:color="auto" w:fill="auto" w:val="clear"/>
            <w:tcMar>
              <w:left w:w="5" w:type="dxa"/>
            </w:tcMar>
          </w:tcPr>
          <w:p>
            <w:pPr>
              <w:pStyle w:val="Normal1"/>
              <w:jc w:val="center"/>
              <w:rPr/>
            </w:pPr>
            <w:r>
              <w:rPr/>
              <w:t>Horas</w:t>
            </w:r>
            <w:r>
              <w:rPr>
                <w:vertAlign w:val="superscript"/>
              </w:rPr>
              <w:t>2</w:t>
            </w:r>
          </w:p>
        </w:tc>
      </w:tr>
      <w:tr>
        <w:trPr/>
        <w:tc>
          <w:tcPr>
            <w:tcW w:w="4712" w:type="dxa"/>
            <w:tcBorders>
              <w:top w:val="single" w:sz="4" w:space="0" w:color="00000A"/>
              <w:left w:val="double" w:sz="4" w:space="0" w:color="00000A"/>
              <w:bottom w:val="single" w:sz="4" w:space="0" w:color="00000A"/>
              <w:right w:val="single" w:sz="4" w:space="0" w:color="00000A"/>
              <w:insideH w:val="single" w:sz="4" w:space="0" w:color="00000A"/>
              <w:insideV w:val="single" w:sz="4" w:space="0" w:color="00000A"/>
            </w:tcBorders>
            <w:shd w:color="auto" w:fill="auto" w:val="clear"/>
            <w:tcMar>
              <w:left w:w="-15" w:type="dxa"/>
            </w:tcMar>
          </w:tcPr>
          <w:p>
            <w:pPr>
              <w:pStyle w:val="Normal1"/>
              <w:rPr/>
            </w:pPr>
            <w:r>
              <w:rPr/>
            </w:r>
          </w:p>
        </w:tc>
        <w:tc>
          <w:tcPr>
            <w:tcW w:w="23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pPr>
            <w:r>
              <w:rPr/>
            </w:r>
          </w:p>
        </w:tc>
        <w:tc>
          <w:tcPr>
            <w:tcW w:w="8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8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775" w:type="dxa"/>
            <w:tcBorders>
              <w:top w:val="single" w:sz="4" w:space="0" w:color="00000A"/>
              <w:left w:val="single" w:sz="4" w:space="0" w:color="00000A"/>
              <w:bottom w:val="single" w:sz="4" w:space="0" w:color="00000A"/>
              <w:right w:val="double" w:sz="4" w:space="0" w:color="00000A"/>
              <w:insideH w:val="single" w:sz="4" w:space="0" w:color="00000A"/>
              <w:insideV w:val="doub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r>
      <w:tr>
        <w:trPr/>
        <w:tc>
          <w:tcPr>
            <w:tcW w:w="4712" w:type="dxa"/>
            <w:tcBorders>
              <w:top w:val="single" w:sz="4" w:space="0" w:color="00000A"/>
              <w:left w:val="double" w:sz="4" w:space="0" w:color="00000A"/>
              <w:bottom w:val="single" w:sz="4" w:space="0" w:color="00000A"/>
              <w:right w:val="single" w:sz="4" w:space="0" w:color="00000A"/>
              <w:insideH w:val="single" w:sz="4" w:space="0" w:color="00000A"/>
              <w:insideV w:val="single" w:sz="4" w:space="0" w:color="00000A"/>
            </w:tcBorders>
            <w:shd w:color="auto" w:fill="auto" w:val="clear"/>
            <w:tcMar>
              <w:left w:w="-15" w:type="dxa"/>
            </w:tcMar>
          </w:tcPr>
          <w:p>
            <w:pPr>
              <w:pStyle w:val="Normal1"/>
              <w:rPr/>
            </w:pPr>
            <w:r>
              <w:rPr/>
            </w:r>
          </w:p>
        </w:tc>
        <w:tc>
          <w:tcPr>
            <w:tcW w:w="23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pPr>
            <w:r>
              <w:rPr/>
            </w:r>
          </w:p>
        </w:tc>
        <w:tc>
          <w:tcPr>
            <w:tcW w:w="8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8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775" w:type="dxa"/>
            <w:tcBorders>
              <w:top w:val="single" w:sz="4" w:space="0" w:color="00000A"/>
              <w:left w:val="single" w:sz="4" w:space="0" w:color="00000A"/>
              <w:bottom w:val="single" w:sz="4" w:space="0" w:color="00000A"/>
              <w:right w:val="double" w:sz="4" w:space="0" w:color="00000A"/>
              <w:insideH w:val="single" w:sz="4" w:space="0" w:color="00000A"/>
              <w:insideV w:val="doub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r>
      <w:tr>
        <w:trPr/>
        <w:tc>
          <w:tcPr>
            <w:tcW w:w="4712" w:type="dxa"/>
            <w:tcBorders>
              <w:top w:val="single" w:sz="4" w:space="0" w:color="00000A"/>
              <w:left w:val="double" w:sz="4" w:space="0" w:color="00000A"/>
              <w:bottom w:val="single" w:sz="4" w:space="0" w:color="00000A"/>
              <w:right w:val="single" w:sz="4" w:space="0" w:color="00000A"/>
              <w:insideH w:val="single" w:sz="4" w:space="0" w:color="00000A"/>
              <w:insideV w:val="single" w:sz="4" w:space="0" w:color="00000A"/>
            </w:tcBorders>
            <w:shd w:color="auto" w:fill="auto" w:val="clear"/>
            <w:tcMar>
              <w:left w:w="-15" w:type="dxa"/>
            </w:tcMar>
          </w:tcPr>
          <w:p>
            <w:pPr>
              <w:pStyle w:val="Normal1"/>
              <w:rPr/>
            </w:pPr>
            <w:r>
              <w:rPr/>
            </w:r>
          </w:p>
        </w:tc>
        <w:tc>
          <w:tcPr>
            <w:tcW w:w="23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pPr>
            <w:r>
              <w:rPr/>
            </w:r>
          </w:p>
        </w:tc>
        <w:tc>
          <w:tcPr>
            <w:tcW w:w="8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8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775" w:type="dxa"/>
            <w:tcBorders>
              <w:top w:val="single" w:sz="4" w:space="0" w:color="00000A"/>
              <w:left w:val="single" w:sz="4" w:space="0" w:color="00000A"/>
              <w:bottom w:val="single" w:sz="4" w:space="0" w:color="00000A"/>
              <w:right w:val="double" w:sz="4" w:space="0" w:color="00000A"/>
              <w:insideH w:val="single" w:sz="4" w:space="0" w:color="00000A"/>
              <w:insideV w:val="doub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r>
      <w:tr>
        <w:trPr/>
        <w:tc>
          <w:tcPr>
            <w:tcW w:w="4712" w:type="dxa"/>
            <w:tcBorders>
              <w:top w:val="single" w:sz="4" w:space="0" w:color="00000A"/>
              <w:left w:val="double" w:sz="4" w:space="0" w:color="00000A"/>
              <w:bottom w:val="double" w:sz="4" w:space="0" w:color="00000A"/>
              <w:right w:val="single" w:sz="4" w:space="0" w:color="00000A"/>
              <w:insideH w:val="double" w:sz="4" w:space="0" w:color="00000A"/>
              <w:insideV w:val="single" w:sz="4" w:space="0" w:color="00000A"/>
            </w:tcBorders>
            <w:shd w:color="auto" w:fill="auto" w:val="clear"/>
            <w:tcMar>
              <w:left w:w="-15" w:type="dxa"/>
            </w:tcMar>
          </w:tcPr>
          <w:p>
            <w:pPr>
              <w:pStyle w:val="Normal1"/>
              <w:rPr/>
            </w:pPr>
            <w:r>
              <w:rPr/>
            </w:r>
          </w:p>
        </w:tc>
        <w:tc>
          <w:tcPr>
            <w:tcW w:w="2392" w:type="dxa"/>
            <w:tcBorders>
              <w:top w:val="single" w:sz="4" w:space="0" w:color="00000A"/>
              <w:left w:val="single" w:sz="4" w:space="0" w:color="00000A"/>
              <w:bottom w:val="double" w:sz="4" w:space="0" w:color="00000A"/>
              <w:right w:val="single" w:sz="4" w:space="0" w:color="00000A"/>
              <w:insideH w:val="double" w:sz="4" w:space="0" w:color="00000A"/>
              <w:insideV w:val="single" w:sz="4" w:space="0" w:color="00000A"/>
            </w:tcBorders>
            <w:shd w:color="auto" w:fill="auto" w:val="clear"/>
            <w:tcMar>
              <w:left w:w="5" w:type="dxa"/>
            </w:tcMar>
          </w:tcPr>
          <w:p>
            <w:pPr>
              <w:pStyle w:val="Normal1"/>
              <w:rPr/>
            </w:pPr>
            <w:r>
              <w:rPr/>
            </w:r>
          </w:p>
        </w:tc>
        <w:tc>
          <w:tcPr>
            <w:tcW w:w="881" w:type="dxa"/>
            <w:tcBorders>
              <w:top w:val="single" w:sz="4" w:space="0" w:color="00000A"/>
              <w:left w:val="single" w:sz="4" w:space="0" w:color="00000A"/>
              <w:bottom w:val="double" w:sz="4" w:space="0" w:color="00000A"/>
              <w:right w:val="single" w:sz="4" w:space="0" w:color="00000A"/>
              <w:insideH w:val="doub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878" w:type="dxa"/>
            <w:tcBorders>
              <w:top w:val="single" w:sz="4" w:space="0" w:color="00000A"/>
              <w:left w:val="single" w:sz="4" w:space="0" w:color="00000A"/>
              <w:bottom w:val="double" w:sz="4" w:space="0" w:color="00000A"/>
              <w:right w:val="single" w:sz="4" w:space="0" w:color="00000A"/>
              <w:insideH w:val="doub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c>
          <w:tcPr>
            <w:tcW w:w="775" w:type="dxa"/>
            <w:tcBorders>
              <w:top w:val="single" w:sz="4" w:space="0" w:color="00000A"/>
              <w:left w:val="single" w:sz="4" w:space="0" w:color="00000A"/>
              <w:bottom w:val="double" w:sz="4" w:space="0" w:color="00000A"/>
              <w:right w:val="double" w:sz="4" w:space="0" w:color="00000A"/>
              <w:insideH w:val="double" w:sz="4" w:space="0" w:color="00000A"/>
              <w:insideV w:val="double" w:sz="4" w:space="0" w:color="00000A"/>
            </w:tcBorders>
            <w:shd w:color="auto" w:fill="auto" w:val="clear"/>
            <w:tcMar>
              <w:left w:w="5" w:type="dxa"/>
            </w:tcMar>
          </w:tcPr>
          <w:p>
            <w:pPr>
              <w:pStyle w:val="Normal1"/>
              <w:jc w:val="center"/>
              <w:rPr>
                <w:rFonts w:ascii="Liberation Serif" w:hAnsi="Liberation Serif" w:eastAsia="DejaVu Sans" w:cs="FreeSans"/>
                <w:color w:val="00000A"/>
                <w:sz w:val="24"/>
                <w:szCs w:val="24"/>
                <w:lang w:val="pt-BR" w:eastAsia="zh-CN" w:bidi="hi-IN"/>
              </w:rPr>
            </w:pPr>
            <w:r>
              <w:rPr>
                <w:rFonts w:eastAsia="DejaVu Sans" w:cs="FreeSans"/>
                <w:color w:val="00000A"/>
                <w:sz w:val="24"/>
                <w:szCs w:val="24"/>
                <w:lang w:val="pt-BR" w:eastAsia="zh-CN" w:bidi="hi-IN"/>
              </w:rPr>
            </w:r>
          </w:p>
        </w:tc>
      </w:tr>
    </w:tbl>
    <w:p>
      <w:pPr>
        <w:pStyle w:val="Corpodotexto"/>
        <w:spacing w:lineRule="auto" w:line="240" w:before="0" w:after="0"/>
        <w:rPr>
          <w:rFonts w:ascii="Liberation Serif" w:hAnsi="Liberation Serif" w:eastAsia="DejaVu Sans" w:cs="FreeSans"/>
          <w:color w:val="00000A"/>
          <w:sz w:val="20"/>
          <w:szCs w:val="24"/>
          <w:lang w:val="pt-BR" w:eastAsia="zh-CN" w:bidi="hi-IN"/>
        </w:rPr>
      </w:pPr>
      <w:r>
        <w:rPr/>
        <w:t>1 – Participação em órgãos colegiados. Representação sindical. Participação não remunerada em conselhos ou comissões de órgãos governamentais e de entidades científicas, culturais e profissionais. 2 – horas-semana de dedicação.</w:t>
      </w:r>
    </w:p>
    <w:p>
      <w:pPr>
        <w:pStyle w:val="Normal1"/>
        <w:rPr/>
      </w:pPr>
      <w:r>
        <w:rPr/>
      </w:r>
    </w:p>
    <w:p>
      <w:pPr>
        <w:pStyle w:val="Normal1"/>
        <w:rPr/>
      </w:pPr>
      <w:r>
        <w:rPr/>
      </w:r>
    </w:p>
    <w:tbl>
      <w:tblPr>
        <w:tblW w:w="9638" w:type="dxa"/>
        <w:jc w:val="center"/>
        <w:tblInd w:w="0" w:type="dxa"/>
        <w:tblBorders>
          <w:top w:val="double" w:sz="4" w:space="0" w:color="00000A"/>
          <w:left w:val="double" w:sz="4" w:space="0" w:color="00000A"/>
          <w:bottom w:val="single" w:sz="4" w:space="0" w:color="00000A"/>
          <w:right w:val="double" w:sz="4" w:space="0" w:color="00000A"/>
          <w:insideH w:val="single" w:sz="4" w:space="0" w:color="00000A"/>
          <w:insideV w:val="double" w:sz="4" w:space="0" w:color="00000A"/>
        </w:tblBorders>
        <w:tblCellMar>
          <w:top w:w="0" w:type="dxa"/>
          <w:left w:w="-15" w:type="dxa"/>
          <w:bottom w:w="0" w:type="dxa"/>
          <w:right w:w="70" w:type="dxa"/>
        </w:tblCellMar>
      </w:tblPr>
      <w:tblGrid>
        <w:gridCol w:w="6198"/>
        <w:gridCol w:w="884"/>
        <w:gridCol w:w="759"/>
        <w:gridCol w:w="248"/>
        <w:gridCol w:w="506"/>
        <w:gridCol w:w="1043"/>
      </w:tblGrid>
      <w:tr>
        <w:trPr>
          <w:trHeight w:val="360" w:hRule="atLeast"/>
          <w:cantSplit w:val="true"/>
        </w:trPr>
        <w:tc>
          <w:tcPr>
            <w:tcW w:w="9638" w:type="dxa"/>
            <w:gridSpan w:val="6"/>
            <w:tcBorders>
              <w:top w:val="double" w:sz="4" w:space="0" w:color="00000A"/>
              <w:left w:val="double" w:sz="4" w:space="0" w:color="00000A"/>
              <w:bottom w:val="single" w:sz="4" w:space="0" w:color="00000A"/>
              <w:right w:val="double" w:sz="4" w:space="0" w:color="00000A"/>
              <w:insideH w:val="single" w:sz="4" w:space="0" w:color="00000A"/>
              <w:insideV w:val="double" w:sz="4" w:space="0" w:color="00000A"/>
            </w:tcBorders>
            <w:shd w:color="auto" w:fill="auto" w:val="clear"/>
            <w:tcMar>
              <w:left w:w="-15" w:type="dxa"/>
            </w:tcMar>
            <w:vAlign w:val="center"/>
          </w:tcPr>
          <w:p>
            <w:pPr>
              <w:pStyle w:val="Ttulo4"/>
              <w:keepNext/>
              <w:widowControl w:val="false"/>
              <w:numPr>
                <w:ilvl w:val="0"/>
                <w:numId w:val="0"/>
              </w:numPr>
              <w:overflowPunct w:val="true"/>
              <w:bidi w:val="0"/>
              <w:spacing w:before="240" w:after="120"/>
              <w:jc w:val="center"/>
              <w:outlineLvl w:val="3"/>
              <w:rPr>
                <w:rFonts w:ascii="Times New Roman" w:hAnsi="Times New Roman" w:eastAsia="Times New Roman" w:cs="Times New Roman"/>
                <w:b/>
                <w:b/>
                <w:color w:val="00000A"/>
                <w:sz w:val="28"/>
                <w:szCs w:val="20"/>
                <w:lang w:val="pt-BR" w:eastAsia="pt-BR" w:bidi="ar-SA"/>
              </w:rPr>
            </w:pPr>
            <w:r>
              <w:rPr/>
              <w:t>SUPERVISÃO DE ALUNOS</w:t>
            </w:r>
          </w:p>
        </w:tc>
      </w:tr>
      <w:tr>
        <w:trPr>
          <w:cantSplit w:val="true"/>
        </w:trPr>
        <w:tc>
          <w:tcPr>
            <w:tcW w:w="61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color w:val="00000A"/>
                <w:sz w:val="24"/>
              </w:rPr>
            </w:pPr>
            <w:r>
              <w:rPr/>
              <w:t>Nome do aluno</w:t>
            </w:r>
          </w:p>
        </w:tc>
        <w:tc>
          <w:tcPr>
            <w:tcW w:w="88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pPr>
            <w:r>
              <w:rPr/>
              <w:t>Tipo</w:t>
            </w:r>
            <w:r>
              <w:rPr>
                <w:vertAlign w:val="superscript"/>
              </w:rPr>
              <w:t>1</w:t>
            </w:r>
          </w:p>
        </w:tc>
        <w:tc>
          <w:tcPr>
            <w:tcW w:w="75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color w:val="00000A"/>
                <w:sz w:val="24"/>
              </w:rPr>
            </w:pPr>
            <w:r>
              <w:rPr/>
              <w:t>Início</w:t>
            </w:r>
          </w:p>
        </w:tc>
        <w:tc>
          <w:tcPr>
            <w:tcW w:w="7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color w:val="00000A"/>
                <w:sz w:val="24"/>
              </w:rPr>
            </w:pPr>
            <w:r>
              <w:rPr/>
              <w:t>Térm.</w:t>
            </w:r>
          </w:p>
        </w:tc>
        <w:tc>
          <w:tcPr>
            <w:tcW w:w="1043" w:type="dxa"/>
            <w:tcBorders>
              <w:top w:val="single" w:sz="4" w:space="0" w:color="00000A"/>
              <w:left w:val="single" w:sz="4" w:space="0" w:color="00000A"/>
              <w:bottom w:val="single" w:sz="4" w:space="0" w:color="00000A"/>
              <w:right w:val="double" w:sz="4" w:space="0" w:color="00000A"/>
              <w:insideH w:val="single" w:sz="4" w:space="0" w:color="00000A"/>
              <w:insideV w:val="double" w:sz="4" w:space="0" w:color="00000A"/>
            </w:tcBorders>
            <w:shd w:color="auto" w:fill="auto" w:val="clear"/>
            <w:tcMar>
              <w:left w:w="5" w:type="dxa"/>
            </w:tcMar>
          </w:tcPr>
          <w:p>
            <w:pPr>
              <w:pStyle w:val="Normal1"/>
              <w:jc w:val="center"/>
              <w:rPr/>
            </w:pPr>
            <w:r>
              <w:rPr/>
              <w:t>Horas</w:t>
            </w:r>
            <w:r>
              <w:rPr>
                <w:vertAlign w:val="superscript"/>
              </w:rPr>
              <w:t>2</w:t>
            </w:r>
          </w:p>
        </w:tc>
      </w:tr>
      <w:tr>
        <w:trPr>
          <w:cantSplit w:val="true"/>
        </w:trPr>
        <w:tc>
          <w:tcPr>
            <w:tcW w:w="61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rFonts w:ascii="Liberation Serif" w:hAnsi="Liberation Serif" w:eastAsia="DejaVu Sans" w:cs="FreeSans"/>
                <w:color w:val="FF0000"/>
                <w:sz w:val="24"/>
                <w:szCs w:val="24"/>
                <w:lang w:val="pt-BR" w:eastAsia="zh-CN" w:bidi="hi-IN"/>
              </w:rPr>
            </w:pPr>
            <w:r>
              <w:rPr>
                <w:rFonts w:eastAsia="DejaVu Sans" w:cs="FreeSans"/>
                <w:color w:val="FF0000"/>
                <w:sz w:val="24"/>
                <w:szCs w:val="24"/>
                <w:lang w:val="pt-BR" w:eastAsia="zh-CN" w:bidi="hi-IN"/>
              </w:rPr>
            </w:r>
          </w:p>
        </w:tc>
        <w:tc>
          <w:tcPr>
            <w:tcW w:w="88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pt-BR" w:eastAsia="zh-CN" w:bidi="hi-IN"/>
              </w:rPr>
            </w:pPr>
            <w:r>
              <w:rPr>
                <w:rFonts w:eastAsia="DejaVu Sans" w:cs="FreeSans"/>
                <w:color w:val="FF0000"/>
                <w:sz w:val="24"/>
                <w:szCs w:val="24"/>
                <w:lang w:val="pt-BR" w:eastAsia="zh-CN" w:bidi="hi-IN"/>
              </w:rPr>
            </w:r>
          </w:p>
        </w:tc>
        <w:tc>
          <w:tcPr>
            <w:tcW w:w="75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pt-BR" w:eastAsia="zh-CN" w:bidi="hi-IN"/>
              </w:rPr>
            </w:pPr>
            <w:r>
              <w:rPr>
                <w:rFonts w:eastAsia="DejaVu Sans" w:cs="FreeSans"/>
                <w:color w:val="FF0000"/>
                <w:sz w:val="24"/>
                <w:szCs w:val="24"/>
                <w:lang w:val="pt-BR" w:eastAsia="zh-CN" w:bidi="hi-IN"/>
              </w:rPr>
            </w:r>
          </w:p>
        </w:tc>
        <w:tc>
          <w:tcPr>
            <w:tcW w:w="2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pt-BR" w:eastAsia="zh-CN" w:bidi="hi-IN"/>
              </w:rPr>
            </w:pPr>
            <w:r>
              <w:rPr>
                <w:rFonts w:eastAsia="DejaVu Sans" w:cs="FreeSans"/>
                <w:color w:val="FF0000"/>
                <w:sz w:val="24"/>
                <w:szCs w:val="24"/>
                <w:lang w:val="pt-BR" w:eastAsia="zh-CN" w:bidi="hi-IN"/>
              </w:rPr>
            </w:r>
          </w:p>
        </w:tc>
        <w:tc>
          <w:tcPr>
            <w:tcW w:w="1549" w:type="dxa"/>
            <w:gridSpan w:val="2"/>
            <w:tcBorders>
              <w:top w:val="single" w:sz="4" w:space="0" w:color="00000A"/>
              <w:left w:val="single" w:sz="4" w:space="0" w:color="00000A"/>
              <w:bottom w:val="single" w:sz="4" w:space="0" w:color="00000A"/>
              <w:right w:val="double" w:sz="4" w:space="0" w:color="00000A"/>
              <w:insideH w:val="single" w:sz="4" w:space="0" w:color="00000A"/>
              <w:insideV w:val="doub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pt-BR" w:eastAsia="zh-CN" w:bidi="hi-IN"/>
              </w:rPr>
            </w:pPr>
            <w:r>
              <w:rPr>
                <w:rFonts w:eastAsia="DejaVu Sans" w:cs="FreeSans"/>
                <w:color w:val="FF0000"/>
                <w:sz w:val="24"/>
                <w:szCs w:val="24"/>
                <w:lang w:val="pt-BR" w:eastAsia="zh-CN" w:bidi="hi-IN"/>
              </w:rPr>
            </w:r>
          </w:p>
        </w:tc>
      </w:tr>
      <w:tr>
        <w:trPr>
          <w:cantSplit w:val="true"/>
        </w:trPr>
        <w:tc>
          <w:tcPr>
            <w:tcW w:w="61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rPr>
                <w:rFonts w:ascii="Liberation Serif" w:hAnsi="Liberation Serif" w:eastAsia="DejaVu Sans" w:cs="FreeSans"/>
                <w:color w:val="FF0000"/>
                <w:sz w:val="24"/>
                <w:szCs w:val="24"/>
                <w:lang w:val="pt-BR" w:eastAsia="zh-CN" w:bidi="hi-IN"/>
              </w:rPr>
            </w:pPr>
            <w:r>
              <w:rPr>
                <w:rFonts w:eastAsia="DejaVu Sans" w:cs="FreeSans"/>
                <w:color w:val="FF0000"/>
                <w:sz w:val="24"/>
                <w:szCs w:val="24"/>
                <w:lang w:val="pt-BR" w:eastAsia="zh-CN" w:bidi="hi-IN"/>
              </w:rPr>
            </w:r>
          </w:p>
        </w:tc>
        <w:tc>
          <w:tcPr>
            <w:tcW w:w="88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pt-BR" w:eastAsia="zh-CN" w:bidi="hi-IN"/>
              </w:rPr>
            </w:pPr>
            <w:r>
              <w:rPr>
                <w:rFonts w:eastAsia="DejaVu Sans" w:cs="FreeSans"/>
                <w:color w:val="FF0000"/>
                <w:sz w:val="24"/>
                <w:szCs w:val="24"/>
                <w:lang w:val="pt-BR" w:eastAsia="zh-CN" w:bidi="hi-IN"/>
              </w:rPr>
            </w:r>
          </w:p>
        </w:tc>
        <w:tc>
          <w:tcPr>
            <w:tcW w:w="75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pt-BR" w:eastAsia="zh-CN" w:bidi="hi-IN"/>
              </w:rPr>
            </w:pPr>
            <w:r>
              <w:rPr>
                <w:rFonts w:eastAsia="DejaVu Sans" w:cs="FreeSans"/>
                <w:color w:val="FF0000"/>
                <w:sz w:val="24"/>
                <w:szCs w:val="24"/>
                <w:lang w:val="pt-BR" w:eastAsia="zh-CN" w:bidi="hi-IN"/>
              </w:rPr>
            </w:r>
          </w:p>
        </w:tc>
        <w:tc>
          <w:tcPr>
            <w:tcW w:w="2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pt-BR" w:eastAsia="zh-CN" w:bidi="hi-IN"/>
              </w:rPr>
            </w:pPr>
            <w:r>
              <w:rPr>
                <w:rFonts w:eastAsia="DejaVu Sans" w:cs="FreeSans"/>
                <w:color w:val="FF0000"/>
                <w:sz w:val="24"/>
                <w:szCs w:val="24"/>
                <w:lang w:val="pt-BR" w:eastAsia="zh-CN" w:bidi="hi-IN"/>
              </w:rPr>
            </w:r>
          </w:p>
        </w:tc>
        <w:tc>
          <w:tcPr>
            <w:tcW w:w="1549" w:type="dxa"/>
            <w:gridSpan w:val="2"/>
            <w:tcBorders>
              <w:top w:val="single" w:sz="4" w:space="0" w:color="00000A"/>
              <w:left w:val="single" w:sz="4" w:space="0" w:color="00000A"/>
              <w:bottom w:val="single" w:sz="4" w:space="0" w:color="00000A"/>
              <w:right w:val="double" w:sz="4" w:space="0" w:color="00000A"/>
              <w:insideH w:val="single" w:sz="4" w:space="0" w:color="00000A"/>
              <w:insideV w:val="doub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pt-BR" w:eastAsia="zh-CN" w:bidi="hi-IN"/>
              </w:rPr>
            </w:pPr>
            <w:r>
              <w:rPr>
                <w:rFonts w:eastAsia="DejaVu Sans" w:cs="FreeSans"/>
                <w:color w:val="FF0000"/>
                <w:sz w:val="24"/>
                <w:szCs w:val="24"/>
                <w:lang w:val="pt-BR" w:eastAsia="zh-CN" w:bidi="hi-IN"/>
              </w:rPr>
            </w:r>
          </w:p>
        </w:tc>
      </w:tr>
      <w:tr>
        <w:trPr>
          <w:cantSplit w:val="true"/>
        </w:trPr>
        <w:tc>
          <w:tcPr>
            <w:tcW w:w="6198" w:type="dxa"/>
            <w:tcBorders>
              <w:top w:val="single" w:sz="4" w:space="0" w:color="00000A"/>
              <w:left w:val="single" w:sz="4" w:space="0" w:color="00000A"/>
              <w:bottom w:val="double" w:sz="4" w:space="0" w:color="00000A"/>
              <w:right w:val="single" w:sz="4" w:space="0" w:color="00000A"/>
              <w:insideH w:val="double" w:sz="4" w:space="0" w:color="00000A"/>
              <w:insideV w:val="single" w:sz="4" w:space="0" w:color="00000A"/>
            </w:tcBorders>
            <w:shd w:color="auto" w:fill="auto" w:val="clear"/>
            <w:tcMar>
              <w:left w:w="5" w:type="dxa"/>
            </w:tcMar>
          </w:tcPr>
          <w:p>
            <w:pPr>
              <w:pStyle w:val="Normal1"/>
              <w:rPr>
                <w:rFonts w:ascii="Liberation Serif" w:hAnsi="Liberation Serif" w:eastAsia="DejaVu Sans" w:cs="FreeSans"/>
                <w:color w:val="FF0000"/>
                <w:sz w:val="24"/>
                <w:szCs w:val="24"/>
                <w:lang w:val="pt-BR" w:eastAsia="zh-CN" w:bidi="hi-IN"/>
              </w:rPr>
            </w:pPr>
            <w:r>
              <w:rPr>
                <w:rFonts w:eastAsia="DejaVu Sans" w:cs="FreeSans"/>
                <w:color w:val="FF0000"/>
                <w:sz w:val="24"/>
                <w:szCs w:val="24"/>
                <w:lang w:val="pt-BR" w:eastAsia="zh-CN" w:bidi="hi-IN"/>
              </w:rPr>
            </w:r>
          </w:p>
        </w:tc>
        <w:tc>
          <w:tcPr>
            <w:tcW w:w="884" w:type="dxa"/>
            <w:tcBorders>
              <w:top w:val="single" w:sz="4" w:space="0" w:color="00000A"/>
              <w:left w:val="single" w:sz="4" w:space="0" w:color="00000A"/>
              <w:bottom w:val="double" w:sz="4" w:space="0" w:color="00000A"/>
              <w:right w:val="single" w:sz="4" w:space="0" w:color="00000A"/>
              <w:insideH w:val="doub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pt-BR" w:eastAsia="zh-CN" w:bidi="hi-IN"/>
              </w:rPr>
            </w:pPr>
            <w:r>
              <w:rPr>
                <w:rFonts w:eastAsia="DejaVu Sans" w:cs="FreeSans"/>
                <w:color w:val="FF0000"/>
                <w:sz w:val="24"/>
                <w:szCs w:val="24"/>
                <w:lang w:val="pt-BR" w:eastAsia="zh-CN" w:bidi="hi-IN"/>
              </w:rPr>
            </w:r>
          </w:p>
        </w:tc>
        <w:tc>
          <w:tcPr>
            <w:tcW w:w="759" w:type="dxa"/>
            <w:tcBorders>
              <w:top w:val="single" w:sz="4" w:space="0" w:color="00000A"/>
              <w:left w:val="single" w:sz="4" w:space="0" w:color="00000A"/>
              <w:bottom w:val="double" w:sz="4" w:space="0" w:color="00000A"/>
              <w:right w:val="single" w:sz="4" w:space="0" w:color="00000A"/>
              <w:insideH w:val="doub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pt-BR" w:eastAsia="zh-CN" w:bidi="hi-IN"/>
              </w:rPr>
            </w:pPr>
            <w:r>
              <w:rPr>
                <w:rFonts w:eastAsia="DejaVu Sans" w:cs="FreeSans"/>
                <w:color w:val="FF0000"/>
                <w:sz w:val="24"/>
                <w:szCs w:val="24"/>
                <w:lang w:val="pt-BR" w:eastAsia="zh-CN" w:bidi="hi-IN"/>
              </w:rPr>
            </w:r>
          </w:p>
        </w:tc>
        <w:tc>
          <w:tcPr>
            <w:tcW w:w="248" w:type="dxa"/>
            <w:tcBorders>
              <w:top w:val="single" w:sz="4" w:space="0" w:color="00000A"/>
              <w:left w:val="single" w:sz="4" w:space="0" w:color="00000A"/>
              <w:bottom w:val="double" w:sz="4" w:space="0" w:color="00000A"/>
              <w:right w:val="single" w:sz="4" w:space="0" w:color="00000A"/>
              <w:insideH w:val="double" w:sz="4" w:space="0" w:color="00000A"/>
              <w:insideV w:val="sing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pt-BR" w:eastAsia="zh-CN" w:bidi="hi-IN"/>
              </w:rPr>
            </w:pPr>
            <w:r>
              <w:rPr>
                <w:rFonts w:eastAsia="DejaVu Sans" w:cs="FreeSans"/>
                <w:color w:val="FF0000"/>
                <w:sz w:val="24"/>
                <w:szCs w:val="24"/>
                <w:lang w:val="pt-BR" w:eastAsia="zh-CN" w:bidi="hi-IN"/>
              </w:rPr>
            </w:r>
          </w:p>
        </w:tc>
        <w:tc>
          <w:tcPr>
            <w:tcW w:w="1549" w:type="dxa"/>
            <w:gridSpan w:val="2"/>
            <w:tcBorders>
              <w:top w:val="single" w:sz="4" w:space="0" w:color="00000A"/>
              <w:left w:val="single" w:sz="4" w:space="0" w:color="00000A"/>
              <w:bottom w:val="double" w:sz="4" w:space="0" w:color="00000A"/>
              <w:right w:val="double" w:sz="4" w:space="0" w:color="00000A"/>
              <w:insideH w:val="double" w:sz="4" w:space="0" w:color="00000A"/>
              <w:insideV w:val="double" w:sz="4" w:space="0" w:color="00000A"/>
            </w:tcBorders>
            <w:shd w:color="auto" w:fill="auto" w:val="clear"/>
            <w:tcMar>
              <w:left w:w="5" w:type="dxa"/>
            </w:tcMar>
          </w:tcPr>
          <w:p>
            <w:pPr>
              <w:pStyle w:val="Normal1"/>
              <w:jc w:val="center"/>
              <w:rPr>
                <w:rFonts w:ascii="Liberation Serif" w:hAnsi="Liberation Serif" w:eastAsia="DejaVu Sans" w:cs="FreeSans"/>
                <w:color w:val="FF0000"/>
                <w:sz w:val="24"/>
                <w:szCs w:val="24"/>
                <w:lang w:val="pt-BR" w:eastAsia="zh-CN" w:bidi="hi-IN"/>
              </w:rPr>
            </w:pPr>
            <w:r>
              <w:rPr>
                <w:rFonts w:eastAsia="DejaVu Sans" w:cs="FreeSans"/>
                <w:color w:val="FF0000"/>
                <w:sz w:val="24"/>
                <w:szCs w:val="24"/>
                <w:lang w:val="pt-BR" w:eastAsia="zh-CN" w:bidi="hi-IN"/>
              </w:rPr>
            </w:r>
          </w:p>
        </w:tc>
      </w:tr>
    </w:tbl>
    <w:p>
      <w:pPr>
        <w:pStyle w:val="Corpodotexto"/>
        <w:spacing w:lineRule="auto" w:line="240" w:before="0" w:after="0"/>
        <w:rPr/>
      </w:pPr>
      <w:r>
        <w:rPr/>
        <w:t xml:space="preserve">1 – </w:t>
      </w:r>
      <w:r>
        <w:rPr>
          <w:sz w:val="18"/>
        </w:rPr>
        <w:t xml:space="preserve">Monitoria (MON), Estagiários Supervisionado (EST), Bolsa de Trabalho (BT), Mobilidade (MOB). </w:t>
      </w:r>
      <w:r>
        <w:rPr/>
        <w:t>2 – horas-semana de dedicação.</w:t>
      </w:r>
    </w:p>
    <w:p>
      <w:pPr>
        <w:pStyle w:val="Normal1"/>
        <w:rPr/>
      </w:pPr>
      <w:r>
        <w:rPr/>
      </w:r>
    </w:p>
    <w:p>
      <w:pPr>
        <w:pStyle w:val="Normal1"/>
        <w:rPr/>
      </w:pPr>
      <w:r>
        <w:rPr/>
      </w:r>
    </w:p>
    <w:tbl>
      <w:tblPr>
        <w:tblW w:w="9638" w:type="dxa"/>
        <w:jc w:val="center"/>
        <w:tblInd w:w="0" w:type="dxa"/>
        <w:tblBorders>
          <w:top w:val="double" w:sz="4" w:space="0" w:color="00000A"/>
          <w:left w:val="double" w:sz="4" w:space="0" w:color="00000A"/>
          <w:bottom w:val="single" w:sz="4" w:space="0" w:color="00000A"/>
          <w:right w:val="double" w:sz="4" w:space="0" w:color="00000A"/>
          <w:insideH w:val="single" w:sz="4" w:space="0" w:color="00000A"/>
          <w:insideV w:val="double" w:sz="4" w:space="0" w:color="00000A"/>
        </w:tblBorders>
        <w:tblCellMar>
          <w:top w:w="0" w:type="dxa"/>
          <w:left w:w="-15" w:type="dxa"/>
          <w:bottom w:w="0" w:type="dxa"/>
          <w:right w:w="70" w:type="dxa"/>
        </w:tblCellMar>
      </w:tblPr>
      <w:tblGrid>
        <w:gridCol w:w="9638"/>
      </w:tblGrid>
      <w:tr>
        <w:trPr>
          <w:trHeight w:val="360" w:hRule="atLeast"/>
        </w:trPr>
        <w:tc>
          <w:tcPr>
            <w:tcW w:w="9638" w:type="dxa"/>
            <w:tcBorders>
              <w:top w:val="double" w:sz="4" w:space="0" w:color="00000A"/>
              <w:left w:val="double" w:sz="4" w:space="0" w:color="00000A"/>
              <w:bottom w:val="single" w:sz="4" w:space="0" w:color="00000A"/>
              <w:right w:val="double" w:sz="4" w:space="0" w:color="00000A"/>
              <w:insideH w:val="single" w:sz="4" w:space="0" w:color="00000A"/>
              <w:insideV w:val="double" w:sz="4" w:space="0" w:color="00000A"/>
            </w:tcBorders>
            <w:shd w:color="auto" w:fill="auto" w:val="clear"/>
            <w:tcMar>
              <w:left w:w="-15" w:type="dxa"/>
            </w:tcMar>
            <w:vAlign w:val="center"/>
          </w:tcPr>
          <w:p>
            <w:pPr>
              <w:pStyle w:val="Ttulo4"/>
              <w:keepNext/>
              <w:widowControl w:val="false"/>
              <w:numPr>
                <w:ilvl w:val="0"/>
                <w:numId w:val="0"/>
              </w:numPr>
              <w:overflowPunct w:val="true"/>
              <w:bidi w:val="0"/>
              <w:spacing w:before="240" w:after="120"/>
              <w:jc w:val="center"/>
              <w:outlineLvl w:val="3"/>
              <w:rPr>
                <w:b w:val="false"/>
                <w:b w:val="false"/>
                <w:vertAlign w:val="superscript"/>
              </w:rPr>
            </w:pPr>
            <w:r>
              <w:rPr/>
              <w:t>OUTRAS ATIVIDADES</w:t>
            </w:r>
            <w:r>
              <w:rPr>
                <w:b w:val="false"/>
                <w:vertAlign w:val="superscript"/>
              </w:rPr>
              <w:t>23</w:t>
            </w:r>
          </w:p>
        </w:tc>
      </w:tr>
      <w:tr>
        <w:trPr/>
        <w:tc>
          <w:tcPr>
            <w:tcW w:w="9638" w:type="dxa"/>
            <w:tcBorders>
              <w:top w:val="single" w:sz="4" w:space="0" w:color="00000A"/>
              <w:left w:val="double" w:sz="4" w:space="0" w:color="00000A"/>
              <w:bottom w:val="single" w:sz="4" w:space="0" w:color="00000A"/>
              <w:right w:val="double" w:sz="4" w:space="0" w:color="00000A"/>
              <w:insideH w:val="single" w:sz="4" w:space="0" w:color="00000A"/>
              <w:insideV w:val="double" w:sz="4" w:space="0" w:color="00000A"/>
            </w:tcBorders>
            <w:shd w:color="auto" w:fill="auto" w:val="clear"/>
            <w:tcMar>
              <w:left w:w="-15" w:type="dxa"/>
            </w:tcMar>
          </w:tcPr>
          <w:p>
            <w:pPr>
              <w:pStyle w:val="Normal1"/>
              <w:jc w:val="center"/>
              <w:rPr>
                <w:color w:val="00000A"/>
                <w:sz w:val="24"/>
              </w:rPr>
            </w:pPr>
            <w:r>
              <w:rPr/>
              <w:t>Descrição</w:t>
            </w:r>
          </w:p>
        </w:tc>
      </w:tr>
      <w:tr>
        <w:trPr/>
        <w:tc>
          <w:tcPr>
            <w:tcW w:w="9638" w:type="dxa"/>
            <w:tcBorders>
              <w:top w:val="single" w:sz="4" w:space="0" w:color="00000A"/>
              <w:left w:val="double" w:sz="4" w:space="0" w:color="00000A"/>
              <w:bottom w:val="single" w:sz="4" w:space="0" w:color="00000A"/>
              <w:right w:val="double" w:sz="4" w:space="0" w:color="00000A"/>
              <w:insideH w:val="single" w:sz="4" w:space="0" w:color="00000A"/>
              <w:insideV w:val="double" w:sz="4" w:space="0" w:color="00000A"/>
            </w:tcBorders>
            <w:shd w:color="auto" w:fill="auto" w:val="clear"/>
            <w:tcMar>
              <w:left w:w="-15" w:type="dxa"/>
            </w:tcMar>
          </w:tcPr>
          <w:p>
            <w:pPr>
              <w:pStyle w:val="Normal1"/>
              <w:rPr>
                <w:rFonts w:ascii="Liberation Serif" w:hAnsi="Liberation Serif" w:eastAsia="DejaVu Sans" w:cs="FreeSans"/>
                <w:color w:val="FF0000"/>
                <w:sz w:val="24"/>
                <w:szCs w:val="24"/>
                <w:lang w:val="pt-BR" w:eastAsia="zh-CN" w:bidi="hi-IN"/>
              </w:rPr>
            </w:pPr>
            <w:r>
              <w:rPr>
                <w:rFonts w:eastAsia="DejaVu Sans" w:cs="FreeSans"/>
                <w:color w:val="FF0000"/>
                <w:sz w:val="24"/>
                <w:szCs w:val="24"/>
                <w:lang w:val="pt-BR" w:eastAsia="zh-CN" w:bidi="hi-IN"/>
              </w:rPr>
            </w:r>
          </w:p>
        </w:tc>
      </w:tr>
      <w:tr>
        <w:trPr/>
        <w:tc>
          <w:tcPr>
            <w:tcW w:w="9638" w:type="dxa"/>
            <w:tcBorders>
              <w:top w:val="single" w:sz="4" w:space="0" w:color="00000A"/>
              <w:left w:val="double" w:sz="4" w:space="0" w:color="00000A"/>
              <w:bottom w:val="single" w:sz="4" w:space="0" w:color="00000A"/>
              <w:right w:val="double" w:sz="4" w:space="0" w:color="00000A"/>
              <w:insideH w:val="single" w:sz="4" w:space="0" w:color="00000A"/>
              <w:insideV w:val="double" w:sz="4" w:space="0" w:color="00000A"/>
            </w:tcBorders>
            <w:shd w:color="auto" w:fill="auto" w:val="clear"/>
            <w:tcMar>
              <w:left w:w="-15" w:type="dxa"/>
            </w:tcMar>
          </w:tcPr>
          <w:p>
            <w:pPr>
              <w:pStyle w:val="Normal1"/>
              <w:rPr>
                <w:rFonts w:ascii="Liberation Serif" w:hAnsi="Liberation Serif" w:eastAsia="DejaVu Sans" w:cs="FreeSans"/>
                <w:color w:val="FF0000"/>
                <w:sz w:val="24"/>
                <w:szCs w:val="24"/>
                <w:lang w:val="pt-BR" w:eastAsia="zh-CN" w:bidi="hi-IN"/>
              </w:rPr>
            </w:pPr>
            <w:r>
              <w:rPr>
                <w:rFonts w:eastAsia="DejaVu Sans" w:cs="FreeSans"/>
                <w:color w:val="FF0000"/>
                <w:sz w:val="24"/>
                <w:szCs w:val="24"/>
                <w:lang w:val="pt-BR" w:eastAsia="zh-CN" w:bidi="hi-IN"/>
              </w:rPr>
            </w:r>
          </w:p>
        </w:tc>
      </w:tr>
      <w:tr>
        <w:trPr/>
        <w:tc>
          <w:tcPr>
            <w:tcW w:w="9638" w:type="dxa"/>
            <w:tcBorders>
              <w:top w:val="single" w:sz="4" w:space="0" w:color="00000A"/>
              <w:left w:val="double" w:sz="4" w:space="0" w:color="00000A"/>
              <w:bottom w:val="single" w:sz="4" w:space="0" w:color="00000A"/>
              <w:right w:val="double" w:sz="4" w:space="0" w:color="00000A"/>
              <w:insideH w:val="single" w:sz="4" w:space="0" w:color="00000A"/>
              <w:insideV w:val="double" w:sz="4" w:space="0" w:color="00000A"/>
            </w:tcBorders>
            <w:shd w:color="auto" w:fill="auto" w:val="clear"/>
            <w:tcMar>
              <w:left w:w="-15" w:type="dxa"/>
            </w:tcMar>
          </w:tcPr>
          <w:p>
            <w:pPr>
              <w:pStyle w:val="Normal1"/>
              <w:rPr>
                <w:rFonts w:ascii="Liberation Serif" w:hAnsi="Liberation Serif" w:eastAsia="DejaVu Sans" w:cs="FreeSans"/>
                <w:color w:val="FF0000"/>
                <w:sz w:val="24"/>
                <w:szCs w:val="24"/>
                <w:lang w:val="pt-BR" w:eastAsia="zh-CN" w:bidi="hi-IN"/>
              </w:rPr>
            </w:pPr>
            <w:r>
              <w:rPr>
                <w:rFonts w:eastAsia="DejaVu Sans" w:cs="FreeSans"/>
                <w:color w:val="FF0000"/>
                <w:sz w:val="24"/>
                <w:szCs w:val="24"/>
                <w:lang w:val="pt-BR" w:eastAsia="zh-CN" w:bidi="hi-IN"/>
              </w:rPr>
            </w:r>
          </w:p>
        </w:tc>
      </w:tr>
      <w:tr>
        <w:trPr/>
        <w:tc>
          <w:tcPr>
            <w:tcW w:w="9638" w:type="dxa"/>
            <w:tcBorders>
              <w:top w:val="sing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auto" w:val="clear"/>
            <w:tcMar>
              <w:left w:w="-15" w:type="dxa"/>
            </w:tcMar>
          </w:tcPr>
          <w:p>
            <w:pPr>
              <w:pStyle w:val="Normal1"/>
              <w:rPr>
                <w:rFonts w:ascii="Liberation Serif" w:hAnsi="Liberation Serif" w:eastAsia="DejaVu Sans" w:cs="FreeSans"/>
                <w:color w:val="FF0000"/>
                <w:sz w:val="24"/>
                <w:szCs w:val="24"/>
                <w:lang w:val="pt-BR" w:eastAsia="zh-CN" w:bidi="hi-IN"/>
              </w:rPr>
            </w:pPr>
            <w:r>
              <w:rPr>
                <w:rFonts w:eastAsia="DejaVu Sans" w:cs="FreeSans"/>
                <w:color w:val="FF0000"/>
                <w:sz w:val="24"/>
                <w:szCs w:val="24"/>
                <w:lang w:val="pt-BR" w:eastAsia="zh-CN" w:bidi="hi-IN"/>
              </w:rPr>
            </w:r>
          </w:p>
        </w:tc>
      </w:tr>
    </w:tbl>
    <w:p>
      <w:pPr>
        <w:pStyle w:val="Normal1"/>
        <w:rPr/>
      </w:pPr>
      <w:r>
        <w:rPr/>
      </w:r>
    </w:p>
    <w:p>
      <w:pPr>
        <w:pStyle w:val="Normal1"/>
        <w:rPr/>
      </w:pPr>
      <w:r>
        <w:rPr/>
      </w:r>
    </w:p>
    <w:tbl>
      <w:tblPr>
        <w:tblW w:w="9638" w:type="dxa"/>
        <w:jc w:val="center"/>
        <w:tblInd w:w="0" w:type="dxa"/>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CellMar>
          <w:top w:w="0" w:type="dxa"/>
          <w:left w:w="-15" w:type="dxa"/>
          <w:bottom w:w="0" w:type="dxa"/>
          <w:right w:w="70" w:type="dxa"/>
        </w:tblCellMar>
      </w:tblPr>
      <w:tblGrid>
        <w:gridCol w:w="9638"/>
      </w:tblGrid>
      <w:tr>
        <w:trPr/>
        <w:tc>
          <w:tcPr>
            <w:tcW w:w="9638"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auto" w:val="clear"/>
            <w:tcMar>
              <w:left w:w="-15" w:type="dxa"/>
            </w:tcMar>
            <w:vAlign w:val="center"/>
          </w:tcPr>
          <w:p>
            <w:pPr>
              <w:pStyle w:val="Ttulo5"/>
              <w:spacing w:before="240" w:after="120"/>
              <w:jc w:val="center"/>
              <w:rPr>
                <w:b/>
                <w:b/>
              </w:rPr>
            </w:pPr>
            <w:r>
              <w:rPr>
                <w:b/>
              </w:rPr>
              <w:t>ASSINATURA</w:t>
            </w:r>
          </w:p>
          <w:p>
            <w:pPr>
              <w:pStyle w:val="Normal1"/>
              <w:rPr/>
            </w:pPr>
            <w:r>
              <w:rPr/>
            </w:r>
          </w:p>
          <w:p>
            <w:pPr>
              <w:pStyle w:val="Normal1"/>
              <w:rPr/>
            </w:pPr>
            <w:r>
              <w:rPr/>
              <w:t>Declaro que as informações acima são verdadeiras.</w:t>
            </w:r>
          </w:p>
          <w:p>
            <w:pPr>
              <w:pStyle w:val="Normal1"/>
              <w:rPr/>
            </w:pPr>
            <w:r>
              <w:rPr/>
            </w:r>
          </w:p>
          <w:p>
            <w:pPr>
              <w:pStyle w:val="Normal1"/>
              <w:tabs>
                <w:tab w:val="left" w:pos="3930" w:leader="none"/>
              </w:tabs>
              <w:rPr>
                <w:color w:val="00000A"/>
                <w:sz w:val="24"/>
              </w:rPr>
            </w:pPr>
            <w:r>
              <w:rPr/>
              <w:t xml:space="preserve">                  </w:t>
            </w:r>
            <w:r>
              <w:rPr/>
              <w:t>Data  ___/___/___                             Assinatura do docente:  _____________________________________</w:t>
            </w:r>
          </w:p>
          <w:p>
            <w:pPr>
              <w:pStyle w:val="Normal1"/>
              <w:rPr/>
            </w:pPr>
            <w:r>
              <w:rPr/>
            </w:r>
          </w:p>
        </w:tc>
      </w:tr>
    </w:tbl>
    <w:p>
      <w:pPr>
        <w:pStyle w:val="Normal1"/>
        <w:rPr/>
      </w:pPr>
      <w:r>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rFonts w:ascii="Arial" w:hAnsi="Arial" w:eastAsia="DejaVu Sans" w:cs="FreeSans"/>
          <w:color w:val="00000A"/>
          <w:sz w:val="22"/>
          <w:szCs w:val="22"/>
          <w:lang w:val="pt-BR" w:eastAsia="zh-CN" w:bidi="hi-IN"/>
        </w:rPr>
      </w:pPr>
      <w:r>
        <w:rPr>
          <w:rFonts w:eastAsia="DejaVu Sans" w:cs="FreeSans" w:ascii="Arial" w:hAnsi="Arial"/>
          <w:color w:val="00000A"/>
          <w:sz w:val="22"/>
          <w:szCs w:val="22"/>
          <w:lang w:val="pt-BR" w:eastAsia="zh-CN" w:bidi="hi-IN"/>
        </w:rPr>
      </w:r>
    </w:p>
    <w:p>
      <w:pPr>
        <w:pStyle w:val="Normal1"/>
        <w:jc w:val="both"/>
        <w:rPr/>
      </w:pPr>
      <w:r>
        <w:rPr/>
      </w:r>
    </w:p>
    <w:sectPr>
      <w:type w:val="nextPage"/>
      <w:pgSz w:w="11906" w:h="16838"/>
      <w:pgMar w:left="1134" w:right="1134" w:header="0" w:top="1134" w:footer="0" w:bottom="1134" w:gutter="0"/>
      <w:pgNumType w:fmt="decimal"/>
      <w:formProt w:val="false"/>
      <w:textDirection w:val="lrTb"/>
      <w:docGrid w:type="default" w:linePitch="249"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w:charset w:val="00"/>
    <w:family w:val="swiss"/>
    <w:pitch w:val="variable"/>
  </w:font>
  <w:font w:name="Tahoma">
    <w:charset w:val="00"/>
    <w:family w:val="roman"/>
    <w:pitch w:val="variable"/>
  </w:font>
  <w:font w:name="Liberation Sans">
    <w:altName w:val="Arial"/>
    <w:charset w:val="00"/>
    <w:family w:val="roman"/>
    <w:pitch w:val="variable"/>
  </w:font>
  <w:font w:name="Arial">
    <w:charset w:val="00"/>
    <w:family w:val="roman"/>
    <w:pitch w:val="variable"/>
  </w:font>
  <w:font w:name="Century Gothic">
    <w:charset w:val="00"/>
    <w:family w:val="roman"/>
    <w:pitch w:val="variable"/>
  </w:font>
</w:fonts>
</file>

<file path=word/settings.xml><?xml version="1.0" encoding="utf-8"?>
<w:settings xmlns:w="http://schemas.openxmlformats.org/wordprocessingml/2006/main">
  <w:zoom w:percent="140"/>
  <w:defaultTabStop w:val="720"/>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FreeSans"/>
        <w:szCs w:val="24"/>
        <w:lang w:val="pt-BR" w:eastAsia="zh-CN" w:bidi="hi-IN"/>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jc w:val="left"/>
    </w:pPr>
    <w:rPr>
      <w:rFonts w:ascii="Liberation Serif" w:hAnsi="Liberation Serif" w:eastAsia="DejaVu Sans" w:cs="FreeSans"/>
      <w:color w:val="00000A"/>
      <w:sz w:val="20"/>
      <w:szCs w:val="24"/>
      <w:lang w:val="pt-BR" w:eastAsia="zh-CN" w:bidi="hi-IN"/>
    </w:rPr>
  </w:style>
  <w:style w:type="paragraph" w:styleId="Ttulo1">
    <w:name w:val="Heading 1"/>
    <w:basedOn w:val="Ttulo"/>
    <w:qFormat/>
    <w:pPr/>
    <w:rPr/>
  </w:style>
  <w:style w:type="paragraph" w:styleId="Ttulo2">
    <w:name w:val="Heading 2"/>
    <w:basedOn w:val="Ttulo"/>
    <w:link w:val="Ttulo2Char"/>
    <w:qFormat/>
    <w:rsid w:val="00075a2b"/>
    <w:pPr>
      <w:keepNext/>
      <w:widowControl w:val="false"/>
      <w:overflowPunct w:val="true"/>
      <w:bidi w:val="0"/>
      <w:jc w:val="center"/>
      <w:outlineLvl w:val="1"/>
    </w:pPr>
    <w:rPr>
      <w:rFonts w:ascii="Times New Roman" w:hAnsi="Times New Roman" w:eastAsia="Times New Roman" w:cs="Times New Roman"/>
      <w:b/>
      <w:szCs w:val="20"/>
      <w:lang w:eastAsia="pt-BR" w:bidi="ar-SA"/>
    </w:rPr>
  </w:style>
  <w:style w:type="paragraph" w:styleId="Ttulo3">
    <w:name w:val="Heading 3"/>
    <w:basedOn w:val="Ttulo"/>
    <w:link w:val="Ttulo3Char"/>
    <w:qFormat/>
    <w:rsid w:val="00075a2b"/>
    <w:pPr>
      <w:keepNext/>
      <w:widowControl w:val="false"/>
      <w:overflowPunct w:val="true"/>
      <w:bidi w:val="0"/>
      <w:jc w:val="left"/>
      <w:outlineLvl w:val="2"/>
    </w:pPr>
    <w:rPr>
      <w:rFonts w:ascii="Times New Roman" w:hAnsi="Times New Roman" w:eastAsia="Times New Roman" w:cs="Times New Roman"/>
      <w:b/>
      <w:szCs w:val="20"/>
      <w:lang w:eastAsia="pt-BR" w:bidi="ar-SA"/>
    </w:rPr>
  </w:style>
  <w:style w:type="paragraph" w:styleId="Ttulo4">
    <w:name w:val="Heading 4"/>
    <w:basedOn w:val="Ttulo"/>
    <w:link w:val="Ttulo4Char"/>
    <w:qFormat/>
    <w:rsid w:val="00075a2b"/>
    <w:pPr>
      <w:keepNext/>
      <w:widowControl w:val="false"/>
      <w:overflowPunct w:val="true"/>
      <w:bidi w:val="0"/>
      <w:jc w:val="center"/>
      <w:outlineLvl w:val="3"/>
    </w:pPr>
    <w:rPr>
      <w:rFonts w:ascii="Times New Roman" w:hAnsi="Times New Roman" w:eastAsia="Times New Roman" w:cs="Times New Roman"/>
      <w:b/>
      <w:szCs w:val="20"/>
      <w:lang w:eastAsia="pt-BR" w:bidi="ar-SA"/>
    </w:rPr>
  </w:style>
  <w:style w:type="paragraph" w:styleId="Ttulo5">
    <w:name w:val="Heading 5"/>
    <w:basedOn w:val="Ttulo"/>
    <w:link w:val="Ttulo5Char"/>
    <w:qFormat/>
    <w:rsid w:val="00075a2b"/>
    <w:pPr>
      <w:keepNext/>
      <w:widowControl w:val="false"/>
      <w:overflowPunct w:val="true"/>
      <w:bidi w:val="0"/>
      <w:jc w:val="left"/>
      <w:outlineLvl w:val="4"/>
    </w:pPr>
    <w:rPr>
      <w:rFonts w:ascii="Times New Roman" w:hAnsi="Times New Roman" w:eastAsia="Times New Roman" w:cs="Times New Roman"/>
      <w:szCs w:val="20"/>
      <w:lang w:eastAsia="pt-BR" w:bidi="ar-SA"/>
    </w:rPr>
  </w:style>
  <w:style w:type="character" w:styleId="DefaultParagraphFont" w:default="1">
    <w:name w:val="Default Paragraph Font"/>
    <w:uiPriority w:val="1"/>
    <w:semiHidden/>
    <w:unhideWhenUsed/>
    <w:qFormat/>
    <w:rPr/>
  </w:style>
  <w:style w:type="character" w:styleId="TextodebaloChar" w:customStyle="1">
    <w:name w:val="Texto de balão Char"/>
    <w:basedOn w:val="DefaultParagraphFont"/>
    <w:link w:val="Textodebalo"/>
    <w:uiPriority w:val="99"/>
    <w:semiHidden/>
    <w:qFormat/>
    <w:rsid w:val="0086490d"/>
    <w:rPr>
      <w:rFonts w:ascii="Tahoma" w:hAnsi="Tahoma"/>
      <w:sz w:val="16"/>
      <w:szCs w:val="14"/>
    </w:rPr>
  </w:style>
  <w:style w:type="character" w:styleId="TextodecomentrioChar" w:customStyle="1">
    <w:name w:val="Texto de comentário Char"/>
    <w:basedOn w:val="DefaultParagraphFont"/>
    <w:link w:val="Textodecomentrio"/>
    <w:uiPriority w:val="99"/>
    <w:semiHidden/>
    <w:qFormat/>
    <w:rPr>
      <w:rFonts w:cs="Mangal"/>
      <w:color w:val="00000A"/>
      <w:szCs w:val="18"/>
    </w:rPr>
  </w:style>
  <w:style w:type="character" w:styleId="Annotationreference">
    <w:name w:val="annotation reference"/>
    <w:basedOn w:val="DefaultParagraphFont"/>
    <w:uiPriority w:val="99"/>
    <w:semiHidden/>
    <w:unhideWhenUsed/>
    <w:qFormat/>
    <w:rPr>
      <w:sz w:val="16"/>
      <w:szCs w:val="16"/>
    </w:rPr>
  </w:style>
  <w:style w:type="character" w:styleId="Ttulo2Char" w:customStyle="1">
    <w:name w:val="Título 2 Char"/>
    <w:basedOn w:val="DefaultParagraphFont"/>
    <w:link w:val="Ttulo2"/>
    <w:qFormat/>
    <w:rsid w:val="00075a2b"/>
    <w:rPr>
      <w:rFonts w:ascii="Times New Roman" w:hAnsi="Times New Roman" w:eastAsia="Times New Roman" w:cs="Times New Roman"/>
      <w:b/>
      <w:szCs w:val="20"/>
      <w:lang w:eastAsia="pt-BR" w:bidi="ar-SA"/>
    </w:rPr>
  </w:style>
  <w:style w:type="character" w:styleId="Ttulo3Char" w:customStyle="1">
    <w:name w:val="Título 3 Char"/>
    <w:basedOn w:val="DefaultParagraphFont"/>
    <w:link w:val="Ttulo3"/>
    <w:qFormat/>
    <w:rsid w:val="00075a2b"/>
    <w:rPr>
      <w:rFonts w:ascii="Times New Roman" w:hAnsi="Times New Roman" w:eastAsia="Times New Roman" w:cs="Times New Roman"/>
      <w:b/>
      <w:szCs w:val="20"/>
      <w:lang w:eastAsia="pt-BR" w:bidi="ar-SA"/>
    </w:rPr>
  </w:style>
  <w:style w:type="character" w:styleId="Ttulo4Char" w:customStyle="1">
    <w:name w:val="Título 4 Char"/>
    <w:basedOn w:val="DefaultParagraphFont"/>
    <w:link w:val="Ttulo4"/>
    <w:qFormat/>
    <w:rsid w:val="00075a2b"/>
    <w:rPr>
      <w:rFonts w:ascii="Times New Roman" w:hAnsi="Times New Roman" w:eastAsia="Times New Roman" w:cs="Times New Roman"/>
      <w:b/>
      <w:sz w:val="24"/>
      <w:szCs w:val="20"/>
      <w:lang w:eastAsia="pt-BR" w:bidi="ar-SA"/>
    </w:rPr>
  </w:style>
  <w:style w:type="character" w:styleId="Ttulo5Char" w:customStyle="1">
    <w:name w:val="Título 5 Char"/>
    <w:basedOn w:val="DefaultParagraphFont"/>
    <w:link w:val="Ttulo5"/>
    <w:qFormat/>
    <w:rsid w:val="00075a2b"/>
    <w:rPr>
      <w:rFonts w:ascii="Times New Roman" w:hAnsi="Times New Roman" w:eastAsia="Times New Roman" w:cs="Times New Roman"/>
      <w:sz w:val="24"/>
      <w:szCs w:val="20"/>
      <w:lang w:eastAsia="pt-BR" w:bidi="ar-SA"/>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otexto"/>
    <w:pPr>
      <w:widowControl w:val="false"/>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widowControl w:val="false"/>
      <w:suppressLineNumbers/>
      <w:suppressAutoHyphens w:val="true"/>
      <w:bidi w:val="0"/>
      <w:jc w:val="left"/>
    </w:pPr>
    <w:rPr>
      <w:rFonts w:ascii="Liberation Serif" w:hAnsi="Liberation Serif" w:eastAsia="DejaVu Sans" w:cs="Mangal"/>
      <w:color w:val="00000A"/>
      <w:sz w:val="20"/>
      <w:szCs w:val="24"/>
      <w:lang w:val="pt-BR" w:eastAsia="zh-CN" w:bidi="hi-IN"/>
    </w:rPr>
  </w:style>
  <w:style w:type="paragraph" w:styleId="Corpodotexto" w:customStyle="1">
    <w:name w:val="Corpo do texto"/>
    <w:basedOn w:val="Normal"/>
    <w:qFormat/>
    <w:pPr>
      <w:widowControl w:val="false"/>
      <w:suppressAutoHyphens w:val="true"/>
      <w:bidi w:val="0"/>
      <w:spacing w:lineRule="auto" w:line="288" w:before="0" w:after="140"/>
      <w:jc w:val="left"/>
    </w:pPr>
    <w:rPr>
      <w:rFonts w:ascii="Liberation Serif" w:hAnsi="Liberation Serif" w:eastAsia="DejaVu Sans" w:cs="FreeSans"/>
      <w:color w:val="00000A"/>
      <w:sz w:val="20"/>
      <w:szCs w:val="24"/>
      <w:lang w:val="pt-BR" w:eastAsia="zh-CN" w:bidi="hi-IN"/>
    </w:rPr>
  </w:style>
  <w:style w:type="paragraph" w:styleId="Ttulododocumento" w:customStyle="1">
    <w:name w:val="Title"/>
    <w:basedOn w:val="Ttulo"/>
    <w:qFormat/>
    <w:pPr>
      <w:keepNext/>
      <w:widowControl w:val="false"/>
      <w:suppressAutoHyphens w:val="true"/>
      <w:bidi w:val="0"/>
      <w:spacing w:before="240" w:after="120"/>
      <w:jc w:val="left"/>
    </w:pPr>
    <w:rPr>
      <w:rFonts w:ascii="Liberation Sans" w:hAnsi="Liberation Sans" w:eastAsia="Microsoft YaHei" w:cs="Mangal"/>
      <w:color w:val="00000A"/>
      <w:sz w:val="28"/>
      <w:szCs w:val="28"/>
      <w:lang w:val="pt-BR" w:eastAsia="zh-CN" w:bidi="hi-IN"/>
    </w:rPr>
  </w:style>
  <w:style w:type="paragraph" w:styleId="Caption">
    <w:name w:val="caption"/>
    <w:qFormat/>
    <w:pPr>
      <w:widowControl w:val="false"/>
      <w:suppressLineNumbers/>
      <w:suppressAutoHyphens w:val="true"/>
      <w:bidi w:val="0"/>
      <w:spacing w:before="120" w:after="120"/>
      <w:jc w:val="left"/>
    </w:pPr>
    <w:rPr>
      <w:rFonts w:ascii="Liberation Serif" w:hAnsi="Liberation Serif" w:eastAsia="DejaVu Sans" w:cs="FreeSans"/>
      <w:i/>
      <w:iCs/>
      <w:color w:val="00000A"/>
      <w:sz w:val="24"/>
      <w:szCs w:val="24"/>
      <w:lang w:val="pt-BR" w:eastAsia="zh-CN" w:bidi="hi-IN"/>
    </w:rPr>
  </w:style>
  <w:style w:type="paragraph" w:styleId="Normal1" w:customStyle="1">
    <w:name w:val="Normal1"/>
    <w:qFormat/>
    <w:pPr>
      <w:widowControl/>
      <w:suppressAutoHyphens w:val="true"/>
      <w:bidi w:val="0"/>
      <w:jc w:val="left"/>
      <w:textAlignment w:val="baseline"/>
    </w:pPr>
    <w:rPr>
      <w:rFonts w:ascii="Liberation Serif" w:hAnsi="Liberation Serif" w:eastAsia="DejaVu Sans" w:cs="FreeSans"/>
      <w:color w:val="00000A"/>
      <w:sz w:val="24"/>
      <w:szCs w:val="24"/>
      <w:lang w:val="pt-BR" w:eastAsia="zh-CN" w:bidi="hi-IN"/>
    </w:rPr>
  </w:style>
  <w:style w:type="paragraph" w:styleId="Ttulo11" w:customStyle="1">
    <w:name w:val="Título1"/>
    <w:qFormat/>
    <w:pPr>
      <w:keepNext/>
      <w:widowControl w:val="false"/>
      <w:suppressAutoHyphens w:val="true"/>
      <w:bidi w:val="0"/>
      <w:spacing w:before="240" w:after="120"/>
      <w:jc w:val="left"/>
    </w:pPr>
    <w:rPr>
      <w:rFonts w:ascii="Liberation Sans" w:hAnsi="Liberation Sans" w:eastAsia="Microsoft YaHei" w:cs="FreeSans"/>
      <w:color w:val="00000A"/>
      <w:sz w:val="28"/>
      <w:szCs w:val="28"/>
      <w:lang w:val="pt-BR" w:eastAsia="zh-CN" w:bidi="hi-IN"/>
    </w:rPr>
  </w:style>
  <w:style w:type="paragraph" w:styleId="Cabealho">
    <w:name w:val="Header"/>
    <w:basedOn w:val="Normal1"/>
    <w:pPr>
      <w:suppressLineNumbers/>
      <w:tabs>
        <w:tab w:val="center" w:pos="4819" w:leader="none"/>
        <w:tab w:val="right" w:pos="9638" w:leader="none"/>
      </w:tabs>
    </w:pPr>
    <w:rPr/>
  </w:style>
  <w:style w:type="paragraph" w:styleId="Contedodatabela" w:customStyle="1">
    <w:name w:val="Conteúdo da tabela"/>
    <w:basedOn w:val="Normal1"/>
    <w:qFormat/>
    <w:pPr>
      <w:suppressLineNumbers/>
    </w:pPr>
    <w:rPr/>
  </w:style>
  <w:style w:type="paragraph" w:styleId="BalloonText">
    <w:name w:val="Balloon Text"/>
    <w:basedOn w:val="Normal1"/>
    <w:link w:val="TextodebaloChar"/>
    <w:uiPriority w:val="99"/>
    <w:semiHidden/>
    <w:unhideWhenUsed/>
    <w:qFormat/>
    <w:rsid w:val="0086490d"/>
    <w:pPr/>
    <w:rPr>
      <w:rFonts w:ascii="Tahoma" w:hAnsi="Tahoma"/>
      <w:sz w:val="16"/>
      <w:szCs w:val="14"/>
    </w:rPr>
  </w:style>
  <w:style w:type="paragraph" w:styleId="Annotationtext">
    <w:name w:val="annotation text"/>
    <w:basedOn w:val="Normal1"/>
    <w:link w:val="TextodecomentrioChar"/>
    <w:uiPriority w:val="99"/>
    <w:semiHidden/>
    <w:unhideWhenUsed/>
    <w:qFormat/>
    <w:pPr/>
    <w:rPr>
      <w:rFonts w:cs="Mangal"/>
      <w:sz w:val="20"/>
      <w:szCs w:val="18"/>
    </w:rPr>
  </w:style>
  <w:style w:type="paragraph" w:styleId="Default" w:customStyle="1">
    <w:name w:val="Default"/>
    <w:qFormat/>
    <w:pPr>
      <w:widowControl w:val="false"/>
      <w:suppressAutoHyphens w:val="true"/>
      <w:bidi w:val="0"/>
      <w:jc w:val="left"/>
    </w:pPr>
    <w:rPr>
      <w:rFonts w:ascii="Times New Roman" w:hAnsi="Times New Roman" w:eastAsia="DejaVu Sans" w:cs="FreeSans"/>
      <w:color w:val="000000"/>
      <w:sz w:val="24"/>
      <w:szCs w:val="24"/>
      <w:lang w:val="pt-BR" w:eastAsia="zh-CN" w:bidi="hi-IN"/>
    </w:rPr>
  </w:style>
  <w:style w:type="paragraph" w:styleId="Citaes">
    <w:name w:val="Citações"/>
    <w:basedOn w:val="Normal"/>
    <w:qFormat/>
    <w:pPr/>
    <w:rPr/>
  </w:style>
  <w:style w:type="paragraph" w:styleId="Subttulo">
    <w:name w:val="Subtitle"/>
    <w:basedOn w:val="Ttulo"/>
    <w:qFormat/>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Application>LibreOffice/5.1.5.2$Windows_x86 LibreOffice_project/7a864d8825610a8c07cfc3bc01dd4fce6a9447e5</Application>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2017-04-27T21:52:00Z</dcterms:created>
  <dc:creator>Harriman</dc:creator>
  <dc:description/>
  <dc:language>pt-BR</dc:language>
  <cp:lastModifiedBy/>
  <cp:lastPrinted>2017-01-12T22:18:00Z</cp:lastPrinted>
  <dcterms:modified xsi:type="dcterms:W3CDTF">2017-05-02T17:59:05Z</dcterms:modified>
  <cp:revision>22</cp:revision>
  <dc:subject/>
  <dc:title>TÍTULO I</dc:title>
</cp:coreProperties>
</file>