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ESCTITULOS"/>
        <w:keepLines w:val="false"/>
        <w:numPr>
          <w:ilvl w:val="0"/>
          <w:numId w:val="0"/>
        </w:numPr>
        <w:pBdr/>
        <w:spacing w:before="280" w:after="280"/>
        <w:ind w:firstLine="2410"/>
        <w:jc w:val="right"/>
        <w:rPr>
          <w:rFonts w:cs="Arial"/>
          <w:szCs w:val="24"/>
        </w:rPr>
      </w:pPr>
      <w:r>
        <w:rPr>
          <w:rFonts w:cs="Arial"/>
          <w:szCs w:val="24"/>
        </w:rPr>
        <w:t>CONSULTA</w:t>
      </w:r>
    </w:p>
    <w:p>
      <w:pPr>
        <w:pStyle w:val="ESCTITULOS"/>
        <w:keepLines w:val="false"/>
        <w:numPr>
          <w:ilvl w:val="0"/>
          <w:numId w:val="0"/>
        </w:numPr>
        <w:pBdr/>
        <w:ind w:left="2268" w:firstLine="2268"/>
        <w:rPr>
          <w:rFonts w:cs="Arial"/>
          <w:b w:val="false"/>
          <w:b w:val="false"/>
          <w:szCs w:val="24"/>
        </w:rPr>
      </w:pPr>
      <w:r>
        <w:rPr>
          <w:rFonts w:cs="Arial"/>
          <w:szCs w:val="24"/>
        </w:rPr>
        <w:t>RESOLUÇÃO CONSU UFVJM.</w:t>
      </w:r>
      <w:r>
        <w:rPr>
          <w:rFonts w:cs="Arial"/>
          <w:b w:val="false"/>
          <w:szCs w:val="24"/>
        </w:rPr>
        <w:t xml:space="preserve"> Estabelece as normas e os procedimentos gerais destinados à realização de concurso público de provas e títulos para o ingresso na carreira e cargos do magistério federal superior na Universidade Federal dos Vales do Jequitinhonha e Mucuri e dá outras providências.</w:t>
      </w:r>
    </w:p>
    <w:p>
      <w:pPr>
        <w:pStyle w:val="Normal"/>
        <w:rPr>
          <w:b/>
          <w:b/>
        </w:rPr>
      </w:pPr>
      <w:r>
        <w:rPr/>
        <w:t>Trata-se de consulta formulada pela ADUFVJM - Seção Sindical dos Docentes da Universidade Federal dos Vales do Jequitinhonha e Mucuri a respeito da legalidade da RESOLUÇÃO acima referida que está para ser votada no CONSU da UFVJM.</w:t>
      </w:r>
    </w:p>
    <w:p>
      <w:pPr>
        <w:pStyle w:val="ESCTITULOS"/>
        <w:keepLines w:val="false"/>
        <w:numPr>
          <w:ilvl w:val="0"/>
          <w:numId w:val="0"/>
        </w:numPr>
        <w:pBdr/>
        <w:ind w:firstLine="2410"/>
        <w:rPr>
          <w:rFonts w:cs="Arial"/>
          <w:color w:val="000000"/>
          <w:szCs w:val="24"/>
        </w:rPr>
      </w:pPr>
      <w:r>
        <w:rPr>
          <w:rFonts w:cs="Arial"/>
          <w:b w:val="false"/>
          <w:szCs w:val="24"/>
        </w:rPr>
        <w:t xml:space="preserve">Pois bem. Traçamos uma análise da referida RESOLUÇÃO com base Constituição Federal, nas Leis 8.112/1990, 9.784/1999 e 12.772/2012, além de Decretos que tratam do tema, destacando os pontos passíveis de impugnação. </w:t>
      </w:r>
    </w:p>
    <w:p>
      <w:pPr>
        <w:pStyle w:val="Normal"/>
        <w:ind w:firstLine="2410"/>
        <w:rPr>
          <w:rFonts w:cs="Arial"/>
          <w:color w:val="000000"/>
          <w:szCs w:val="24"/>
        </w:rPr>
      </w:pPr>
      <w:r>
        <w:rPr>
          <w:rFonts w:cs="Arial"/>
          <w:color w:val="000000"/>
          <w:szCs w:val="24"/>
        </w:rPr>
        <w:t>É sob essa ótica que devem ser analisados os dispositivos da RESOLUÇÃO, ou seja, à medida que restrinjam ou ampliem direitos previstos em leis, apresentam-se ilegais, mostrando-se conformes a legislação apenas quando se limitem a disciplinar e regulamentar, nos termos das leis, os procedimentos para a realização dos concursos.</w:t>
      </w:r>
    </w:p>
    <w:p>
      <w:pPr>
        <w:pStyle w:val="Normal"/>
        <w:ind w:firstLine="2410"/>
        <w:rPr>
          <w:rFonts w:cs="Arial"/>
          <w:color w:val="000000"/>
          <w:szCs w:val="24"/>
        </w:rPr>
      </w:pPr>
      <w:r>
        <w:rPr>
          <w:rFonts w:cs="Arial"/>
          <w:color w:val="000000"/>
          <w:szCs w:val="24"/>
        </w:rPr>
        <w:t>Ao final, apontaremos os dispositivos da norma que podem ser melhor redigidos e/ou cuja pertinência e interesse em mantê-los devem ser avaliados.</w:t>
      </w:r>
    </w:p>
    <w:p>
      <w:pPr>
        <w:pStyle w:val="Normal"/>
        <w:ind w:firstLine="2410"/>
        <w:rPr>
          <w:rFonts w:cs="Arial"/>
          <w:color w:val="000000"/>
          <w:szCs w:val="24"/>
        </w:rPr>
      </w:pPr>
      <w:r>
        <w:rPr>
          <w:rFonts w:cs="Arial"/>
          <w:color w:val="000000"/>
          <w:szCs w:val="24"/>
        </w:rPr>
        <w:t>Nesse sentido, passamos a apontar os dispositivos da RESOLUÇÃO que se apresentam passíveis de impugnação:</w:t>
      </w:r>
    </w:p>
    <w:p>
      <w:pPr>
        <w:pStyle w:val="Quote"/>
        <w:rPr/>
      </w:pPr>
      <w:r>
        <w:rPr>
          <w:bCs/>
        </w:rPr>
        <w:t>Art. 11.</w:t>
      </w:r>
      <w:r>
        <w:rPr/>
        <w:t xml:space="preserve"> A reserva de vagas para pessoas portadoras de deficiência, negros e pardos será feita para o cargo de docente, independentemente da localidade ou das especialidades, áreas ou subáreas de conhecimento para as quais os docentes serão contratados.</w:t>
      </w:r>
    </w:p>
    <w:p>
      <w:pPr>
        <w:pStyle w:val="Quote"/>
        <w:rPr/>
      </w:pPr>
      <w:r>
        <w:rPr>
          <w:bCs/>
        </w:rPr>
        <w:t>Parágrafo único</w:t>
      </w:r>
      <w:r>
        <w:rPr/>
        <w:t xml:space="preserve"> – É terminantemente vedado o desmembramento de vagas para o cargo de docente por localidade ou especialidade, área ou subárea do conhecimento que venham a impedir a aplicação da legislação em vigor sobre reserva de vagas às pessoas com deficiência ou negros e pardos.</w:t>
      </w:r>
    </w:p>
    <w:p>
      <w:pPr>
        <w:pStyle w:val="Normal"/>
        <w:rPr/>
      </w:pPr>
      <w:r>
        <w:rPr/>
        <w:t>É recomendável mencionar expressamente que só haverá reserva de vagas para negros na hipótese de o concurso público ofertar três ou mais vagas, conforme previsão do §1º do art. 1º da Lei nº 12.990/2014.</w:t>
      </w:r>
    </w:p>
    <w:p>
      <w:pPr>
        <w:pStyle w:val="Citaolegislao"/>
        <w:rPr/>
      </w:pPr>
      <w:bookmarkStart w:id="0" w:name="art1"/>
      <w:bookmarkEnd w:id="0"/>
      <w:r>
        <w:rPr/>
        <w:t>Lei nº 12.990/2014 - Art. 1</w:t>
      </w:r>
      <w:r>
        <w:rPr>
          <w:u w:val="single"/>
          <w:vertAlign w:val="superscript"/>
        </w:rPr>
        <w:t>o</w:t>
      </w:r>
      <w:r>
        <w:rPr/>
        <w:t xml:space="preserve"> </w:t>
      </w:r>
      <w:r>
        <w:rPr>
          <w:lang w:val="pt-PT"/>
        </w:rPr>
        <w:t xml:space="preserve">Ficam reservadas aos negros </w:t>
      </w:r>
      <w:r>
        <w:rPr/>
        <w:t xml:space="preserve">20% (vinte por cento) </w:t>
      </w:r>
      <w:r>
        <w:rPr>
          <w:lang w:val="pt-PT"/>
        </w:rPr>
        <w:t xml:space="preserve">das vagas oferecidas nos concursos públicos para provimento de cargos efetivos e empregos públicos no âmbito </w:t>
      </w:r>
      <w:r>
        <w:rPr/>
        <w:t>d</w:t>
      </w:r>
      <w:r>
        <w:rPr>
          <w:lang w:val="pt-PT"/>
        </w:rPr>
        <w:t xml:space="preserve">a administração pública federal, das autarquias, das fundações públicas, das </w:t>
      </w:r>
      <w:r>
        <w:rPr/>
        <w:t>empresas</w:t>
      </w:r>
      <w:r>
        <w:rPr>
          <w:lang w:val="pt-PT"/>
        </w:rPr>
        <w:t xml:space="preserve"> públicas e das sociedades de economia mista controladas pela União</w:t>
      </w:r>
      <w:r>
        <w:rPr/>
        <w:t>, na forma desta Lei.</w:t>
      </w:r>
    </w:p>
    <w:p>
      <w:pPr>
        <w:pStyle w:val="Citaolegislao"/>
        <w:rPr/>
      </w:pPr>
      <w:bookmarkStart w:id="1" w:name="art1§1"/>
      <w:bookmarkEnd w:id="1"/>
      <w:r>
        <w:rPr/>
        <w:t>§ 1</w:t>
      </w:r>
      <w:r>
        <w:rPr>
          <w:u w:val="single"/>
          <w:vertAlign w:val="superscript"/>
        </w:rPr>
        <w:t>o</w:t>
      </w:r>
      <w:r>
        <w:rPr/>
        <w:t xml:space="preserve"> A reserva de vagas será a</w:t>
      </w:r>
      <w:r>
        <w:rPr>
          <w:rStyle w:val="CitaoChar"/>
          <w:b w:val="false"/>
          <w:i w:val="false"/>
        </w:rPr>
        <w:t>p</w:t>
      </w:r>
      <w:r>
        <w:rPr/>
        <w:t>licada sempre que o número de vagas oferecidas no concurso público for igual ou superior a 3 (três).</w:t>
      </w:r>
    </w:p>
    <w:p>
      <w:pPr>
        <w:pStyle w:val="Quote"/>
        <w:rPr/>
      </w:pPr>
      <w:r>
        <w:rPr>
          <w:bCs/>
        </w:rPr>
        <w:t>Art. 13</w:t>
      </w:r>
      <w:r>
        <w:rPr/>
        <w:t>. No ato da inscrição, o candidato com deficiência deverá informar se concorrerá à(s) vaga(s) reservada(s) para pessoas com deficiência, conforme previsto no Edital do certame, bem como, qual a sua deficiência, encaminhar junto aos documentos da inscrição o Laudo Médico, original e expedido no prazo máximo de 90 (noventa) dias antes do término das inscrições, indicando a sua deficiência e o CID (Classificação Internacional de Doença) correspondente, atestando a espécie e o grau ou nível de deficiência. Deverá informar se necessita de condições especiais para a realização das provas, e, se for o caso, de quais condições necessita que sejam atendidas, obedecendo a critérios de viabilidade e razoabilidade.</w:t>
      </w:r>
    </w:p>
    <w:p>
      <w:pPr>
        <w:pStyle w:val="Quote"/>
        <w:rPr/>
      </w:pPr>
      <w:bookmarkStart w:id="2" w:name="OLE_LINK4"/>
      <w:bookmarkEnd w:id="2"/>
      <w:r>
        <w:rPr>
          <w:bCs/>
        </w:rPr>
        <w:t>(...)</w:t>
      </w:r>
    </w:p>
    <w:p>
      <w:pPr>
        <w:pStyle w:val="Quote"/>
        <w:rPr/>
      </w:pPr>
      <w:r>
        <w:rPr>
          <w:bCs/>
        </w:rPr>
        <w:t>§ 2º</w:t>
      </w:r>
      <w:r>
        <w:rPr/>
        <w:t xml:space="preserve"> - Não serão considerados como deficiência visual os distúrbios de acuidade visuais passíveis de correção, salvo os casos de pessoas com visão monocular, conforme o disposto na Súmula Nº 45, de 14/9/09, da Advocacia-Geral da União.</w:t>
      </w:r>
    </w:p>
    <w:p>
      <w:pPr>
        <w:pStyle w:val="Normal"/>
        <w:rPr/>
      </w:pPr>
      <w:r>
        <w:rPr/>
        <w:t xml:space="preserve">O </w:t>
      </w:r>
      <w:bookmarkStart w:id="3" w:name="OLE_LINK3"/>
      <w:bookmarkStart w:id="4" w:name="OLE_LINK2"/>
      <w:bookmarkStart w:id="5" w:name="OLE_LINK1"/>
      <w:r>
        <w:rPr/>
        <w:t>enunciado nº 377 da súmula do Superior Tribunal de Justiça (STJ)</w:t>
      </w:r>
      <w:bookmarkEnd w:id="3"/>
      <w:bookmarkEnd w:id="4"/>
      <w:bookmarkEnd w:id="5"/>
      <w:r>
        <w:rPr/>
        <w:t>, fundamenta a participação do portador de visão monocular em concurso público, concorrendo às vagas reservadas aos deficientes:</w:t>
      </w:r>
    </w:p>
    <w:p>
      <w:pPr>
        <w:pStyle w:val="Citaolegislao"/>
        <w:rPr/>
      </w:pPr>
      <w:r>
        <w:rPr/>
        <w:t>Súmula 377-STJ: O portador de visão monocular tem direito de concorrer, em concurso público, às vagas reservadas aos deficientes.</w:t>
      </w:r>
    </w:p>
    <w:p>
      <w:pPr>
        <w:pStyle w:val="Normal"/>
        <w:rPr/>
      </w:pPr>
      <w:r>
        <w:rPr/>
        <w:t>Assim é recomendável a citação do enunciado em questão, no artigo acima transcrito, além daquele da AGU.</w:t>
      </w:r>
    </w:p>
    <w:p>
      <w:pPr>
        <w:pStyle w:val="Normal"/>
        <w:rPr/>
      </w:pPr>
      <w:r>
        <w:rPr/>
        <w:t>Com o fito de evitar problemas, é oportuno mencionar ainda na RESOLUÇÃO que o candidato portador de surdez unilateral não se qualifica como pessoa com deficiência para disputar as vagas reservadas no concurso público, conforme previsão do enunciado nº 552 da súmula do STJ:</w:t>
      </w:r>
    </w:p>
    <w:p>
      <w:pPr>
        <w:pStyle w:val="Citaolegislao"/>
        <w:rPr/>
      </w:pPr>
      <w:r>
        <w:rPr/>
        <w:t>Súmula 552-STJ: O portador de surdez unilateral não se qualifica como pessoa com deficiência para o fim de disputar as vagas reservadas em concursos públicos.</w:t>
      </w:r>
    </w:p>
    <w:p>
      <w:pPr>
        <w:pStyle w:val="Quote"/>
        <w:rPr/>
      </w:pPr>
      <w:r>
        <w:rPr/>
        <w:t xml:space="preserve">Art. 13. </w:t>
      </w:r>
    </w:p>
    <w:p>
      <w:pPr>
        <w:pStyle w:val="Quote"/>
        <w:rPr/>
      </w:pPr>
      <w:r>
        <w:rPr/>
        <w:t>(...)</w:t>
      </w:r>
    </w:p>
    <w:p>
      <w:pPr>
        <w:pStyle w:val="Quote"/>
        <w:rPr/>
      </w:pPr>
      <w:r>
        <w:rPr/>
        <w:t>§ 5º - O candidato inscrito para as vagas reservadas à deficientes, se aprovado, será avaliado por uma equipe multiprofissional, de acordo com o artigo 43 do Decreto 3298/99.</w:t>
      </w:r>
    </w:p>
    <w:p>
      <w:pPr>
        <w:pStyle w:val="Normal"/>
        <w:rPr/>
      </w:pPr>
      <w:r>
        <w:rPr/>
        <w:t>É prudente inserir a possibilidade de o candidato deficiente requerer tempo adicional para realização das provas, uma vez que há previsão expressa para tal benefício, nos termos do art. 40, § 2º da Lei nº 8.112/90.</w:t>
      </w:r>
    </w:p>
    <w:p>
      <w:pPr>
        <w:pStyle w:val="Citaolegislao"/>
        <w:rPr/>
      </w:pPr>
      <w:r>
        <w:rPr/>
        <w:t xml:space="preserve">Art. 40.  É vedado à autoridade competente obstar a inscrição de pessoa portadora de deficiência em concurso público para ingresso em carreira da Administração Pública Federal direta e indireta. </w:t>
      </w:r>
    </w:p>
    <w:p>
      <w:pPr>
        <w:pStyle w:val="Citaolegislao"/>
        <w:rPr/>
      </w:pPr>
      <w:r>
        <w:rPr/>
        <w:t>§ 1</w:t>
      </w:r>
      <w:r>
        <w:rPr>
          <w:u w:val="single"/>
          <w:vertAlign w:val="superscript"/>
        </w:rPr>
        <w:t>o</w:t>
      </w:r>
      <w:r>
        <w:rPr/>
        <w:t>  No ato da inscrição, o candidato portador de deficiência que necessite de tratamento diferenciado nos dias do concurso deverá requerê-lo, no prazo determinado em edital, indicando as condições diferenciadas de que necessita para a realização das provas.</w:t>
      </w:r>
    </w:p>
    <w:p>
      <w:pPr>
        <w:pStyle w:val="Citaolegislao"/>
        <w:rPr/>
      </w:pPr>
      <w:r>
        <w:rPr>
          <w:u w:val="single"/>
        </w:rPr>
        <w:t>§ 2</w:t>
      </w:r>
      <w:r>
        <w:rPr>
          <w:u w:val="single"/>
          <w:vertAlign w:val="superscript"/>
        </w:rPr>
        <w:t>o</w:t>
      </w:r>
      <w:r>
        <w:rPr>
          <w:u w:val="single"/>
        </w:rPr>
        <w:t>  O candidato portador de deficiência que necessitar de tempo adicional para realização das provas deverá requerê-lo, com justificativa acompanhada de parecer emitido por especialista da área de sua deficiência, no prazo estabelecido no edital do concurso</w:t>
      </w:r>
      <w:r>
        <w:rPr/>
        <w:t>.</w:t>
      </w:r>
    </w:p>
    <w:p>
      <w:pPr>
        <w:pStyle w:val="Quote"/>
        <w:rPr/>
      </w:pPr>
      <w:r>
        <w:rPr>
          <w:bCs/>
        </w:rPr>
        <w:t>Art. 16.</w:t>
      </w:r>
      <w:r>
        <w:rPr/>
        <w:t xml:space="preserve"> Os candidatos às vagas reservadas para deficientes ou negros submetem-se às mesmas regras impostas aos demais candidatos no que tange:</w:t>
      </w:r>
    </w:p>
    <w:p>
      <w:pPr>
        <w:pStyle w:val="Quote"/>
        <w:rPr/>
      </w:pPr>
      <w:r>
        <w:rPr/>
        <w:t>I. ao conteúdo das provas;</w:t>
      </w:r>
    </w:p>
    <w:p>
      <w:pPr>
        <w:pStyle w:val="Quote"/>
        <w:rPr/>
      </w:pPr>
      <w:r>
        <w:rPr/>
        <w:t>II. aos critérios de avaliação e aprovação;</w:t>
      </w:r>
    </w:p>
    <w:p>
      <w:pPr>
        <w:pStyle w:val="Quote"/>
        <w:rPr>
          <w:u w:val="single"/>
        </w:rPr>
      </w:pPr>
      <w:r>
        <w:rPr>
          <w:u w:val="single"/>
        </w:rPr>
        <w:t>III. ao horário e local de aplicação das provas, garantida a devida acessibilidade.</w:t>
      </w:r>
    </w:p>
    <w:p>
      <w:pPr>
        <w:pStyle w:val="Normal"/>
        <w:rPr/>
      </w:pPr>
      <w:r>
        <w:rPr/>
        <w:t xml:space="preserve">Dentro da previsão do § 2º do art. 40 da Lei 8.112/90, o último inciso do artigo acima pode ser visto como um limitador da previsão legal de tempo adicional para realização das provas, ensejando impugnação. </w:t>
      </w:r>
    </w:p>
    <w:p>
      <w:pPr>
        <w:pStyle w:val="Quote"/>
        <w:rPr/>
      </w:pPr>
      <w:r>
        <w:rPr/>
        <w:t>Art. 21. A minuta de edital de abertura de concurso público, de responsabilidade da PROGEP, deverá conter obrigatoriamente as seguintes informações:</w:t>
      </w:r>
    </w:p>
    <w:p>
      <w:pPr>
        <w:pStyle w:val="Quote"/>
        <w:rPr/>
      </w:pPr>
      <w:r>
        <w:rPr/>
        <w:t>(...)</w:t>
      </w:r>
    </w:p>
    <w:p>
      <w:pPr>
        <w:pStyle w:val="Quote"/>
        <w:rPr/>
      </w:pPr>
      <w:r>
        <w:rPr/>
        <w:t>VII – Valor da taxa de inscrição, hipótese de isenção e orientações para a apresentação do requerimento de isenção da taxa de inscrição, conforme legislação aplicável;</w:t>
      </w:r>
    </w:p>
    <w:p>
      <w:pPr>
        <w:pStyle w:val="Normal"/>
        <w:rPr/>
      </w:pPr>
      <w:r>
        <w:rPr/>
        <w:t xml:space="preserve">Diante de previsão do art. 1º do </w:t>
      </w:r>
      <w:bookmarkStart w:id="6" w:name="OLE_LINK8"/>
      <w:bookmarkStart w:id="7" w:name="OLE_LINK7"/>
      <w:r>
        <w:rPr/>
        <w:t>Decreto nº 6.593/2008</w:t>
      </w:r>
      <w:bookmarkEnd w:id="6"/>
      <w:bookmarkEnd w:id="7"/>
      <w:r>
        <w:rPr/>
        <w:t xml:space="preserve">, deve haver menção de que o edital deve prever a possibilidade de isenção de taxa de inscrição para o candidato inscrito no </w:t>
      </w:r>
      <w:r>
        <w:rPr>
          <w:rFonts w:cs="Arial"/>
          <w:color w:val="000000"/>
          <w:szCs w:val="24"/>
        </w:rPr>
        <w:t>Cadastro Único para Programas Sociais do Governo Federal - CadÚnico</w:t>
      </w:r>
      <w:r>
        <w:rPr/>
        <w:t xml:space="preserve"> e seja integrante de família de baixa renda. Veja:</w:t>
      </w:r>
    </w:p>
    <w:p>
      <w:pPr>
        <w:pStyle w:val="Citaolegislao"/>
        <w:rPr/>
      </w:pPr>
      <w:r>
        <w:rPr/>
        <w:t>Art. 1</w:t>
      </w:r>
      <w:r>
        <w:rPr>
          <w:u w:val="single"/>
          <w:vertAlign w:val="superscript"/>
        </w:rPr>
        <w:t>o</w:t>
      </w:r>
      <w:r>
        <w:rPr/>
        <w:t>  Os editais de concurso público dos órgãos da administração direta, das autarquias e das fundações públicas do Poder Executivo federal deverão prever a possibilidade de isenção de taxa de inscrição para o candidato que:</w:t>
      </w:r>
    </w:p>
    <w:p>
      <w:pPr>
        <w:pStyle w:val="Citaolegislao"/>
        <w:rPr/>
      </w:pPr>
      <w:r>
        <w:rPr/>
        <w:t xml:space="preserve">I - estiver inscrito no </w:t>
      </w:r>
      <w:bookmarkStart w:id="8" w:name="OLE_LINK6"/>
      <w:bookmarkStart w:id="9" w:name="OLE_LINK5"/>
      <w:r>
        <w:rPr/>
        <w:t>Cadastro Único para Programas Sociais do Governo Federal - CadÚnico</w:t>
      </w:r>
      <w:bookmarkEnd w:id="8"/>
      <w:bookmarkEnd w:id="9"/>
      <w:r>
        <w:rPr/>
        <w:t>, de que trata o </w:t>
      </w:r>
      <w:hyperlink r:id="rId2">
        <w:r>
          <w:rPr>
            <w:rStyle w:val="LinkdaInternet"/>
            <w:color w:val="0000FF"/>
            <w:u w:val="single"/>
          </w:rPr>
          <w:t>Decreto n</w:t>
        </w:r>
        <w:r>
          <w:rPr>
            <w:rStyle w:val="LinkdaInternet"/>
            <w:color w:val="0000FF"/>
            <w:u w:val="single"/>
            <w:vertAlign w:val="superscript"/>
          </w:rPr>
          <w:t>o</w:t>
        </w:r>
        <w:r>
          <w:rPr>
            <w:rStyle w:val="LinkdaInternet"/>
            <w:color w:val="0000FF"/>
            <w:u w:val="single"/>
          </w:rPr>
          <w:t> 6.135, de 26 de junho de 2007</w:t>
        </w:r>
      </w:hyperlink>
      <w:r>
        <w:rPr/>
        <w:t>; e</w:t>
      </w:r>
    </w:p>
    <w:p>
      <w:pPr>
        <w:pStyle w:val="Citaolegislao"/>
        <w:rPr/>
      </w:pPr>
      <w:r>
        <w:rPr/>
        <w:t>II - for membro de família de baixa renda, nos termos do </w:t>
      </w:r>
      <w:hyperlink r:id="rId3">
        <w:r>
          <w:rPr>
            <w:rStyle w:val="LinkdaInternet"/>
            <w:color w:val="0000FF"/>
            <w:u w:val="single"/>
          </w:rPr>
          <w:t>Decreto nº 6.135, de 2007</w:t>
        </w:r>
      </w:hyperlink>
      <w:r>
        <w:rPr/>
        <w:t>. </w:t>
      </w:r>
    </w:p>
    <w:p>
      <w:pPr>
        <w:pStyle w:val="Citaolegislao"/>
        <w:rPr/>
      </w:pPr>
      <w:r>
        <w:rPr/>
        <w:t>§ 1</w:t>
      </w:r>
      <w:r>
        <w:rPr>
          <w:u w:val="single"/>
          <w:vertAlign w:val="superscript"/>
        </w:rPr>
        <w:t>o</w:t>
      </w:r>
      <w:r>
        <w:rPr/>
        <w:t>  A isenção mencionada no caput deverá ser solicitada mediante requerimento do candidato, contendo:</w:t>
      </w:r>
    </w:p>
    <w:p>
      <w:pPr>
        <w:pStyle w:val="Citaolegislao"/>
        <w:rPr/>
      </w:pPr>
      <w:r>
        <w:rPr/>
        <w:t>I - indicação do Número de Identificação Social - NIS, atribuído pelo CadÚnico; e</w:t>
      </w:r>
    </w:p>
    <w:p>
      <w:pPr>
        <w:pStyle w:val="Citaolegislao"/>
        <w:rPr/>
      </w:pPr>
      <w:r>
        <w:rPr/>
        <w:t>II - declaração de que atende à condição estabelecida no inciso II do caput. </w:t>
      </w:r>
    </w:p>
    <w:p>
      <w:pPr>
        <w:pStyle w:val="Citaolegislao"/>
        <w:rPr/>
      </w:pPr>
      <w:r>
        <w:rPr/>
        <w:t>§ 2</w:t>
      </w:r>
      <w:r>
        <w:rPr>
          <w:u w:val="single"/>
          <w:vertAlign w:val="superscript"/>
        </w:rPr>
        <w:t>o</w:t>
      </w:r>
      <w:r>
        <w:rPr/>
        <w:t>  O órgão ou entidade executor do concurso público consultará o órgão gestor do CadÚnico para verificar a veracidade das informações prestadas pelo candidato. </w:t>
      </w:r>
    </w:p>
    <w:p>
      <w:pPr>
        <w:pStyle w:val="Citaolegislao"/>
        <w:rPr/>
      </w:pPr>
      <w:r>
        <w:rPr/>
        <w:t>§ 3</w:t>
      </w:r>
      <w:r>
        <w:rPr>
          <w:u w:val="single"/>
          <w:vertAlign w:val="superscript"/>
        </w:rPr>
        <w:t>o</w:t>
      </w:r>
      <w:r>
        <w:rPr/>
        <w:t>  A declaração falsa sujeitará o candidato às sanções previstas em lei, aplicando-se, ainda, o disposto no parágrafo único do </w:t>
      </w:r>
      <w:r>
        <w:fldChar w:fldCharType="begin"/>
      </w:r>
      <w:r>
        <w:instrText> HYPERLINK "http://www.planalto.gov.br/ccivil_03/decreto/Antigos/D83936.htm" \l "art10"</w:instrText>
      </w:r>
      <w:r>
        <w:fldChar w:fldCharType="separate"/>
      </w:r>
      <w:r>
        <w:rPr>
          <w:rStyle w:val="LinkdaInternet"/>
          <w:color w:val="0000FF"/>
          <w:u w:val="single"/>
        </w:rPr>
        <w:t>art. 10 do Decreto n</w:t>
      </w:r>
      <w:r>
        <w:fldChar w:fldCharType="end"/>
      </w:r>
      <w:r>
        <w:rPr>
          <w:rStyle w:val="LinkdaInternet"/>
          <w:color w:val="0000FF"/>
          <w:u w:val="single"/>
          <w:vertAlign w:val="superscript"/>
        </w:rPr>
        <w:t>o</w:t>
      </w:r>
      <w:r>
        <w:rPr>
          <w:rStyle w:val="LinkdaInternet"/>
          <w:color w:val="0000FF"/>
          <w:u w:val="single"/>
        </w:rPr>
        <w:t> 83.936, de 6 de setembro de 1979.</w:t>
      </w:r>
      <w:r>
        <w:rPr/>
        <w:t> </w:t>
      </w:r>
    </w:p>
    <w:p>
      <w:pPr>
        <w:pStyle w:val="Citaolegislao"/>
        <w:rPr/>
      </w:pPr>
      <w:r>
        <w:rPr>
          <w:spacing w:val="0"/>
        </w:rPr>
        <w:t>Art. 2</w:t>
      </w:r>
      <w:r>
        <w:rPr>
          <w:spacing w:val="0"/>
          <w:u w:val="single"/>
          <w:vertAlign w:val="superscript"/>
        </w:rPr>
        <w:t>o</w:t>
      </w:r>
      <w:r>
        <w:rPr>
          <w:spacing w:val="0"/>
        </w:rPr>
        <w:t>  O edital do concurso público definirá os prazos limites para a apresentação do requerimento de isenção, assim como da resposta ao candidato acerca do deferimento ou não do seu pedido.</w:t>
      </w:r>
      <w:r>
        <w:rPr/>
        <w:t> </w:t>
      </w:r>
    </w:p>
    <w:p>
      <w:pPr>
        <w:pStyle w:val="Citaolegislao"/>
        <w:rPr/>
      </w:pPr>
      <w:r>
        <w:rPr/>
        <w:t>Parágrafo único.  Em caso de indeferimento do pedido, o candidato deverá ser comunicado antes do término do prazo previsto para as inscrições. </w:t>
      </w:r>
    </w:p>
    <w:p>
      <w:pPr>
        <w:pStyle w:val="Citaolegislao"/>
        <w:rPr/>
      </w:pPr>
      <w:r>
        <w:rPr/>
        <w:t>Art. 3</w:t>
      </w:r>
      <w:r>
        <w:rPr>
          <w:u w:val="single"/>
          <w:vertAlign w:val="superscript"/>
        </w:rPr>
        <w:t>o</w:t>
      </w:r>
      <w:r>
        <w:rPr/>
        <w:t>  Este Decreto também se aplica aos processos seletivos simplificados para a contratação de pessoal por tempo determinado para atender a necessidade temporária de excepcional interesse público, de que trata o </w:t>
      </w:r>
      <w:r>
        <w:fldChar w:fldCharType="begin"/>
      </w:r>
      <w:r>
        <w:instrText> HYPERLINK "http://www.planalto.gov.br/ccivil_03/Constituicao/Constituiçao.htm" \l "art37ix"</w:instrText>
      </w:r>
      <w:r>
        <w:fldChar w:fldCharType="separate"/>
      </w:r>
      <w:r>
        <w:rPr>
          <w:rStyle w:val="LinkdaInternet"/>
          <w:color w:val="0000FF"/>
          <w:u w:val="single"/>
        </w:rPr>
        <w:t>art. 37, inciso IX, da Constituição. </w:t>
      </w:r>
      <w:r>
        <w:fldChar w:fldCharType="end"/>
      </w:r>
    </w:p>
    <w:p>
      <w:pPr>
        <w:pStyle w:val="Quote"/>
        <w:rPr>
          <w:b w:val="false"/>
          <w:b w:val="false"/>
        </w:rPr>
      </w:pPr>
      <w:r>
        <w:rPr>
          <w:b w:val="false"/>
        </w:rPr>
        <w:t>(...)</w:t>
      </w:r>
    </w:p>
    <w:p>
      <w:pPr>
        <w:pStyle w:val="Quote"/>
        <w:rPr/>
      </w:pPr>
      <w:r>
        <w:rPr>
          <w:bCs/>
        </w:rPr>
        <w:t>Parágrafo único</w:t>
      </w:r>
      <w:r>
        <w:rPr/>
        <w:t xml:space="preserve"> - O edital estabelecerá, observadas as normas pertinentes à matéria, as condições para a realização do concurso, prevendo, na hipótese de não haver inscrição de candidato(s), a prorrogação automática do prazo de inscrição por igual período.</w:t>
      </w:r>
    </w:p>
    <w:p>
      <w:pPr>
        <w:pStyle w:val="Normal"/>
        <w:rPr/>
      </w:pPr>
      <w:r>
        <w:rPr/>
        <w:t xml:space="preserve">Tendo em vista a previsão contida no § 4º do art. 16 do </w:t>
      </w:r>
      <w:r>
        <w:rPr>
          <w:rFonts w:cs="Arial"/>
          <w:color w:val="000000"/>
          <w:szCs w:val="24"/>
        </w:rPr>
        <w:t>Decreto nº 6.944/2009, determinando que o conteúdo do referido artigo deve constar do edital, é relevante inserir a determinação do § 4º na RESOLUÇÃO:</w:t>
      </w:r>
    </w:p>
    <w:p>
      <w:pPr>
        <w:pStyle w:val="Citaolegislao"/>
        <w:rPr/>
      </w:pPr>
      <w:r>
        <w:rPr/>
        <w:t>Art. 16.  O órgão ou entidade responsável pela realização do concurso público homologará e publicará no Diário Oficial da União a relação dos candidatos aprovados no certame, classificados de acordo com </w:t>
      </w:r>
      <w:r>
        <w:fldChar w:fldCharType="begin"/>
      </w:r>
      <w:r>
        <w:instrText> HYPERLINK "http://www.planalto.gov.br/ccivil_03/_ato2007-2010/2009/decreto/d6944.htm" \l "anexoii"</w:instrText>
      </w:r>
      <w:r>
        <w:fldChar w:fldCharType="separate"/>
      </w:r>
      <w:r>
        <w:rPr>
          <w:rStyle w:val="LinkdaInternet"/>
          <w:color w:val="0000FF"/>
          <w:u w:val="single"/>
        </w:rPr>
        <w:t>Anexo II deste Decreto</w:t>
      </w:r>
      <w:r>
        <w:fldChar w:fldCharType="end"/>
      </w:r>
      <w:r>
        <w:rPr/>
        <w:t>, por ordem de classificação. </w:t>
      </w:r>
    </w:p>
    <w:p>
      <w:pPr>
        <w:pStyle w:val="Citaolegislao"/>
        <w:rPr/>
      </w:pPr>
      <w:bookmarkStart w:id="10" w:name="art16§1"/>
      <w:bookmarkEnd w:id="10"/>
      <w:r>
        <w:rPr>
          <w:spacing w:val="0"/>
        </w:rPr>
        <w:t>(...)</w:t>
      </w:r>
    </w:p>
    <w:p>
      <w:pPr>
        <w:pStyle w:val="Citaolegislao"/>
        <w:rPr/>
      </w:pPr>
      <w:bookmarkStart w:id="11" w:name="art16§4"/>
      <w:bookmarkEnd w:id="11"/>
      <w:r>
        <w:rPr/>
        <w:t>§ 4</w:t>
      </w:r>
      <w:r>
        <w:rPr>
          <w:u w:val="single"/>
          <w:vertAlign w:val="superscript"/>
        </w:rPr>
        <w:t>o</w:t>
      </w:r>
      <w:r>
        <w:rPr/>
        <w:t> O disposto neste artigo deverá constar do edital de concurso público. </w:t>
      </w:r>
    </w:p>
    <w:p>
      <w:pPr>
        <w:pStyle w:val="Quote"/>
        <w:rPr/>
      </w:pPr>
      <w:r>
        <w:rPr/>
        <w:t>Art. 26. A inscrição poderá ser efetuada pessoalmente, por procuração ou pelos Correios, via Sedex com aviso de recebimento (AR), desde que dentro do período de inscrição.</w:t>
      </w:r>
    </w:p>
    <w:p>
      <w:pPr>
        <w:pStyle w:val="Normal"/>
        <w:rPr/>
      </w:pPr>
      <w:r>
        <w:rPr/>
        <w:t>Para evitar questionamentos administrativos, é oportuno mencionar o tipo de procuração, por instrumento público ou privado, e a necessidade ou dispensa de reconhecimentos de firma na assinatura da procuração.</w:t>
      </w:r>
    </w:p>
    <w:p>
      <w:pPr>
        <w:pStyle w:val="Quote"/>
        <w:rPr/>
      </w:pPr>
      <w:r>
        <w:rPr/>
        <w:t>Art. 40. Ocorrendo impedimento de membro titular da banca examinadora designada, por motivo de ordem pessoal ou de força maior, devidamente justificado, o órgão que solicitou a abertura do concurso proceder-se-á à sua substituição por membro suplente.</w:t>
      </w:r>
    </w:p>
    <w:p>
      <w:pPr>
        <w:pStyle w:val="Quote"/>
        <w:rPr/>
      </w:pPr>
      <w:r>
        <w:rPr/>
        <w:t>(...)</w:t>
      </w:r>
    </w:p>
    <w:p>
      <w:pPr>
        <w:pStyle w:val="Quote"/>
        <w:rPr/>
      </w:pPr>
      <w:r>
        <w:rPr/>
        <w:t>§ 2º. Após o início das provas, a substituição de membro titular nas provas didáticas e de apresentação do memorial descritivo e do projeto de atividades acadêmicas e da conferência só poderá ocorrer caso a avaliação de todos os candidatos, em uma mesma prova, seja efetuada pelo mesmo examinador.</w:t>
      </w:r>
    </w:p>
    <w:p>
      <w:pPr>
        <w:pStyle w:val="Normal"/>
        <w:rPr/>
      </w:pPr>
      <w:r>
        <w:rPr/>
        <w:t>Este parágrafo pode acarretar problemas durante o concurso, tendo em vista que condiciona a substituição do membro da banca ao término da avaliação de todos os candidatos em uma mesma prova. Entretanto, não propõe uma solução para a hipótese de desligamento, falecimento, invalidez ou incapacidade superveniente, que impossibilite ao examinador concluir a avaliação.</w:t>
      </w:r>
    </w:p>
    <w:p>
      <w:pPr>
        <w:pStyle w:val="Quote"/>
        <w:rPr/>
      </w:pPr>
      <w:r>
        <w:rPr/>
        <w:t>Art. 44. Por instalação dos trabalhos do concurso entende-se todos os atos necessários para o bom andamento do concurso, devendo-se seguir os seguintes procedimentos:</w:t>
      </w:r>
    </w:p>
    <w:p>
      <w:pPr>
        <w:pStyle w:val="Quote"/>
        <w:rPr/>
      </w:pPr>
      <w:r>
        <w:rPr/>
        <w:t>I – Pontualmente no horário determinado no Edital para início do concurso, o Diretor da Unidade Acadêmica, ou seu representante devidamente designado, deverá realizar a abertura dos trabalhos, informando a todos a hora exata, desejando boas vindas aos candidatos e proceder à apresentação dos membros da Banca Examinadora;</w:t>
      </w:r>
    </w:p>
    <w:p>
      <w:pPr>
        <w:pStyle w:val="Normal"/>
        <w:rPr/>
      </w:pPr>
      <w:r>
        <w:rPr/>
        <w:t>Embora cortês a iniciativa de desejar boas-vindas aos presentes, o descumprimento de tal previsão, mesmo que não intencional, pode acarretar impugnações, haja vista o número exíguo de vagas nos certames. Portanto, é recomendável a retirada de tal exigência do inciso acima.</w:t>
      </w:r>
    </w:p>
    <w:p>
      <w:pPr>
        <w:pStyle w:val="Quote"/>
        <w:rPr/>
      </w:pPr>
      <w:r>
        <w:rPr/>
        <w:t>Art. 44.</w:t>
      </w:r>
    </w:p>
    <w:p>
      <w:pPr>
        <w:pStyle w:val="Quote"/>
        <w:rPr>
          <w:color w:val="000000"/>
        </w:rPr>
      </w:pPr>
      <w:r>
        <w:rPr/>
        <w:t>II – A banca examinadora deverá atestar, por meio de termo assinado</w:t>
      </w:r>
      <w:r>
        <w:rPr>
          <w:color w:val="000000"/>
        </w:rPr>
        <w:t xml:space="preserve"> (Anexo 3), que leu, conhece e se compromete a cumprir as resoluções que regulamentam concursos para o magistério superior na UFVJM e o edital do certame, sob pena de responder processo administrativo disciplinar por descumprimento de dever funcional e por dano ao erário, em caso de anulação do certame por falhas da banca examinadora;</w:t>
      </w:r>
    </w:p>
    <w:p>
      <w:pPr>
        <w:pStyle w:val="Normal"/>
        <w:rPr/>
      </w:pPr>
      <w:r>
        <w:rPr/>
        <w:t xml:space="preserve">Em se tratando de dano ao erário, a conduta pode ser enquadrada como ato de improbidade administrativa, conforme previsão do art. 10 da </w:t>
      </w:r>
      <w:r>
        <w:rPr>
          <w:rFonts w:cs="Arial"/>
          <w:color w:val="000000"/>
          <w:shd w:fill="FFFFFF" w:val="clear"/>
        </w:rPr>
        <w:t>Lei nº 8.429/1992:</w:t>
      </w:r>
    </w:p>
    <w:p>
      <w:pPr>
        <w:pStyle w:val="Citaolegislao"/>
        <w:rPr>
          <w:highlight w:val="white"/>
        </w:rPr>
      </w:pPr>
      <w:bookmarkStart w:id="12" w:name="art10"/>
      <w:bookmarkEnd w:id="12"/>
      <w:r>
        <w:rPr>
          <w:shd w:fill="FFFFFF" w:val="clear"/>
        </w:rPr>
        <w:t>Art. 10. Constitui ato de improbidade administrativa que causa lesão ao erário qualquer ação ou omissão, dolosa ou culposa, que enseje perda patrimonial, desvio, apropriação, malbaratamento ou dilapidação dos bens ou haveres das entidades referidas no art. 1º desta lei, e notadamente:</w:t>
      </w:r>
    </w:p>
    <w:p>
      <w:pPr>
        <w:pStyle w:val="Quote"/>
        <w:ind w:left="0" w:firstLine="2268"/>
        <w:rPr>
          <w:b w:val="false"/>
          <w:b w:val="false"/>
          <w:sz w:val="24"/>
          <w:szCs w:val="24"/>
        </w:rPr>
      </w:pPr>
      <w:r>
        <w:rPr>
          <w:b w:val="false"/>
          <w:sz w:val="24"/>
          <w:szCs w:val="24"/>
        </w:rPr>
        <w:t>Em atenção a esse dispositivo legal, deve-se inserir no artigo acima transcrito da resolução, o enquadramento da conduta como ato de improbidade administrativa.</w:t>
      </w:r>
    </w:p>
    <w:p>
      <w:pPr>
        <w:pStyle w:val="Quote"/>
        <w:rPr/>
      </w:pPr>
      <w:r>
        <w:rPr/>
        <w:t>Art. 46. As provas terão início transcorridas, no mínimo, seis horas após a abertura dos trabalhos pelo Diretor da Unidade Acadêmica ou seu representante devidamente designado.</w:t>
      </w:r>
    </w:p>
    <w:p>
      <w:pPr>
        <w:pStyle w:val="Quote"/>
        <w:rPr/>
      </w:pPr>
      <w:r>
        <w:rPr>
          <w:bCs/>
        </w:rPr>
        <w:t>Parágrafo Único</w:t>
      </w:r>
      <w:r>
        <w:rPr/>
        <w:t>. Após a realização da prova escrita, os prazos para a realização das próximas etapas do concurso poderão ser alterados em face da redução do número de candidatos presentes, mediante a afixação do mesmo na porta da sala onde ocorrem as provas.</w:t>
      </w:r>
    </w:p>
    <w:p>
      <w:pPr>
        <w:pStyle w:val="Normal"/>
        <w:rPr/>
      </w:pPr>
      <w:r>
        <w:rPr/>
        <w:t>Tendo em vista que o candidato devidamente inscrito no concurso público se organiza para participar do mesmo, a redução no prazo entre etapas do certame pode representar violação ao princípio da razoabilidade, além de acarretar prejuízos à concorrência ou ensejar a desistência dos candidatos.</w:t>
      </w:r>
    </w:p>
    <w:p>
      <w:pPr>
        <w:pStyle w:val="Normal"/>
        <w:rPr/>
      </w:pPr>
      <w:r>
        <w:rPr/>
        <w:t xml:space="preserve">Ademais, a fixação da informação acerca da alteração apenas na porta da sala onde ocorrerem as provas fere o princípio da publicidade, previsto no </w:t>
      </w:r>
      <w:r>
        <w:rPr>
          <w:i/>
        </w:rPr>
        <w:t xml:space="preserve">caput </w:t>
      </w:r>
      <w:r>
        <w:rPr/>
        <w:t>do art. 37 da Constituição da República, pois impede que toda a comunidade acadêmica e a sociedade em geral tomem ciência da mudança, seja para fins de participação no certame ou para fiscalização dos atos praticados.</w:t>
      </w:r>
    </w:p>
    <w:p>
      <w:pPr>
        <w:pStyle w:val="Quote"/>
        <w:rPr/>
      </w:pPr>
      <w:r>
        <w:rPr/>
        <w:t>Art. 53. (...)</w:t>
      </w:r>
    </w:p>
    <w:p>
      <w:pPr>
        <w:pStyle w:val="Quote"/>
        <w:rPr/>
      </w:pPr>
      <w:r>
        <w:rPr>
          <w:bCs/>
        </w:rPr>
        <w:t>§ 4º</w:t>
      </w:r>
      <w:r>
        <w:rPr/>
        <w:t xml:space="preserve"> Após cada sessão de gravação, o conteúdo da mídia de gravação deverá ser copiado para um microcomputador ou notebook ou para um HD externo, de modo a ter duas cópias de cada sessão.</w:t>
      </w:r>
    </w:p>
    <w:p>
      <w:pPr>
        <w:pStyle w:val="Normal"/>
        <w:rPr/>
      </w:pPr>
      <w:r>
        <w:rPr/>
        <w:t>Em observância à transparência e lisura do concurso público é conveniente especificar onde ficará armazenado o conteúdo da mídia de gravação original e as cópias, sendo mais preciso especificar pessoa responsável por guardar (secretário, setor de informática da unidade acadêmica, etc.).</w:t>
      </w:r>
    </w:p>
    <w:p>
      <w:pPr>
        <w:pStyle w:val="Quote"/>
        <w:rPr/>
      </w:pPr>
      <w:r>
        <w:rPr/>
        <w:t>Art. 56. O candidato que não comparecer a qualquer uma das etapas do concurso, no horário publicado na página eletrônica da UFVJM, na seção “concursos”, e no cronograma definido pela banca examinadora, será eliminado e ficará impedido de participar das etapas subsequentes.</w:t>
      </w:r>
    </w:p>
    <w:p>
      <w:pPr>
        <w:pStyle w:val="Quote"/>
        <w:rPr/>
      </w:pPr>
      <w:r>
        <w:rPr>
          <w:bCs/>
        </w:rPr>
        <w:t>Parágrafo único</w:t>
      </w:r>
      <w:r>
        <w:rPr/>
        <w:t>. O comparecimento dos candidatos será registrado mediante lista de presença, conforme modelo do Anexo 2, confirmada pela apresentação de documento oficial de identidade pelos candidatos.</w:t>
      </w:r>
    </w:p>
    <w:p>
      <w:pPr>
        <w:pStyle w:val="Normal"/>
        <w:rPr/>
      </w:pPr>
      <w:r>
        <w:rPr/>
        <w:t>Com o objetivo de evitar maiores transtornos no momento da realização das provas, é oportuno que a resolução exponha a necessidade de o documento de identidade conter foto, assinatura e número de registro geral.</w:t>
      </w:r>
    </w:p>
    <w:p>
      <w:pPr>
        <w:pStyle w:val="Normal"/>
        <w:rPr/>
      </w:pPr>
      <w:r>
        <w:rPr/>
        <w:t xml:space="preserve">Também é conveniente indicar quais documentos serão considerados documentos de identificação: carteiras expedidas pelos Comandos Militares, pelas Secretarias de Segurança Pública, pelos Institutos de Identificação e pelos Corpos de Bombeiros Militares; carteiras expedidas pelos órgãos fiscalizadores de exercício profissional (ordens, conselhos etc.); passaporte brasileiro; certificado de reservista; carteiras funcionais expedidas por órgão público que, por lei federal, valham como identidade; carteira de trabalho; carteira de identidade do trabalhador; carteira nacional de habilitação (somente o modelo com foto), </w:t>
      </w:r>
    </w:p>
    <w:p>
      <w:pPr>
        <w:pStyle w:val="Quote"/>
        <w:rPr/>
      </w:pPr>
      <w:r>
        <w:rPr/>
        <w:t>Art. 59. O processo de avaliação obedecerá a seguinte sequência:</w:t>
      </w:r>
    </w:p>
    <w:p>
      <w:pPr>
        <w:pStyle w:val="Quote"/>
        <w:rPr/>
      </w:pPr>
      <w:r>
        <w:rPr/>
        <w:t>I – para a classe de titular-livre:</w:t>
      </w:r>
    </w:p>
    <w:p>
      <w:pPr>
        <w:pStyle w:val="Quote"/>
        <w:rPr/>
      </w:pPr>
      <w:r>
        <w:rPr/>
        <w:t>a) prova escrita</w:t>
      </w:r>
    </w:p>
    <w:p>
      <w:pPr>
        <w:pStyle w:val="Quote"/>
        <w:rPr/>
      </w:pPr>
      <w:r>
        <w:rPr/>
        <w:t xml:space="preserve">b) apresentação oral e arguição de memorial descritivo contemplando </w:t>
      </w:r>
      <w:r>
        <w:rPr>
          <w:shd w:fill="FFFFFF" w:val="clear"/>
        </w:rPr>
        <w:t>projeto de atividades acadêmicas ou defesa de tese acadêmica inédita;</w:t>
      </w:r>
    </w:p>
    <w:p>
      <w:pPr>
        <w:pStyle w:val="Quote"/>
        <w:rPr/>
      </w:pPr>
      <w:r>
        <w:rPr/>
        <w:t>c) apresentação de palestra sobre o tema indicado pelo candidato na sessão de instalação dos trabalhos;</w:t>
      </w:r>
    </w:p>
    <w:p>
      <w:pPr>
        <w:pStyle w:val="Quote"/>
        <w:rPr/>
      </w:pPr>
      <w:r>
        <w:rPr/>
        <w:t xml:space="preserve">d) </w:t>
      </w:r>
      <w:r>
        <w:rPr>
          <w:color w:val="000000"/>
        </w:rPr>
        <w:t>prova de títulos a partir de análise do curriculum atualizado no formato da Plataforma Lattes, devidamente comprovado com cópias dos documentos originais citados no currículo</w:t>
      </w:r>
    </w:p>
    <w:p>
      <w:pPr>
        <w:pStyle w:val="Quote"/>
        <w:rPr/>
      </w:pPr>
      <w:r>
        <w:rPr/>
        <w:t>II – para as demais classes:</w:t>
      </w:r>
    </w:p>
    <w:p>
      <w:pPr>
        <w:pStyle w:val="Quote"/>
        <w:rPr/>
      </w:pPr>
      <w:r>
        <w:rPr/>
        <w:t>a) prova escrita;</w:t>
      </w:r>
    </w:p>
    <w:p>
      <w:pPr>
        <w:pStyle w:val="Quote"/>
        <w:rPr>
          <w:color w:val="000000"/>
        </w:rPr>
      </w:pPr>
      <w:r>
        <w:rPr>
          <w:color w:val="000000"/>
        </w:rPr>
        <w:t>b) prova didática;</w:t>
      </w:r>
    </w:p>
    <w:p>
      <w:pPr>
        <w:pStyle w:val="Quote"/>
        <w:rPr>
          <w:color w:val="000000"/>
        </w:rPr>
      </w:pPr>
      <w:r>
        <w:rPr>
          <w:color w:val="000000"/>
        </w:rPr>
        <w:t>c) prova prática, facultativa, cuja inclusão será definida pelo Colegiado de Curso ou, na ausência deste, pelo Departamento onde estão alocadas as vagas, de acordo com as peculiaridades da área de conhecimento;</w:t>
      </w:r>
    </w:p>
    <w:p>
      <w:pPr>
        <w:pStyle w:val="Quote"/>
        <w:rPr/>
      </w:pPr>
      <w:r>
        <w:rPr>
          <w:color w:val="000000"/>
        </w:rPr>
        <w:t>d) apresentação oral do P</w:t>
      </w:r>
      <w:r>
        <w:rPr>
          <w:color w:val="000000"/>
          <w:shd w:fill="FFFFFF" w:val="clear"/>
        </w:rPr>
        <w:t>rojeto de Atividades Acadêmicas;</w:t>
      </w:r>
    </w:p>
    <w:p>
      <w:pPr>
        <w:pStyle w:val="Quote"/>
        <w:rPr/>
      </w:pPr>
      <w:r>
        <w:rPr>
          <w:color w:val="000000"/>
        </w:rPr>
        <w:t>e) prova de títulos a partir de análise do curriculum atualizado no formato da Plataforma Lattes, devidamente comprovado com cópias dos documentos originais citados no currículo</w:t>
      </w:r>
    </w:p>
    <w:p>
      <w:pPr>
        <w:pStyle w:val="Normal"/>
        <w:tabs>
          <w:tab w:val="left" w:pos="927" w:leader="none"/>
        </w:tabs>
        <w:rPr>
          <w:rFonts w:cs="Arial"/>
          <w:color w:val="000000"/>
          <w:szCs w:val="24"/>
        </w:rPr>
      </w:pPr>
      <w:r>
        <w:rPr>
          <w:rFonts w:cs="Arial"/>
          <w:szCs w:val="24"/>
        </w:rPr>
        <w:t xml:space="preserve">A Lei 12.772/12, em seus artigos 8º, §2º e 9º, §2º, prevê que o edital do concurso – seja para titular-livre, seja para as demais classes – deverá organizar as </w:t>
      </w:r>
      <w:r>
        <w:rPr>
          <w:rFonts w:cs="Arial"/>
          <w:color w:val="000000"/>
          <w:szCs w:val="24"/>
        </w:rPr>
        <w:t>etapas e estabelecer características de cada fase e os critérios eliminatórios e classificatórios.</w:t>
      </w:r>
      <w:r>
        <w:rPr>
          <w:rFonts w:cs="Arial"/>
          <w:szCs w:val="24"/>
        </w:rPr>
        <w:t xml:space="preserve"> Também, para a classe de titular-livre, é expresso que o concurso deverá conter </w:t>
      </w:r>
      <w:r>
        <w:rPr>
          <w:rFonts w:cs="Arial"/>
          <w:color w:val="000000"/>
          <w:szCs w:val="24"/>
        </w:rPr>
        <w:t>prova escrita, prova oral e defesa de memorial. Assim, o art. 59 da Resolução é compatível com o texto legal. Porém, a fim de evitar futuras omissões em editais, é importante que se faça constar também que a comissão avaliadora para titular-livre deverá, necessariamente, ser composta por no mínimo 75% de profissionais externos à UFVJM – tal como previsto no art. 9º, §3º.</w:t>
      </w:r>
    </w:p>
    <w:p>
      <w:pPr>
        <w:pStyle w:val="Quote"/>
        <w:rPr/>
      </w:pPr>
      <w:r>
        <w:rPr/>
        <w:t>Art. 69. Encerrados os procedimentos de correção da prova de múltipla escolha, o presidente da banca examinadora deverá:</w:t>
      </w:r>
    </w:p>
    <w:p>
      <w:pPr>
        <w:pStyle w:val="Quote"/>
        <w:rPr>
          <w:rFonts w:cs="Arial"/>
          <w:color w:val="000000"/>
          <w:sz w:val="24"/>
          <w:szCs w:val="24"/>
        </w:rPr>
      </w:pPr>
      <w:r>
        <w:rPr>
          <w:rFonts w:cs="Arial"/>
          <w:color w:val="000000"/>
          <w:sz w:val="24"/>
          <w:szCs w:val="24"/>
        </w:rPr>
        <w:t>I – elaborar e publicar o gabarito da prova de múltipla escolha em mural no local onde se realizaram as provas, conforme indicado no edital;</w:t>
      </w:r>
    </w:p>
    <w:p>
      <w:pPr>
        <w:pStyle w:val="Quote"/>
        <w:rPr>
          <w:rFonts w:cs="Arial"/>
          <w:color w:val="000000"/>
          <w:sz w:val="24"/>
          <w:szCs w:val="24"/>
        </w:rPr>
      </w:pPr>
      <w:r>
        <w:rPr>
          <w:rFonts w:cs="Arial"/>
          <w:color w:val="000000"/>
          <w:sz w:val="24"/>
          <w:szCs w:val="24"/>
        </w:rPr>
        <w:t>II - elaborar uma lista contendo o resultado da prova de múltipla escolha, contendo o resultado da avaliação por ordem decrescente da nota;</w:t>
      </w:r>
    </w:p>
    <w:p>
      <w:pPr>
        <w:pStyle w:val="Quote"/>
        <w:rPr>
          <w:rFonts w:cs="Arial"/>
          <w:color w:val="000000"/>
          <w:sz w:val="24"/>
          <w:szCs w:val="24"/>
        </w:rPr>
      </w:pPr>
      <w:r>
        <w:rPr>
          <w:rFonts w:cs="Arial"/>
          <w:color w:val="000000"/>
          <w:sz w:val="24"/>
          <w:szCs w:val="24"/>
        </w:rPr>
        <w:t>III - proceder a publicação dos documentos mencionados nos incisos anteriores em mural no local onde se realizaram as provas, conforme indicado no edital;</w:t>
      </w:r>
    </w:p>
    <w:p>
      <w:pPr>
        <w:pStyle w:val="Normal"/>
        <w:tabs>
          <w:tab w:val="left" w:pos="927" w:leader="none"/>
        </w:tabs>
        <w:rPr>
          <w:rFonts w:cs="Arial"/>
          <w:szCs w:val="24"/>
        </w:rPr>
      </w:pPr>
      <w:r>
        <w:rPr>
          <w:rFonts w:cs="Arial"/>
          <w:szCs w:val="24"/>
        </w:rPr>
        <w:t xml:space="preserve">A Resolução prevê que o gabarito e resultado da eventual prova de múltipla escolha deverão ser publicados em mural no local de realização da prova. Porém, tendo em vista o princípio da publicidade (Art. 37 da Constituição Federal), o ideal é que estes dados sejam publicados também no site oficial da Universidade, em consonância com a Lei 12.527/11, que rege sobre a transparência da Administração Pública e zela pelo amplo acesso à informação: </w:t>
      </w:r>
    </w:p>
    <w:p>
      <w:pPr>
        <w:pStyle w:val="Citaolegislao"/>
        <w:rPr/>
      </w:pPr>
      <w:r>
        <w:rPr/>
        <w:t>Art. 3</w:t>
      </w:r>
      <w:r>
        <w:rPr>
          <w:u w:val="single"/>
          <w:vertAlign w:val="superscript"/>
        </w:rPr>
        <w:t>o</w:t>
      </w:r>
      <w:r>
        <w:rPr/>
        <w:t>  Os procedimentos previstos nesta Lei destinam-se a assegurar o direito fundamental de acesso à informação e devem ser executados em conformidade com os princípios básicos da administração pública e com as seguintes diretrizes: </w:t>
      </w:r>
    </w:p>
    <w:p>
      <w:pPr>
        <w:pStyle w:val="Citaolegislao"/>
        <w:rPr/>
      </w:pPr>
      <w:r>
        <w:rPr/>
        <w:t>I - observância da publicidade como preceito geral e do sigilo como exceção; </w:t>
      </w:r>
    </w:p>
    <w:p>
      <w:pPr>
        <w:pStyle w:val="Citaolegislao"/>
        <w:rPr/>
      </w:pPr>
      <w:r>
        <w:rPr/>
        <w:t>II - divulgação de informações de interesse público, independentemente de solicitações; </w:t>
      </w:r>
    </w:p>
    <w:p>
      <w:pPr>
        <w:pStyle w:val="Citaolegislao"/>
        <w:rPr/>
      </w:pPr>
      <w:r>
        <w:rPr/>
        <w:t>III - utilização de meios de comunicação viabilizados pela tecnologia da informação; </w:t>
      </w:r>
    </w:p>
    <w:p>
      <w:pPr>
        <w:pStyle w:val="Citaolegislao"/>
        <w:rPr/>
      </w:pPr>
      <w:r>
        <w:rPr/>
        <w:t>Art. 6</w:t>
      </w:r>
      <w:r>
        <w:rPr>
          <w:u w:val="single"/>
          <w:vertAlign w:val="superscript"/>
        </w:rPr>
        <w:t>o</w:t>
      </w:r>
      <w:r>
        <w:rPr/>
        <w:t>  Cabe aos órgãos e entidades do poder público, observadas as normas e procedimentos específicos aplicáveis, assegurar a: </w:t>
      </w:r>
    </w:p>
    <w:p>
      <w:pPr>
        <w:pStyle w:val="Citaolegislao"/>
        <w:rPr/>
      </w:pPr>
      <w:r>
        <w:rPr/>
        <w:t>I - gestão transparente da informação, propiciando amplo acesso a ela e sua divulgação; </w:t>
      </w:r>
    </w:p>
    <w:p>
      <w:pPr>
        <w:pStyle w:val="Citaolegislao"/>
        <w:rPr/>
      </w:pPr>
      <w:r>
        <w:rPr/>
        <w:t>Art. 8</w:t>
      </w:r>
      <w:r>
        <w:rPr>
          <w:u w:val="single"/>
          <w:vertAlign w:val="superscript"/>
        </w:rPr>
        <w:t>o</w:t>
      </w:r>
      <w:r>
        <w:rPr/>
        <w:t>  É dever dos órgãos e entidades públicas promover, independentemente de requerimentos, a divulgação em local de fácil acesso, no âmbito de suas competências, de informações de interesse coletivo ou geral por eles produzidas ou custodiadas.</w:t>
      </w:r>
    </w:p>
    <w:p>
      <w:pPr>
        <w:pStyle w:val="Citaolegislao"/>
        <w:rPr>
          <w:sz w:val="24"/>
          <w:szCs w:val="24"/>
        </w:rPr>
      </w:pPr>
      <w:r>
        <w:rPr>
          <w:sz w:val="24"/>
          <w:szCs w:val="24"/>
        </w:rPr>
        <w:t>§ 2</w:t>
      </w:r>
      <w:r>
        <w:rPr>
          <w:sz w:val="24"/>
          <w:szCs w:val="24"/>
          <w:u w:val="single"/>
          <w:vertAlign w:val="superscript"/>
        </w:rPr>
        <w:t>o</w:t>
      </w:r>
      <w:r>
        <w:rPr>
          <w:sz w:val="24"/>
          <w:szCs w:val="24"/>
        </w:rPr>
        <w:t>  Para cumprimento do disposto no </w:t>
      </w:r>
      <w:r>
        <w:rPr>
          <w:b/>
          <w:bCs/>
          <w:sz w:val="24"/>
          <w:szCs w:val="24"/>
        </w:rPr>
        <w:t>caput</w:t>
      </w:r>
      <w:r>
        <w:rPr>
          <w:sz w:val="24"/>
          <w:szCs w:val="24"/>
        </w:rPr>
        <w:t>, os órgãos e entidades públicas deverão utilizar todos os meios e instrumentos legítimos de que dispuserem, sendo obrigatória a divulgação em sítios oficiais da rede mundial de computadores (internet). </w:t>
      </w:r>
    </w:p>
    <w:p>
      <w:pPr>
        <w:pStyle w:val="Citaolegislao"/>
        <w:rPr>
          <w:sz w:val="24"/>
          <w:szCs w:val="24"/>
        </w:rPr>
      </w:pPr>
      <w:r>
        <w:rPr>
          <w:sz w:val="24"/>
          <w:szCs w:val="24"/>
        </w:rPr>
        <w:t>§ 3</w:t>
      </w:r>
      <w:r>
        <w:rPr>
          <w:sz w:val="24"/>
          <w:szCs w:val="24"/>
          <w:u w:val="single"/>
          <w:vertAlign w:val="superscript"/>
        </w:rPr>
        <w:t>o</w:t>
      </w:r>
      <w:r>
        <w:rPr>
          <w:sz w:val="24"/>
          <w:szCs w:val="24"/>
        </w:rPr>
        <w:t>  Os sítios de que trata o § 2</w:t>
      </w:r>
      <w:r>
        <w:rPr>
          <w:sz w:val="24"/>
          <w:szCs w:val="24"/>
          <w:u w:val="single"/>
          <w:vertAlign w:val="superscript"/>
        </w:rPr>
        <w:t>o</w:t>
      </w:r>
      <w:r>
        <w:rPr>
          <w:sz w:val="24"/>
          <w:szCs w:val="24"/>
        </w:rPr>
        <w:t> deverão, na forma de regulamento, atender, entre outros, aos seguintes requisitos: </w:t>
      </w:r>
    </w:p>
    <w:p>
      <w:pPr>
        <w:pStyle w:val="Citaolegislao"/>
        <w:rPr>
          <w:sz w:val="24"/>
          <w:szCs w:val="24"/>
        </w:rPr>
      </w:pPr>
      <w:r>
        <w:rPr>
          <w:sz w:val="24"/>
          <w:szCs w:val="24"/>
        </w:rPr>
        <w:t>I - conter ferramenta de pesquisa de conteúdo que permita o acesso à informação de forma objetiva, transparente, clara e em linguagem de fácil compreensão; </w:t>
      </w:r>
    </w:p>
    <w:p>
      <w:pPr>
        <w:pStyle w:val="Quote"/>
        <w:rPr/>
      </w:pPr>
      <w:r>
        <w:rPr/>
        <w:t>Art. 70. Após a divulgação do resultado da prova de múltipla escolha o candidato poderá, no prazo de um dia útil:</w:t>
      </w:r>
    </w:p>
    <w:p>
      <w:pPr>
        <w:pStyle w:val="Quote"/>
        <w:rPr/>
      </w:pPr>
      <w:r>
        <w:rPr/>
        <w:t>I – Solicitar vistas e cópia da sua prova de múltipla escolha;</w:t>
      </w:r>
    </w:p>
    <w:p>
      <w:pPr>
        <w:pStyle w:val="Quote"/>
        <w:rPr/>
      </w:pPr>
      <w:r>
        <w:rPr/>
        <w:t>II – Recorrer contra o resultado da prova de múltipla escolha;</w:t>
      </w:r>
    </w:p>
    <w:p>
      <w:pPr>
        <w:pStyle w:val="Quote"/>
        <w:rPr/>
      </w:pPr>
      <w:r>
        <w:rPr>
          <w:bCs/>
        </w:rPr>
        <w:t>Parágrafo único</w:t>
      </w:r>
      <w:r>
        <w:rPr/>
        <w:t xml:space="preserve"> – O recurso e o pedido de vistas, às suas provas, pelo candidato deverá ser feito por meio de requerimento, expondo os fundamentos do pedido de forma clara e objetiva, podendo juntar os documentos que julgar convenientes.</w:t>
      </w:r>
    </w:p>
    <w:p>
      <w:pPr>
        <w:pStyle w:val="Normal"/>
        <w:tabs>
          <w:tab w:val="left" w:pos="927" w:leader="none"/>
        </w:tabs>
        <w:rPr>
          <w:rFonts w:cs="Arial"/>
          <w:i/>
          <w:i/>
          <w:color w:val="000000"/>
          <w:szCs w:val="24"/>
          <w:highlight w:val="white"/>
        </w:rPr>
      </w:pPr>
      <w:r>
        <w:rPr>
          <w:rFonts w:cs="Arial"/>
          <w:szCs w:val="24"/>
        </w:rPr>
        <w:t xml:space="preserve">O prazo de um dia útil para que o candidato solicite vista, obtenha cópia e recorra do resultado da prova de múltipla escolha é exíguo e fere o princípio da proporcionalidade. De acordo com o art. 24 da Lei 9.784/99 </w:t>
      </w:r>
      <w:r>
        <w:rPr>
          <w:rFonts w:cs="Arial"/>
          <w:i/>
          <w:szCs w:val="24"/>
        </w:rPr>
        <w:t>“</w:t>
      </w:r>
      <w:r>
        <w:rPr>
          <w:rFonts w:cs="Arial"/>
          <w:i/>
          <w:color w:val="000000"/>
          <w:szCs w:val="24"/>
          <w:shd w:fill="FFFFFF" w:val="clear"/>
        </w:rPr>
        <w:t>Inexistindo disposição específica, os atos do órgão ou autoridade responsável pelo processo e dos administrados que dele participem devem ser praticados no prazo de cinco dias, salvo motivo de força maior.”</w:t>
      </w:r>
    </w:p>
    <w:p>
      <w:pPr>
        <w:pStyle w:val="Normal"/>
        <w:tabs>
          <w:tab w:val="left" w:pos="927" w:leader="none"/>
        </w:tabs>
        <w:rPr>
          <w:rFonts w:cs="Arial"/>
          <w:color w:val="000000"/>
          <w:szCs w:val="24"/>
          <w:highlight w:val="white"/>
        </w:rPr>
      </w:pPr>
      <w:r>
        <w:rPr>
          <w:rFonts w:cs="Arial"/>
          <w:color w:val="000000"/>
          <w:szCs w:val="24"/>
          <w:shd w:fill="FFFFFF" w:val="clear"/>
        </w:rPr>
        <w:t>Portanto, o prazo previsto no artigo da RESOLUÇÃO acima destacado deve ser alterado para cinco dias, em atenção à norma legal.</w:t>
      </w:r>
    </w:p>
    <w:p>
      <w:pPr>
        <w:pStyle w:val="Quote"/>
        <w:rPr/>
      </w:pPr>
      <w:r>
        <w:rPr/>
        <w:t>Art. 82. O item do conteúdo programático deverá ser sorteado vinte e quatro horas antes do início da prova didática, para garantir ao candidato prazo para a preparação da prova didática.</w:t>
      </w:r>
    </w:p>
    <w:p>
      <w:pPr>
        <w:pStyle w:val="Normal"/>
        <w:tabs>
          <w:tab w:val="left" w:pos="927" w:leader="none"/>
        </w:tabs>
        <w:rPr>
          <w:rFonts w:cs="Arial"/>
          <w:szCs w:val="24"/>
        </w:rPr>
      </w:pPr>
      <w:r>
        <w:rPr>
          <w:rFonts w:cs="Arial"/>
          <w:szCs w:val="24"/>
        </w:rPr>
        <w:t>O art. 82 da RESOLUÇÃO, embora estabeleça prazo mínimo de 24 horas para sorteio do conteúdo da prova didática, não indica o modo como os candidatos serão comunicados sobre os respectivos temas. Possivelmente, o edital de cada concurso será minucioso neste aspecto, porém, a fim de que cercear a possibilidade do Edital estipular um meio desproporcional, novamente, é indicado que a Resolução deixe claro o meio de comunicação aos candidatos – zelando sempre pela publicidade e transparência. Neste ponto, também, devem ser analisados os artigos da Lei 12.527/11, já colacionados.</w:t>
      </w:r>
    </w:p>
    <w:p>
      <w:pPr>
        <w:pStyle w:val="Quote"/>
        <w:rPr/>
      </w:pPr>
      <w:r>
        <w:rPr/>
        <w:t>Art. 134.</w:t>
      </w:r>
    </w:p>
    <w:p>
      <w:pPr>
        <w:pStyle w:val="Quote"/>
        <w:rPr/>
      </w:pPr>
      <w:r>
        <w:rPr/>
        <w:t xml:space="preserve">I - O candidato que tiver a maior idade, entre os candidatos com </w:t>
      </w:r>
      <w:r>
        <w:rPr>
          <w:u w:val="single"/>
        </w:rPr>
        <w:t>idade superior a 60</w:t>
      </w:r>
      <w:r>
        <w:rPr/>
        <w:t xml:space="preserve"> (sessenta) anos até o último dia de inscrição, conforme disposto no parágrafo único do Artigo 27 da Lei nº 10.741, de 01/10/2003 (Estatuto do Idoso);</w:t>
      </w:r>
    </w:p>
    <w:p>
      <w:pPr>
        <w:pStyle w:val="Normal"/>
        <w:rPr/>
      </w:pPr>
      <w:r>
        <w:rPr/>
        <w:t xml:space="preserve">A Lei 10.741/2003 (Estatuto do Idoso), por sua vez, trata dos direitos assegurados às pessoas </w:t>
      </w:r>
      <w:r>
        <w:rPr>
          <w:u w:val="single"/>
        </w:rPr>
        <w:t>com idade igual ou superior a 60 (sessenta) anos,</w:t>
      </w:r>
      <w:r>
        <w:rPr/>
        <w:t xml:space="preserve"> como se extrai do seu artigo 1º:</w:t>
      </w:r>
    </w:p>
    <w:p>
      <w:pPr>
        <w:pStyle w:val="Citaolegislao"/>
        <w:rPr/>
      </w:pPr>
      <w:r>
        <w:rPr/>
        <w:t xml:space="preserve">Art. 1º É instituído o Estatuto do Idoso, destinado a regular os direitos assegurados às pessoas </w:t>
      </w:r>
      <w:r>
        <w:rPr>
          <w:u w:val="single"/>
        </w:rPr>
        <w:t>com idade igual ou superior a 60 (sessenta) anos</w:t>
      </w:r>
      <w:r>
        <w:rPr/>
        <w:t>.</w:t>
      </w:r>
    </w:p>
    <w:p>
      <w:pPr>
        <w:pStyle w:val="Normal"/>
        <w:rPr/>
      </w:pPr>
      <w:r>
        <w:rPr/>
        <w:t>Assim, a RESOLUÇÃO não pode se afastar dessa regra.</w:t>
      </w:r>
    </w:p>
    <w:p>
      <w:pPr>
        <w:pStyle w:val="Normal"/>
        <w:rPr>
          <w:b/>
          <w:b/>
          <w:u w:val="single"/>
        </w:rPr>
      </w:pPr>
      <w:r>
        <w:rPr/>
        <w:t xml:space="preserve">E, para que atenda o Estatuto do Idoso o inciso I deve prever a aplicação do primeiro critério de desempate em concurso público para os candidatos com idade </w:t>
      </w:r>
      <w:r>
        <w:rPr>
          <w:b/>
          <w:u w:val="single"/>
        </w:rPr>
        <w:t>igual ou superior a 60 anos.</w:t>
      </w:r>
    </w:p>
    <w:p>
      <w:pPr>
        <w:pStyle w:val="Quote"/>
        <w:rPr/>
      </w:pPr>
      <w:r>
        <w:rPr/>
        <w:t xml:space="preserve">Art. 140. O resultado final do certame será publicado pela PROGEP </w:t>
      </w:r>
      <w:r>
        <w:rPr>
          <w:u w:val="single"/>
        </w:rPr>
        <w:t>na página eletrônica da UFVJM</w:t>
      </w:r>
      <w:r>
        <w:rPr/>
        <w:t>, na seção concursos, quando iniciar-se-á o prazo recursal contra o resultado final do concurso.</w:t>
      </w:r>
    </w:p>
    <w:p>
      <w:pPr>
        <w:pStyle w:val="Quote"/>
        <w:rPr/>
      </w:pPr>
      <w:r>
        <w:rPr/>
        <w:t xml:space="preserve">Art. 141. Caberá interposição de recurso fundamentado, dirigido ao Presidente da Banca Examinadora, em primeira instância, no prazo de cinco dias úteis, </w:t>
      </w:r>
      <w:r>
        <w:rPr>
          <w:u w:val="single"/>
        </w:rPr>
        <w:t>contados do primeiro dia subsequente à data de publicação do resultado final na página eletrônica da UFVJM,</w:t>
      </w:r>
      <w:r>
        <w:rPr/>
        <w:t xml:space="preserve"> na seção “concursos”, obedecendo-se o previsto abaixo:</w:t>
      </w:r>
    </w:p>
    <w:p>
      <w:pPr>
        <w:pStyle w:val="Normal"/>
        <w:rPr/>
      </w:pPr>
      <w:r>
        <w:rPr/>
        <w:t xml:space="preserve">Embora a UFVJM tenha autonomia administrativa para definir como os atos do concurso serão publicados, o princípio da publicidade inserto no </w:t>
      </w:r>
      <w:r>
        <w:rPr>
          <w:i/>
        </w:rPr>
        <w:t xml:space="preserve">caput </w:t>
      </w:r>
      <w:r>
        <w:rPr/>
        <w:t xml:space="preserve">do art. 37 da Constituição da República e no parágrafo único, inciso V do artigo 2º da Lei 9.784/99. Esse último exige a </w:t>
      </w:r>
      <w:r>
        <w:rPr>
          <w:b/>
        </w:rPr>
        <w:t>divulgação oficial</w:t>
      </w:r>
      <w:r>
        <w:rPr/>
        <w:t xml:space="preserve"> dos atos. Veja:</w:t>
      </w:r>
    </w:p>
    <w:p>
      <w:pPr>
        <w:pStyle w:val="Citaolegislao"/>
        <w:rPr/>
      </w:pPr>
      <w:r>
        <w:rPr/>
        <w:t>Art. 2o A Administração Pública obedecerá, dentre outros, aos princípios da legalidade, finalidade, motivação, razoabilidade, proporcionalidade, moralidade, ampla defesa, contraditório, segurança jurídica, interesse público e eficiência.</w:t>
      </w:r>
    </w:p>
    <w:p>
      <w:pPr>
        <w:pStyle w:val="Citaolegislao"/>
        <w:rPr/>
      </w:pPr>
      <w:r>
        <w:rPr/>
        <w:t>Parágrafo único. Nos processos administrativos serão observados, entre outros, os critérios de:</w:t>
      </w:r>
    </w:p>
    <w:p>
      <w:pPr>
        <w:pStyle w:val="Citaolegislao"/>
        <w:rPr/>
      </w:pPr>
      <w:r>
        <w:rPr/>
        <w:t>...</w:t>
      </w:r>
    </w:p>
    <w:p>
      <w:pPr>
        <w:pStyle w:val="Citaolegislao"/>
        <w:rPr/>
      </w:pPr>
      <w:r>
        <w:rPr/>
        <w:t>V - divulgação oficial dos atos administrativos, ressalvadas as hipóteses de sigilo previstas na Constituição;</w:t>
      </w:r>
    </w:p>
    <w:p>
      <w:pPr>
        <w:pStyle w:val="Normal"/>
        <w:rPr>
          <w:i/>
          <w:i/>
        </w:rPr>
      </w:pPr>
      <w:r>
        <w:rPr/>
        <w:t xml:space="preserve">Além disso, exige a referida Lei, no inciso IX </w:t>
      </w:r>
      <w:r>
        <w:rPr>
          <w:i/>
        </w:rPr>
        <w:t xml:space="preserve">“a adoção de formas simples, </w:t>
      </w:r>
      <w:r>
        <w:rPr>
          <w:b/>
          <w:i/>
        </w:rPr>
        <w:t>suficientes para propiciar adequado grau de certeza, segurança e respeito aos direitos dos administrados</w:t>
      </w:r>
      <w:r>
        <w:rPr>
          <w:i/>
        </w:rPr>
        <w:t>.”</w:t>
      </w:r>
    </w:p>
    <w:p>
      <w:pPr>
        <w:pStyle w:val="Normal"/>
        <w:rPr>
          <w:b/>
          <w:b/>
        </w:rPr>
      </w:pPr>
      <w:r>
        <w:rPr>
          <w:b/>
        </w:rPr>
        <w:t>A melhor interpretação a ser dada aos referidos dispositivos legais, que assegura a publicidade e a segurança necessárias ao exercício do direito de recorrer, é publicando o resultado final do concurso também no DOU, meio oficial de divulgação dos atos da Administração.</w:t>
      </w:r>
    </w:p>
    <w:p>
      <w:pPr>
        <w:pStyle w:val="Normal"/>
        <w:rPr/>
      </w:pPr>
      <w:r>
        <w:rPr/>
        <w:t>Nesse sentido, vale destacar o disposto no artigo 16 do Decreto 6.944, de 21/08/2009:</w:t>
      </w:r>
    </w:p>
    <w:p>
      <w:pPr>
        <w:pStyle w:val="Citaolegislao"/>
        <w:rPr/>
      </w:pPr>
      <w:r>
        <w:rPr/>
        <w:t xml:space="preserve">Art. 16. O órgão ou entidade responsável pela realização do concurso público </w:t>
      </w:r>
      <w:r>
        <w:rPr>
          <w:u w:val="single"/>
        </w:rPr>
        <w:t xml:space="preserve">homologará e publicará no Diário Oficial da União </w:t>
      </w:r>
      <w:r>
        <w:rPr/>
        <w:t>a relação dos candidatos aprovados no certame, classificados de acordo com Anexo II deste Decreto, por ordem de classificação.</w:t>
      </w:r>
    </w:p>
    <w:p>
      <w:pPr>
        <w:pStyle w:val="Normal"/>
        <w:rPr/>
      </w:pPr>
      <w:r>
        <w:rPr/>
        <w:t>Neste contexto, os artigos 140 e 141 da RESOLUÇÃO devem prever que o resultado final do concurso seja publicado no Diário Oficial da União, além do site da UFVJM, isso em atenção à norma legal acima destacada e também ao disposto na Lei 12.527/11, já citada anteriormente.</w:t>
      </w:r>
    </w:p>
    <w:p>
      <w:pPr>
        <w:pStyle w:val="Quote"/>
        <w:rPr/>
      </w:pPr>
      <w:r>
        <w:rPr/>
        <w:t xml:space="preserve">Art. 145. Os candidatos nomeados deverão apresentar </w:t>
      </w:r>
      <w:r>
        <w:rPr>
          <w:u w:val="single"/>
        </w:rPr>
        <w:t>em data anterior à data da posse</w:t>
      </w:r>
      <w:r>
        <w:rPr/>
        <w:t xml:space="preserve"> os diplomas de graduação e de pós-graduação correspondentes aos requisitos exigidos no edital do concurso, devidamente revalidados ou reconhecidos, quando obtidos no exterior.</w:t>
      </w:r>
    </w:p>
    <w:p>
      <w:pPr>
        <w:pStyle w:val="Normal"/>
        <w:rPr/>
      </w:pPr>
      <w:r>
        <w:rPr/>
        <w:t>O Decreto 6.944, de 21/08/2009, por sua vez, prevê expressamente no parágrafo único do artigo 19 que:</w:t>
      </w:r>
    </w:p>
    <w:p>
      <w:pPr>
        <w:pStyle w:val="Quote"/>
        <w:rPr/>
      </w:pPr>
      <w:r>
        <w:rPr/>
        <w:t xml:space="preserve">Parágrafo único. A escolaridade mínima, e a experiência profissional, quando exigidas, </w:t>
      </w:r>
      <w:r>
        <w:rPr>
          <w:u w:val="single"/>
        </w:rPr>
        <w:t>deverão ser comprovadas no ato de posse no cargo ou emprego</w:t>
      </w:r>
      <w:r>
        <w:rPr/>
        <w:t>, vedada a exigência de comprovação no ato de inscrição no concurso público ou em qualquer de suas etapas, ressalvado o disposto em legislação específica.</w:t>
      </w:r>
    </w:p>
    <w:p>
      <w:pPr>
        <w:pStyle w:val="Normal"/>
        <w:rPr/>
      </w:pPr>
      <w:r>
        <w:rPr/>
        <w:t>Quanto à comprovação da experiência profissional, há o enunciado nº 266 da Súmula do Superior Tribunal de Justiça que diz: "</w:t>
      </w:r>
      <w:r>
        <w:rPr>
          <w:b/>
        </w:rPr>
        <w:t xml:space="preserve">O diploma ou habilitação legal para o exercício do </w:t>
      </w:r>
      <w:r>
        <w:rPr>
          <w:b/>
          <w:u w:val="single"/>
        </w:rPr>
        <w:t>cargo deve ser exigido na posse</w:t>
      </w:r>
      <w:r>
        <w:rPr>
          <w:b/>
        </w:rPr>
        <w:t xml:space="preserve"> e não na inscrição para o concurso público</w:t>
      </w:r>
      <w:r>
        <w:rPr/>
        <w:t>".</w:t>
      </w:r>
    </w:p>
    <w:p>
      <w:pPr>
        <w:pStyle w:val="Normal"/>
        <w:rPr/>
      </w:pPr>
      <w:r>
        <w:rPr/>
        <w:t>Dessa forma, é evidente que a redação do artigo 145 da RESOLUÇÃO não encontra abrigo na legislação, pois exige a apresentação de diplomas em data anterior à da posse.</w:t>
      </w:r>
    </w:p>
    <w:p>
      <w:pPr>
        <w:pStyle w:val="Normal"/>
        <w:rPr/>
      </w:pPr>
      <w:r>
        <w:rPr/>
        <w:t>O mesmo se diga com relação ao disposto no artigo seguinte da RESOLUÇÃO, o qual dispõe:</w:t>
      </w:r>
    </w:p>
    <w:p>
      <w:pPr>
        <w:pStyle w:val="Quote"/>
        <w:rPr/>
      </w:pPr>
      <w:r>
        <w:rPr/>
        <w:t xml:space="preserve">Art. 146. O candidato </w:t>
      </w:r>
      <w:r>
        <w:rPr>
          <w:u w:val="single"/>
        </w:rPr>
        <w:t>aprovado</w:t>
      </w:r>
      <w:r>
        <w:rPr/>
        <w:t xml:space="preserve"> assumirá os compromissos dispostos no edital do concurso correspondente e aqueles dispostos em legislação vigente.</w:t>
      </w:r>
    </w:p>
    <w:p>
      <w:pPr>
        <w:pStyle w:val="Normal"/>
        <w:rPr/>
      </w:pPr>
      <w:r>
        <w:rPr/>
        <w:t>Não há nenhuma previsão legal nesse sentido no tocante ao candidato aprovado. A exigência é para o candidato empossado, como se vê do artigo 13 da Lei 8.112/1990:</w:t>
      </w:r>
    </w:p>
    <w:p>
      <w:pPr>
        <w:pStyle w:val="Citaolegislao"/>
        <w:rPr/>
      </w:pPr>
      <w:r>
        <w:rPr/>
        <w:t xml:space="preserve">Art. 13. </w:t>
      </w:r>
      <w:r>
        <w:rPr>
          <w:u w:val="single"/>
        </w:rPr>
        <w:t>A posse</w:t>
      </w:r>
      <w:r>
        <w:rPr/>
        <w:t xml:space="preserve"> dar-se-á pela assinatura do respectivo termo, no qual deverão constar as atribuições, </w:t>
      </w:r>
      <w:r>
        <w:rPr>
          <w:u w:val="single"/>
        </w:rPr>
        <w:t xml:space="preserve">os deveres, as responsabilidades e os direitos inerentes ao cargo ocupado, </w:t>
      </w:r>
      <w:r>
        <w:rPr/>
        <w:t>que não poderão ser alterados unilateralmente, por qualquer das partes, ressalvados os atos de ofício previstos em lei.</w:t>
      </w:r>
    </w:p>
    <w:p>
      <w:pPr>
        <w:pStyle w:val="Normal"/>
        <w:ind w:firstLine="2410"/>
        <w:rPr>
          <w:rFonts w:cs="Arial"/>
          <w:szCs w:val="24"/>
        </w:rPr>
      </w:pPr>
      <w:r>
        <w:rPr>
          <w:rFonts w:cs="Arial"/>
          <w:szCs w:val="24"/>
        </w:rPr>
        <w:t>Dessa forma, a redação do artigo 146 da RESOLUÇÃO deverá substituir a palavra aprovado por empossado, a fim de que se adeque ao disposto na legislação e na previsão do Capítulo X da RESOLUÇÃO, que trata do provimento e da posse.</w:t>
      </w:r>
    </w:p>
    <w:p>
      <w:pPr>
        <w:pStyle w:val="Quote"/>
        <w:rPr/>
      </w:pPr>
      <w:r>
        <w:rPr/>
        <w:t>Art. 147. O candidato não será empossado se:</w:t>
      </w:r>
    </w:p>
    <w:p>
      <w:pPr>
        <w:pStyle w:val="Quote"/>
        <w:rPr/>
      </w:pPr>
      <w:r>
        <w:rPr/>
        <w:t>IV – não se apresentar na data prevista.</w:t>
      </w:r>
    </w:p>
    <w:p>
      <w:pPr>
        <w:pStyle w:val="Normal"/>
        <w:ind w:firstLine="2410"/>
        <w:rPr>
          <w:rFonts w:cs="Arial"/>
          <w:szCs w:val="24"/>
        </w:rPr>
      </w:pPr>
      <w:r>
        <w:rPr>
          <w:rFonts w:cs="Arial"/>
          <w:szCs w:val="24"/>
        </w:rPr>
        <w:t>Aqui, ocorre novamente extrapolação dos limites previstos pela legislação ordinária. Isso porque a Lei 8.112/1990, também em seu artigo 13, §3º, permite que a posse se dê mediante procuração. Veja:</w:t>
      </w:r>
    </w:p>
    <w:p>
      <w:pPr>
        <w:pStyle w:val="Citaolegislao"/>
        <w:rPr/>
      </w:pPr>
      <w:r>
        <w:rPr/>
        <w:t>Art. 13.</w:t>
      </w:r>
    </w:p>
    <w:p>
      <w:pPr>
        <w:pStyle w:val="Citaolegislao"/>
        <w:rPr/>
      </w:pPr>
      <w:r>
        <w:rPr/>
        <w:t>§ 3o A posse poderá dar-se mediante procuração específica.</w:t>
      </w:r>
    </w:p>
    <w:p>
      <w:pPr>
        <w:pStyle w:val="Normal"/>
        <w:rPr/>
      </w:pPr>
      <w:r>
        <w:rPr/>
        <w:t>Não pode, dessa forma, a RESOLUÇÃO fazer restrição não feita pela lei, mostrando-se ilegal no ponto. Deverá, ao contrário, ressalvar a possibilidade do candidato fazer-se representado por seu procurador, nomeado especificamente para isso, na data prevista.</w:t>
      </w:r>
    </w:p>
    <w:p>
      <w:pPr>
        <w:pStyle w:val="Quote"/>
        <w:rPr/>
      </w:pPr>
      <w:r>
        <w:rPr/>
        <w:t>Art. 148. Ao tomar posse o candidato nomeado para o cargo de provimento efetivo ficará sujeito:</w:t>
      </w:r>
    </w:p>
    <w:p>
      <w:pPr>
        <w:pStyle w:val="Quote"/>
        <w:rPr/>
      </w:pPr>
      <w:r>
        <w:rPr/>
        <w:t>...</w:t>
      </w:r>
    </w:p>
    <w:p>
      <w:pPr>
        <w:pStyle w:val="Quote"/>
        <w:rPr/>
      </w:pPr>
      <w:r>
        <w:rPr/>
        <w:t>II – a participação no programa de formação de docentes, que se constituirá em elemento de avaliação no estágio probatório a que se refere o inciso I.</w:t>
      </w:r>
    </w:p>
    <w:p>
      <w:pPr>
        <w:pStyle w:val="Normal"/>
        <w:rPr/>
      </w:pPr>
      <w:r>
        <w:rPr/>
        <w:t>Entretanto, não há previsão nas Leis 8.112/1990 e 12.772/2012 em relação à participação no programa de formação de docentes, para fins de avaliação no estágio probatório.</w:t>
      </w:r>
    </w:p>
    <w:p>
      <w:pPr>
        <w:pStyle w:val="Normal"/>
        <w:rPr>
          <w:b/>
          <w:b/>
        </w:rPr>
      </w:pPr>
      <w:r>
        <w:rPr/>
        <w:t xml:space="preserve">Aliás o inciso V do artigo 24 da Lei 12.772, fala apenas em </w:t>
      </w:r>
      <w:r>
        <w:rPr>
          <w:b/>
        </w:rPr>
        <w:t>participação no Programa de Recepção de Docentes.</w:t>
      </w:r>
    </w:p>
    <w:p>
      <w:pPr>
        <w:pStyle w:val="Citaolegislao"/>
        <w:rPr/>
      </w:pPr>
      <w:r>
        <w:rPr/>
        <w:t>Art. 24.  Além dos fatores previstos no art. 20 da Lei nº 8.112, de 1990, a avaliação especial de desempenho do docente em estágio probatório deverá considerar:</w:t>
      </w:r>
    </w:p>
    <w:p>
      <w:pPr>
        <w:pStyle w:val="Citaolegislao"/>
        <w:rPr/>
      </w:pPr>
      <w:r>
        <w:rPr/>
        <w:t>I - adaptação do professor ao trabalho, verificada por meio de avaliação da capacidade e qualidade no desempenho das atribuições do cargo;</w:t>
      </w:r>
    </w:p>
    <w:p>
      <w:pPr>
        <w:pStyle w:val="Citaolegislao"/>
        <w:rPr/>
      </w:pPr>
      <w:r>
        <w:rPr/>
        <w:t>II - cumprimento dos deveres e obrigações do servidor público, com estrita observância da ética profissional;</w:t>
      </w:r>
    </w:p>
    <w:p>
      <w:pPr>
        <w:pStyle w:val="Citaolegislao"/>
        <w:rPr/>
      </w:pPr>
      <w:r>
        <w:rPr/>
        <w:t>III - análise dos relatórios que documentam as atividades científico-acadêmicas e administrativas programadas no plano de trabalho da unidade de exercício e apresentadas pelo docente, em cada etapa de avaliação;</w:t>
      </w:r>
    </w:p>
    <w:p>
      <w:pPr>
        <w:pStyle w:val="Citaolegislao"/>
        <w:rPr/>
      </w:pPr>
      <w:r>
        <w:rPr/>
        <w:t>IV - a assiduidade, a disciplina, o desempenho didático-pedagógico, a capacidade de iniciativa, produtividade e responsabilidade;</w:t>
      </w:r>
    </w:p>
    <w:p>
      <w:pPr>
        <w:pStyle w:val="Citaolegislao"/>
        <w:rPr>
          <w:b/>
          <w:b/>
        </w:rPr>
      </w:pPr>
      <w:r>
        <w:rPr>
          <w:b/>
        </w:rPr>
        <w:t>V - participação no Programa de Recepção de Docentes instituído pela IFE; e</w:t>
      </w:r>
    </w:p>
    <w:p>
      <w:pPr>
        <w:pStyle w:val="Citaolegislao"/>
        <w:rPr/>
      </w:pPr>
      <w:r>
        <w:rPr/>
        <w:t>VI - avaliação pelos discentes, conforme normatização própria da IFE.</w:t>
      </w:r>
    </w:p>
    <w:p>
      <w:pPr>
        <w:pStyle w:val="Normal"/>
        <w:rPr/>
      </w:pPr>
      <w:r>
        <w:rPr/>
        <w:t>E, esse Programa de Recepção de Docentes em nada se assemelha ao Programa de Formação, tal como previsto pela RESOLUÇÃO Nº. 25 - CONSU, DE 10 DE OUTUBRO DE 2014 DA UFVJM.</w:t>
      </w:r>
    </w:p>
    <w:p>
      <w:pPr>
        <w:pStyle w:val="Normal"/>
        <w:rPr/>
      </w:pPr>
      <w:r>
        <w:rPr/>
        <w:t>Observa-se, então, que a previsão constante da RESOLUÇÃO de que a participação no programa de formação de docentes constituirá em elemento de avaliação no estágio probatório desborda dos limites da lei e da própria RESOLUÇÃO 25/2014 da UFVJM.</w:t>
      </w:r>
    </w:p>
    <w:p>
      <w:pPr>
        <w:pStyle w:val="Normal"/>
        <w:ind w:left="2268" w:hanging="0"/>
        <w:rPr>
          <w:b/>
          <w:b/>
          <w:sz w:val="22"/>
          <w:szCs w:val="22"/>
        </w:rPr>
      </w:pPr>
      <w:r>
        <w:rPr>
          <w:b/>
          <w:sz w:val="22"/>
          <w:szCs w:val="22"/>
        </w:rPr>
        <w:t>Art. 157. Os concursos realizados pela UFVJM poderão ser aproveitados por outras IFES, desde que autorizado pelo Colegiado de Curso ou, na ausência deste, pelo departamento onde estão alocadas as vagas e conste do edital do certame.</w:t>
      </w:r>
    </w:p>
    <w:p>
      <w:pPr>
        <w:pStyle w:val="Normal"/>
        <w:rPr/>
      </w:pPr>
      <w:r>
        <w:rPr/>
        <w:t>Em se tratando de aproveitamento de concurso, o Decreto 94.664/1887 trazia em seu art. 67 previsão expressa, que possibilitava às Instituições Federais de Ensino a admissão de candidatos habilitados em concursos públicos promovidos por outros órgãos ou entidades públicas federais, como se vê:</w:t>
      </w:r>
    </w:p>
    <w:p>
      <w:pPr>
        <w:pStyle w:val="Citaolegislao"/>
        <w:rPr/>
      </w:pPr>
      <w:r>
        <w:rPr/>
        <w:t>Art. 67. Os concursos públicos, destinados a recrutar servidores para ingresso no Plano Único, serão organizados e realizados pela IFE, que poderá admitir candidatos habilitados em concursos públicos promovidos por outros órgãos ou entidades públicas federais.</w:t>
      </w:r>
    </w:p>
    <w:p>
      <w:pPr>
        <w:pStyle w:val="Normal"/>
        <w:rPr/>
      </w:pPr>
      <w:r>
        <w:rPr/>
        <w:t xml:space="preserve">Ocorre que esse Decreto perdeu sua aplicabilidade à partir da entrada em vigor da Lei 12.772/2012. </w:t>
      </w:r>
    </w:p>
    <w:p>
      <w:pPr>
        <w:pStyle w:val="Normal"/>
        <w:rPr/>
      </w:pPr>
      <w:r>
        <w:rPr/>
        <w:t>Inobstante isso, há entendimentos no sentido de que tal instituto encontra amparo nos arts. 10 e 12 da Lei nº 8.112:</w:t>
      </w:r>
    </w:p>
    <w:p>
      <w:pPr>
        <w:pStyle w:val="Citaolegislao"/>
        <w:rPr/>
      </w:pPr>
      <w:r>
        <w:rPr/>
        <w:t>Art. 10. A nomeação para cargo de carreira ou cargo isolado de provimento efetivo depende de prévia habilitação em concurso público de provas ou de provas e títulos, obedecidos a ordem de classificação e o prazo de sua validade.</w:t>
      </w:r>
    </w:p>
    <w:p>
      <w:pPr>
        <w:pStyle w:val="Citaolegislao"/>
        <w:rPr/>
      </w:pPr>
      <w:r>
        <w:rPr/>
        <w:t>Art. 12. O concurso público terá validade de até 2 (dois) anos, podendo ser prorrogado uma única vez, por igual período.</w:t>
      </w:r>
    </w:p>
    <w:p>
      <w:pPr>
        <w:pStyle w:val="Citaolegislao"/>
        <w:rPr/>
      </w:pPr>
      <w:r>
        <w:rPr/>
        <w:t>§ 1º O prazo de validade do concurso e as condições de sua realização serão fixados em edital, que será publicado no Diário Oficial da União e em jornal diário de grande circulação.</w:t>
      </w:r>
    </w:p>
    <w:p>
      <w:pPr>
        <w:pStyle w:val="Citaolegislao"/>
        <w:rPr/>
      </w:pPr>
      <w:r>
        <w:rPr/>
        <w:t>§ 2º Não se abrirá novo concurso enquanto houver candidato aprovado em concurso anterior com prazo de validade não expirado.</w:t>
      </w:r>
    </w:p>
    <w:p>
      <w:pPr>
        <w:pStyle w:val="Normal"/>
        <w:rPr/>
      </w:pPr>
      <w:r>
        <w:rPr/>
        <w:t xml:space="preserve">Assim, com base nesses dispositivos legais, </w:t>
      </w:r>
      <w:r>
        <w:rPr>
          <w:b/>
        </w:rPr>
        <w:t>deve haver expressa previsão no edital regulador do certame do qual se busca aproveitar candidatos</w:t>
      </w:r>
      <w:r>
        <w:rPr/>
        <w:t>, não bastando a autorização da RESOLUÇÃO.</w:t>
      </w:r>
    </w:p>
    <w:p>
      <w:pPr>
        <w:pStyle w:val="Normal"/>
        <w:rPr/>
      </w:pPr>
      <w:r>
        <w:rPr/>
        <w:t>Nesse sentido, citamos pronunciamento do Supremo Tribunal Federal:</w:t>
      </w:r>
    </w:p>
    <w:p>
      <w:pPr>
        <w:pStyle w:val="Citaolegislao"/>
        <w:rPr/>
      </w:pPr>
      <w:r>
        <w:rPr/>
        <w:t>EMENTA: MANDADO DE SEGURANÇA. CONSELHO NACIONAL DE JUSTIÇA. ANULAÇÃO DE NOMEAÇÃO. CONCURSO PÚBLICO PARA OFICIAL DE JUSTIÇA PARA PROVIMENTO DE VAGA NO TRIBUNAL DE JUSTIÇA NO ESTADO DO MARANHÃO. NOMEAÇÃO NOS QUADROS DA JUSTIÇA DE 1º GRAU. DIFERENÇA DE QUADROS NO TOCANTE AO TRIBUNAL E A JUSTIÇA DE 1º GRAU. AUSÊNCIA DE PREVISÃO NO EDITAL SOBRE O APROVEITAMENTO DE LISTA DE CANDIDATOS. VIOLAÇÃO AOS PRINCÍPIOS DA PUBLICIDADE, DA ISONOMIA E DA IMPESSOALIDADE. SEGURANÇA DENEGADA.</w:t>
      </w:r>
    </w:p>
    <w:p>
      <w:pPr>
        <w:pStyle w:val="Citaolegislao"/>
        <w:rPr>
          <w:b/>
          <w:b/>
        </w:rPr>
      </w:pPr>
      <w:r>
        <w:rPr/>
        <w:t xml:space="preserve">I – Não é possível a nomeação de candidato em quadro diverso do qual foi aprovado, ainda que os cargos tenham a mesma nomenclatura, atribuições iguais, e idêntica remuneração, </w:t>
      </w:r>
      <w:r>
        <w:rPr>
          <w:b/>
        </w:rPr>
        <w:t>quando inexiste essa previsão no edital do concurso.</w:t>
      </w:r>
    </w:p>
    <w:p>
      <w:pPr>
        <w:pStyle w:val="Citaolegislao"/>
        <w:rPr>
          <w:b/>
          <w:b/>
        </w:rPr>
      </w:pPr>
      <w:r>
        <w:rPr>
          <w:b/>
        </w:rPr>
        <w:t>II – A falta de previsão no edital sobre a possibilidade de aproveitamento de candidato aprovado em certame destinado a prover vagas para quadro diverso do que prestou o concurso viola o princípio da publicidade, norteador de todo concurso público, bem como o da impessoalidade e o da isonomia.</w:t>
      </w:r>
    </w:p>
    <w:p>
      <w:pPr>
        <w:pStyle w:val="Citaolegislao"/>
        <w:rPr/>
      </w:pPr>
      <w:r>
        <w:rPr/>
        <w:t>III – Segurança denegada. (STF – MS 26.294, Rel. Ministro Ricardo Lewandowiski, Plenário – DJE 15.2.2012)</w:t>
      </w:r>
    </w:p>
    <w:p>
      <w:pPr>
        <w:pStyle w:val="Normal"/>
        <w:rPr/>
      </w:pPr>
      <w:r>
        <w:rPr/>
        <w:t>Por fim, passamos a apontar os dispositivos que podem ser melhor redigidos e/ou cuja pertinência e interesse em mantê-los devem ser avaliados pela ADUFVJM:</w:t>
      </w:r>
    </w:p>
    <w:p>
      <w:pPr>
        <w:pStyle w:val="Quote"/>
        <w:rPr/>
      </w:pPr>
      <w:r>
        <w:rPr>
          <w:bCs/>
        </w:rPr>
        <w:t xml:space="preserve">Art. 9º </w:t>
      </w:r>
      <w:r>
        <w:rPr/>
        <w:t>A solicitação de abertura de Edital de concurso público deverá explicitar unicamente a(s) especialidade(s), a(s) subárea(s) e, ou a(s) área(s) de conhecimento do concurso, de acordo com a tabela do CNPq ou CAPES vigente.</w:t>
      </w:r>
    </w:p>
    <w:p>
      <w:pPr>
        <w:pStyle w:val="Quote"/>
        <w:rPr/>
      </w:pPr>
      <w:r>
        <w:rPr>
          <w:bCs/>
        </w:rPr>
        <w:t>§ 1º</w:t>
      </w:r>
      <w:r>
        <w:rPr/>
        <w:t xml:space="preserve"> – É terminantemente vedado o uso da expressão </w:t>
      </w:r>
      <w:r>
        <w:rPr>
          <w:highlight w:val="yellow"/>
        </w:rPr>
        <w:t>áreas afins e/ou especificação de disciplinas e/ou unidades curriculares sob responsabilidade do docente</w:t>
      </w:r>
      <w:r>
        <w:rPr/>
        <w:t xml:space="preserve"> na solicitação de abertura de Edital de concurso público.</w:t>
      </w:r>
    </w:p>
    <w:p>
      <w:pPr>
        <w:pStyle w:val="Normal"/>
        <w:rPr/>
      </w:pPr>
      <w:r>
        <w:rPr/>
        <w:t>As expressões cujo uso está vedado misturam-se no texto do parágrafo, sendo aconselhável destaca-los por meio da grafia em itálico ou negrito.</w:t>
      </w:r>
    </w:p>
    <w:p>
      <w:pPr>
        <w:pStyle w:val="Normal"/>
        <w:suppressAutoHyphens w:val="true"/>
        <w:spacing w:beforeAutospacing="0" w:before="0" w:afterAutospacing="0" w:after="0"/>
        <w:ind w:left="2268" w:hanging="0"/>
        <w:textAlignment w:val="baseline"/>
        <w:rPr>
          <w:rFonts w:eastAsia="Calibri" w:cs="Arial"/>
          <w:b/>
          <w:b/>
          <w:color w:val="00000A"/>
          <w:sz w:val="22"/>
          <w:szCs w:val="22"/>
          <w:lang w:eastAsia="zh-CN"/>
        </w:rPr>
      </w:pPr>
      <w:r>
        <w:rPr>
          <w:rFonts w:cs="Arial"/>
          <w:b/>
          <w:color w:val="00000A"/>
          <w:sz w:val="22"/>
          <w:szCs w:val="22"/>
          <w:lang w:eastAsia="zh-CN"/>
        </w:rPr>
        <w:t xml:space="preserve">Art. 128. </w:t>
      </w:r>
      <w:r>
        <w:rPr>
          <w:rFonts w:eastAsia="Calibri" w:cs="Arial"/>
          <w:b/>
          <w:color w:val="00000A"/>
          <w:sz w:val="22"/>
          <w:szCs w:val="22"/>
          <w:lang w:eastAsia="zh-CN"/>
        </w:rPr>
        <w:t xml:space="preserve">Após a abertura dos </w:t>
      </w:r>
      <w:r>
        <w:rPr>
          <w:rFonts w:eastAsia="Calibri" w:cs="Arial"/>
          <w:b/>
          <w:color w:val="000000"/>
          <w:sz w:val="22"/>
          <w:szCs w:val="22"/>
          <w:lang w:eastAsia="zh-CN"/>
        </w:rPr>
        <w:t>envelopes que contenham os formulários usados pela banca examinadora, o presidente tomará as seguintes medidas:</w:t>
      </w:r>
    </w:p>
    <w:p>
      <w:pPr>
        <w:pStyle w:val="Normal"/>
        <w:suppressAutoHyphens w:val="true"/>
        <w:spacing w:beforeAutospacing="0" w:before="0" w:afterAutospacing="0" w:after="0"/>
        <w:ind w:left="2268" w:hanging="0"/>
        <w:textAlignment w:val="baseline"/>
        <w:rPr>
          <w:rFonts w:eastAsia="Calibri" w:cs="Arial"/>
          <w:b/>
          <w:b/>
          <w:color w:val="00000A"/>
          <w:sz w:val="22"/>
          <w:szCs w:val="22"/>
          <w:lang w:eastAsia="zh-CN"/>
        </w:rPr>
      </w:pPr>
      <w:r>
        <w:rPr>
          <w:rFonts w:eastAsia="Calibri" w:cs="Arial"/>
          <w:b/>
          <w:color w:val="000000"/>
          <w:sz w:val="22"/>
          <w:szCs w:val="22"/>
          <w:lang w:eastAsia="zh-CN"/>
        </w:rPr>
        <w:t xml:space="preserve">I - </w:t>
      </w:r>
      <w:r>
        <w:rPr>
          <w:rFonts w:eastAsia="Calibri" w:cs="Arial"/>
          <w:b/>
          <w:color w:val="00000A"/>
          <w:sz w:val="22"/>
          <w:szCs w:val="22"/>
          <w:lang w:eastAsia="zh-CN"/>
        </w:rPr>
        <w:t>proclamará a identificação numérica e nominal de cada candidato na prova escrita;</w:t>
      </w:r>
    </w:p>
    <w:p>
      <w:pPr>
        <w:pStyle w:val="Normal"/>
        <w:suppressAutoHyphens w:val="true"/>
        <w:spacing w:beforeAutospacing="0" w:before="0" w:afterAutospacing="0" w:after="0"/>
        <w:ind w:left="2268" w:hanging="0"/>
        <w:textAlignment w:val="baseline"/>
        <w:rPr>
          <w:rFonts w:cs="Arial"/>
          <w:b/>
          <w:b/>
          <w:color w:val="000000"/>
          <w:sz w:val="22"/>
          <w:szCs w:val="22"/>
          <w:lang w:eastAsia="zh-CN"/>
        </w:rPr>
      </w:pPr>
      <w:r>
        <w:rPr>
          <w:rFonts w:cs="Arial"/>
          <w:b/>
          <w:color w:val="000000"/>
          <w:sz w:val="22"/>
          <w:szCs w:val="22"/>
          <w:highlight w:val="yellow"/>
          <w:lang w:eastAsia="zh-CN"/>
        </w:rPr>
        <w:t>II – Disponibilizar</w:t>
      </w:r>
      <w:r>
        <w:rPr>
          <w:rFonts w:cs="Arial"/>
          <w:b/>
          <w:color w:val="000000"/>
          <w:sz w:val="22"/>
          <w:szCs w:val="22"/>
          <w:lang w:eastAsia="zh-CN"/>
        </w:rPr>
        <w:t xml:space="preserve"> o espelho da prova escrita dissertativa e a estrutura completa do conteúdo avaliado, com a indicação dos critérios utilizados para aferição da correção de cada um dos itens,</w:t>
      </w:r>
    </w:p>
    <w:p>
      <w:pPr>
        <w:pStyle w:val="Normal"/>
        <w:suppressAutoHyphens w:val="true"/>
        <w:spacing w:beforeAutospacing="0" w:before="0" w:afterAutospacing="0" w:after="0"/>
        <w:ind w:left="2268" w:hanging="0"/>
        <w:textAlignment w:val="baseline"/>
        <w:rPr>
          <w:rFonts w:eastAsia="Calibri" w:cs="Arial"/>
          <w:b/>
          <w:b/>
          <w:color w:val="00000A"/>
          <w:sz w:val="22"/>
          <w:szCs w:val="22"/>
          <w:lang w:eastAsia="zh-CN"/>
        </w:rPr>
      </w:pPr>
      <w:r>
        <w:rPr>
          <w:rFonts w:eastAsia="Calibri" w:cs="Arial"/>
          <w:b/>
          <w:color w:val="00000A"/>
          <w:sz w:val="22"/>
          <w:szCs w:val="22"/>
          <w:lang w:eastAsia="zh-CN"/>
        </w:rPr>
        <w:t>III - a identificação da modalidade de avaliação;</w:t>
      </w:r>
    </w:p>
    <w:p>
      <w:pPr>
        <w:pStyle w:val="Normal"/>
        <w:suppressAutoHyphens w:val="true"/>
        <w:spacing w:beforeAutospacing="0" w:before="0" w:afterAutospacing="0" w:after="0"/>
        <w:ind w:left="2268" w:hanging="0"/>
        <w:textAlignment w:val="baseline"/>
        <w:rPr>
          <w:rFonts w:eastAsia="Calibri" w:cs="Arial"/>
          <w:b/>
          <w:b/>
          <w:color w:val="00000A"/>
          <w:sz w:val="22"/>
          <w:szCs w:val="22"/>
          <w:lang w:eastAsia="zh-CN"/>
        </w:rPr>
      </w:pPr>
      <w:r>
        <w:rPr>
          <w:rFonts w:eastAsia="Calibri" w:cs="Arial"/>
          <w:b/>
          <w:color w:val="00000A"/>
          <w:sz w:val="22"/>
          <w:szCs w:val="22"/>
          <w:lang w:eastAsia="zh-CN"/>
        </w:rPr>
        <w:t>IV - a nota atribuída a cada candidato, indicando o nome do respectivo avaliador;</w:t>
      </w:r>
    </w:p>
    <w:p>
      <w:pPr>
        <w:pStyle w:val="Normal"/>
        <w:suppressAutoHyphens w:val="true"/>
        <w:spacing w:beforeAutospacing="0" w:before="0" w:afterAutospacing="0" w:after="0"/>
        <w:ind w:left="2268" w:hanging="0"/>
        <w:textAlignment w:val="baseline"/>
        <w:rPr>
          <w:rFonts w:eastAsia="Calibri" w:cs="Arial"/>
          <w:b/>
          <w:b/>
          <w:color w:val="00000A"/>
          <w:sz w:val="22"/>
          <w:szCs w:val="22"/>
          <w:lang w:eastAsia="zh-CN"/>
        </w:rPr>
      </w:pPr>
      <w:r>
        <w:rPr>
          <w:rFonts w:eastAsia="Calibri" w:cs="Arial"/>
          <w:b/>
          <w:color w:val="00000A"/>
          <w:sz w:val="22"/>
          <w:szCs w:val="22"/>
          <w:lang w:eastAsia="zh-CN"/>
        </w:rPr>
        <w:t>V – O lançamento imediato da nota atribuída ao candidato na planilha de classificação dos candidatos para a imediata realização dos cálculos relacionados:</w:t>
      </w:r>
    </w:p>
    <w:p>
      <w:pPr>
        <w:pStyle w:val="Normal"/>
        <w:suppressAutoHyphens w:val="true"/>
        <w:spacing w:beforeAutospacing="0" w:before="0" w:afterAutospacing="0" w:after="0"/>
        <w:ind w:left="2268" w:hanging="0"/>
        <w:textAlignment w:val="baseline"/>
        <w:rPr>
          <w:rFonts w:cs="Arial"/>
          <w:b/>
          <w:b/>
          <w:color w:val="00000A"/>
          <w:sz w:val="22"/>
          <w:szCs w:val="22"/>
          <w:highlight w:val="yellow"/>
          <w:lang w:eastAsia="zh-CN"/>
        </w:rPr>
      </w:pPr>
      <w:r>
        <w:rPr>
          <w:rFonts w:cs="Arial"/>
          <w:b/>
          <w:color w:val="00000A"/>
          <w:sz w:val="22"/>
          <w:szCs w:val="22"/>
          <w:highlight w:val="yellow"/>
          <w:lang w:eastAsia="zh-CN"/>
        </w:rPr>
        <w:t>VI – às notas finais obtidas pelos candidatos, por prova;</w:t>
      </w:r>
    </w:p>
    <w:p>
      <w:pPr>
        <w:pStyle w:val="Normal"/>
        <w:suppressAutoHyphens w:val="true"/>
        <w:spacing w:beforeAutospacing="0" w:before="0" w:afterAutospacing="0" w:after="0"/>
        <w:ind w:left="2268" w:hanging="0"/>
        <w:textAlignment w:val="baseline"/>
        <w:rPr>
          <w:rFonts w:cs="Arial"/>
          <w:b/>
          <w:b/>
          <w:color w:val="00000A"/>
          <w:sz w:val="22"/>
          <w:szCs w:val="22"/>
          <w:lang w:eastAsia="zh-CN"/>
        </w:rPr>
      </w:pPr>
      <w:r>
        <w:rPr>
          <w:rFonts w:cs="Arial"/>
          <w:b/>
          <w:color w:val="00000A"/>
          <w:sz w:val="22"/>
          <w:szCs w:val="22"/>
          <w:highlight w:val="yellow"/>
          <w:lang w:eastAsia="zh-CN"/>
        </w:rPr>
        <w:t>VII – à média final de classificação dos candidatos.</w:t>
      </w:r>
    </w:p>
    <w:p>
      <w:pPr>
        <w:pStyle w:val="Normal"/>
        <w:rPr>
          <w:rFonts w:cs="Arial"/>
          <w:szCs w:val="24"/>
        </w:rPr>
      </w:pPr>
      <w:r>
        <w:rPr>
          <w:rFonts w:cs="Arial"/>
          <w:szCs w:val="24"/>
        </w:rPr>
        <w:t>A redação do artigo 128 carece de colocação dos verbos disponibilizará, no inciso II; promoverá, no inciso III e revelará no inciso IV. Além disso, os incisos VI e VII não são incisos propriamente dito, mas itens do inciso V. Portanto, os incisos VI e VII, devem ser indicados pelas letras “a” e “b”.</w:t>
      </w:r>
    </w:p>
    <w:p>
      <w:pPr>
        <w:pStyle w:val="Normal"/>
        <w:suppressAutoHyphens w:val="true"/>
        <w:spacing w:beforeAutospacing="0" w:before="0" w:afterAutospacing="0" w:after="0"/>
        <w:ind w:left="2268" w:hanging="0"/>
        <w:textAlignment w:val="baseline"/>
        <w:rPr>
          <w:rFonts w:eastAsia="Calibri" w:cs="Arial"/>
          <w:b/>
          <w:b/>
          <w:color w:val="00000A"/>
          <w:sz w:val="22"/>
          <w:szCs w:val="22"/>
          <w:lang w:eastAsia="zh-CN"/>
        </w:rPr>
      </w:pPr>
      <w:r>
        <w:rPr>
          <w:rFonts w:cs="Arial"/>
          <w:b/>
          <w:color w:val="00000A"/>
          <w:sz w:val="22"/>
          <w:szCs w:val="22"/>
          <w:lang w:eastAsia="zh-CN"/>
        </w:rPr>
        <w:t xml:space="preserve">Art. 131. Para a classificação geral, a banca examinadora calculará a média aritmética das médias obtidas pelo candidato em cada prova, considerando duas casas </w:t>
      </w:r>
      <w:r>
        <w:rPr>
          <w:rFonts w:cs="Arial"/>
          <w:b/>
          <w:color w:val="000000"/>
          <w:sz w:val="22"/>
          <w:szCs w:val="22"/>
          <w:lang w:eastAsia="zh-CN"/>
        </w:rPr>
        <w:t>decimais, sem arredondamentos, relacionando em ordem decrescente das médias obtidas.</w:t>
      </w:r>
    </w:p>
    <w:p>
      <w:pPr>
        <w:pStyle w:val="Normal"/>
        <w:suppressAutoHyphens w:val="true"/>
        <w:spacing w:beforeAutospacing="0" w:before="0" w:afterAutospacing="0" w:after="0"/>
        <w:ind w:left="2268" w:hanging="0"/>
        <w:textAlignment w:val="baseline"/>
        <w:rPr>
          <w:rFonts w:eastAsia="Calibri" w:cs="Arial"/>
          <w:b/>
          <w:b/>
          <w:color w:val="00000A"/>
          <w:sz w:val="22"/>
          <w:szCs w:val="22"/>
          <w:lang w:eastAsia="zh-CN"/>
        </w:rPr>
      </w:pPr>
      <w:r>
        <w:rPr>
          <w:rFonts w:cs="Arial"/>
          <w:b/>
          <w:bCs/>
          <w:color w:val="000000"/>
          <w:sz w:val="22"/>
          <w:szCs w:val="22"/>
          <w:lang w:eastAsia="zh-CN"/>
        </w:rPr>
        <w:t>Parágrafo único</w:t>
      </w:r>
      <w:r>
        <w:rPr>
          <w:rFonts w:cs="Arial"/>
          <w:b/>
          <w:color w:val="000000"/>
          <w:sz w:val="22"/>
          <w:szCs w:val="22"/>
          <w:lang w:eastAsia="zh-CN"/>
        </w:rPr>
        <w:t xml:space="preserve"> A nota obtida na prova de múltipla escolha, quando aplicada, será descartada e não será computada para a obtenção da nota final.</w:t>
      </w:r>
    </w:p>
    <w:p>
      <w:pPr>
        <w:pStyle w:val="Normal"/>
        <w:rPr/>
      </w:pPr>
      <w:r>
        <w:rPr/>
        <w:t xml:space="preserve">O parágrafo único do artigo 131 estabelece o que é chamado de cláusula de barreira, que possibilita limitar a participação de candidatos na fase seguinte apenas a um número predeterminado de candidatos que tenham obtido a melhor classificação, incluindo a nota obtida na prova de múltipla escolha. Mas essa nota não será considerada para obtenção da nota final. </w:t>
      </w:r>
    </w:p>
    <w:p>
      <w:pPr>
        <w:pStyle w:val="Normal"/>
        <w:rPr/>
      </w:pPr>
      <w:r>
        <w:rPr/>
        <w:t>Assim, embora tenha amparo constitucional tal previsão, vez que fundada em critérios objetivos, segundo entendimento do STF no RE 635.739/AL, Rel. Ministro Gilmar Mendes, deve-se avaliar a pertinência em manter a prova de múltipla escolha nos concursos que serão realizados.</w:t>
      </w:r>
    </w:p>
    <w:p>
      <w:pPr>
        <w:pStyle w:val="Normal"/>
        <w:ind w:left="2268" w:hanging="0"/>
        <w:rPr>
          <w:rFonts w:cs="Arial"/>
          <w:b/>
          <w:b/>
          <w:szCs w:val="24"/>
        </w:rPr>
      </w:pPr>
      <w:r>
        <w:rPr>
          <w:rFonts w:cs="Arial"/>
          <w:b/>
          <w:szCs w:val="24"/>
        </w:rPr>
        <w:t>Art. 134. Ocorrendo empate entre os candidatos, o desempate dar-se-á obedecendo a seguinte ordem:</w:t>
      </w:r>
    </w:p>
    <w:p>
      <w:pPr>
        <w:pStyle w:val="Normal"/>
        <w:rPr>
          <w:rFonts w:cs="Arial"/>
          <w:szCs w:val="24"/>
        </w:rPr>
      </w:pPr>
      <w:r>
        <w:rPr>
          <w:rFonts w:cs="Arial"/>
          <w:szCs w:val="24"/>
        </w:rPr>
        <w:t>Como a cláusula que regulamenta o critério de desempate aplica-se apenas após o resultado final do certame, é recomendável mencionar expressamente essa condição na norma.</w:t>
      </w:r>
    </w:p>
    <w:p>
      <w:pPr>
        <w:pStyle w:val="Normal"/>
        <w:ind w:left="2268" w:hanging="0"/>
        <w:rPr>
          <w:rFonts w:cs="Arial"/>
          <w:b/>
          <w:b/>
          <w:sz w:val="22"/>
          <w:szCs w:val="22"/>
        </w:rPr>
      </w:pPr>
      <w:r>
        <w:rPr>
          <w:rFonts w:cs="Arial"/>
          <w:b/>
          <w:sz w:val="22"/>
          <w:szCs w:val="22"/>
        </w:rPr>
        <w:t xml:space="preserve">Art. 136. Após a sessão pública de apuração do resultado para habilitação e classificação dos candidatos, a banca examinadora terá dois dias úteis para elaborar e submeter o processo com o relatório final </w:t>
      </w:r>
      <w:r>
        <w:rPr>
          <w:rFonts w:cs="Arial"/>
          <w:b/>
          <w:sz w:val="22"/>
          <w:szCs w:val="22"/>
          <w:u w:val="single"/>
        </w:rPr>
        <w:t>à congregação da unidade acadêmica o</w:t>
      </w:r>
      <w:r>
        <w:rPr>
          <w:rFonts w:cs="Arial"/>
          <w:b/>
          <w:sz w:val="22"/>
          <w:szCs w:val="22"/>
        </w:rPr>
        <w:t>u à Diretoria de EaD.</w:t>
      </w:r>
    </w:p>
    <w:p>
      <w:pPr>
        <w:pStyle w:val="Normal"/>
        <w:rPr>
          <w:rFonts w:cs="Arial"/>
          <w:szCs w:val="24"/>
        </w:rPr>
      </w:pPr>
      <w:r>
        <w:rPr>
          <w:rFonts w:cs="Arial"/>
          <w:szCs w:val="24"/>
        </w:rPr>
        <w:t>É recomendável verificar eventual situação de unidades que não tenham congregação.</w:t>
      </w:r>
    </w:p>
    <w:p>
      <w:pPr>
        <w:pStyle w:val="Normal"/>
        <w:rPr>
          <w:rFonts w:cs="Arial"/>
          <w:b/>
          <w:b/>
          <w:caps/>
        </w:rPr>
      </w:pPr>
      <w:r>
        <w:rPr>
          <w:rFonts w:cs="Arial"/>
          <w:b/>
          <w:caps/>
        </w:rPr>
        <w:t>Conclusões</w:t>
      </w:r>
    </w:p>
    <w:p>
      <w:pPr>
        <w:pStyle w:val="Normal"/>
        <w:rPr>
          <w:rFonts w:cs="Arial"/>
        </w:rPr>
      </w:pPr>
      <w:r>
        <w:rPr>
          <w:rFonts w:cs="Arial"/>
        </w:rPr>
        <w:t>A RESOLUÇÃO analisada promoverá alterações na disciplina relativa</w:t>
      </w:r>
      <w:r>
        <w:rPr/>
        <w:t xml:space="preserve"> </w:t>
      </w:r>
      <w:r>
        <w:rPr>
          <w:rFonts w:cs="Arial"/>
        </w:rPr>
        <w:t>à realização de concurso público de provas e títulos para o ingresso na carreira e cargos do magistério federal superior na UFVJM.</w:t>
      </w:r>
    </w:p>
    <w:p>
      <w:pPr>
        <w:pStyle w:val="Normal"/>
        <w:rPr>
          <w:rFonts w:cs="Arial"/>
        </w:rPr>
      </w:pPr>
      <w:r>
        <w:rPr>
          <w:rFonts w:cs="Arial"/>
        </w:rPr>
        <w:t>Entretanto, em alguns pontos a redação proposta desborda os limites das normas legais.</w:t>
      </w:r>
    </w:p>
    <w:p>
      <w:pPr>
        <w:pStyle w:val="Normal"/>
        <w:rPr>
          <w:rFonts w:cs="Arial"/>
        </w:rPr>
      </w:pPr>
      <w:r>
        <w:rPr>
          <w:rFonts w:cs="Arial"/>
        </w:rPr>
        <w:t>Por esses motivos, entendemos possível questionar judicialmente os pontos em que se verificam as ilegalidades, conforme exposto no decorrer da presente análise.</w:t>
      </w:r>
    </w:p>
    <w:p>
      <w:pPr>
        <w:pStyle w:val="Normal"/>
        <w:rPr>
          <w:rFonts w:cs="Arial"/>
        </w:rPr>
      </w:pPr>
      <w:r>
        <w:rPr>
          <w:rFonts w:cs="Arial"/>
        </w:rPr>
        <w:t>Há que se observar ainda os pontos que exigem melhoria na redação proposta e/ou avaliação da pertinência em manter a redação nos termos propostos.</w:t>
      </w:r>
    </w:p>
    <w:p>
      <w:pPr>
        <w:pStyle w:val="Normal"/>
        <w:rPr>
          <w:rFonts w:cs="Arial"/>
        </w:rPr>
      </w:pPr>
      <w:r>
        <w:rPr>
          <w:rFonts w:cs="Arial"/>
        </w:rPr>
        <w:t>Salvo melhor Juízo, esse é o nosso parecer.</w:t>
      </w:r>
    </w:p>
    <w:p>
      <w:pPr>
        <w:pStyle w:val="Normal"/>
        <w:rPr>
          <w:rFonts w:cs="Arial"/>
        </w:rPr>
      </w:pPr>
      <w:r>
        <w:rPr>
          <w:rFonts w:cs="Arial"/>
        </w:rPr>
        <w:t>Belo Horizonte, 21 de julho de 2017.</w:t>
      </w:r>
    </w:p>
    <w:p>
      <w:pPr>
        <w:pStyle w:val="Normal"/>
        <w:spacing w:beforeAutospacing="0" w:before="0" w:afterAutospacing="0" w:after="0"/>
        <w:ind w:hanging="0"/>
        <w:jc w:val="center"/>
        <w:rPr>
          <w:rFonts w:cs="Arial"/>
        </w:rPr>
      </w:pPr>
      <w:r>
        <w:rPr>
          <w:rFonts w:cs="Arial"/>
        </w:rPr>
        <w:t>Flávia da Cunha Pinto Mesquita</w:t>
      </w:r>
    </w:p>
    <w:p>
      <w:pPr>
        <w:pStyle w:val="Normal"/>
        <w:spacing w:beforeAutospacing="0" w:before="0" w:afterAutospacing="0" w:after="0"/>
        <w:ind w:hanging="0"/>
        <w:jc w:val="center"/>
        <w:rPr>
          <w:rFonts w:cs="Arial"/>
        </w:rPr>
      </w:pPr>
      <w:r>
        <w:rPr>
          <w:rFonts w:cs="Arial"/>
        </w:rPr>
        <w:t>OAB/MG 75.347</w:t>
      </w:r>
    </w:p>
    <w:p>
      <w:pPr>
        <w:pStyle w:val="Normal"/>
        <w:spacing w:beforeAutospacing="0" w:before="0" w:afterAutospacing="0" w:after="0"/>
        <w:ind w:hanging="0"/>
        <w:jc w:val="center"/>
        <w:rPr>
          <w:rFonts w:cs="Arial"/>
        </w:rPr>
      </w:pPr>
      <w:r>
        <w:rPr>
          <w:rFonts w:cs="Arial"/>
        </w:rPr>
      </w:r>
    </w:p>
    <w:p>
      <w:pPr>
        <w:pStyle w:val="Normal"/>
        <w:spacing w:beforeAutospacing="0" w:before="0" w:afterAutospacing="0" w:after="0"/>
        <w:ind w:hanging="0"/>
        <w:jc w:val="center"/>
        <w:rPr>
          <w:rFonts w:cs="Arial"/>
        </w:rPr>
      </w:pPr>
      <w:r>
        <w:rPr>
          <w:rFonts w:cs="Arial"/>
        </w:rPr>
        <w:t>Felipe Giordani Santos Torres Oliveira</w:t>
      </w:r>
    </w:p>
    <w:p>
      <w:pPr>
        <w:pStyle w:val="Normal"/>
        <w:spacing w:beforeAutospacing="0" w:before="0" w:afterAutospacing="0" w:after="0"/>
        <w:ind w:hanging="0"/>
        <w:jc w:val="center"/>
        <w:rPr>
          <w:rFonts w:cs="Arial"/>
        </w:rPr>
      </w:pPr>
      <w:r>
        <w:rPr>
          <w:rFonts w:cs="Arial"/>
        </w:rPr>
        <w:t>OAB/MG 116.333</w:t>
      </w:r>
    </w:p>
    <w:p>
      <w:pPr>
        <w:pStyle w:val="Normal"/>
        <w:spacing w:beforeAutospacing="0" w:before="0" w:afterAutospacing="0" w:after="0"/>
        <w:ind w:hanging="0"/>
        <w:jc w:val="center"/>
        <w:rPr>
          <w:rFonts w:cs="Arial"/>
        </w:rPr>
      </w:pPr>
      <w:r>
        <w:rPr>
          <w:rFonts w:cs="Arial"/>
        </w:rPr>
      </w:r>
    </w:p>
    <w:p>
      <w:pPr>
        <w:pStyle w:val="Normal"/>
        <w:spacing w:beforeAutospacing="0" w:before="0" w:afterAutospacing="0" w:after="0"/>
        <w:ind w:hanging="0"/>
        <w:jc w:val="center"/>
        <w:rPr>
          <w:rFonts w:cs="Arial"/>
        </w:rPr>
      </w:pPr>
      <w:r>
        <w:rPr>
          <w:rFonts w:cs="Arial"/>
        </w:rPr>
        <w:t>Thaisa Cristina Guimarães Fonseca</w:t>
      </w:r>
    </w:p>
    <w:p>
      <w:pPr>
        <w:pStyle w:val="Normal"/>
        <w:spacing w:beforeAutospacing="0" w:before="0" w:afterAutospacing="0" w:after="0"/>
        <w:ind w:hanging="0"/>
        <w:jc w:val="center"/>
        <w:rPr>
          <w:rFonts w:cs="Arial"/>
        </w:rPr>
      </w:pPr>
      <w:r>
        <w:rPr>
          <w:rFonts w:cs="Arial"/>
        </w:rPr>
        <w:t>OAB/MG 157.393</w:t>
      </w:r>
    </w:p>
    <w:p>
      <w:pPr>
        <w:pStyle w:val="Normal"/>
        <w:spacing w:beforeAutospacing="0" w:before="0" w:afterAutospacing="0" w:after="0"/>
        <w:ind w:hanging="0"/>
        <w:jc w:val="center"/>
        <w:rPr>
          <w:rFonts w:cs="Arial"/>
        </w:rPr>
      </w:pPr>
      <w:r>
        <w:rPr>
          <w:rFonts w:cs="Arial"/>
        </w:rPr>
      </w:r>
    </w:p>
    <w:p>
      <w:pPr>
        <w:pStyle w:val="Normal"/>
        <w:spacing w:beforeAutospacing="0" w:before="0" w:afterAutospacing="0" w:after="0"/>
        <w:ind w:hanging="0"/>
        <w:jc w:val="center"/>
        <w:rPr>
          <w:rFonts w:cs="Arial"/>
          <w:i/>
          <w:i/>
        </w:rPr>
      </w:pPr>
      <w:r>
        <w:rPr>
          <w:rFonts w:cs="Arial"/>
          <w:i/>
        </w:rPr>
        <w:t>Geraldo Marcos e Advogados Associados</w:t>
      </w:r>
    </w:p>
    <w:p>
      <w:pPr>
        <w:pStyle w:val="Normal"/>
        <w:spacing w:beforeAutospacing="0" w:before="0" w:afterAutospacing="0" w:after="0"/>
        <w:ind w:hanging="0"/>
        <w:jc w:val="center"/>
        <w:rPr/>
      </w:pPr>
      <w:r>
        <w:rPr>
          <w:rFonts w:cs="Arial"/>
          <w:i/>
        </w:rPr>
        <w:t>Assesso</w:t>
      </w:r>
      <w:bookmarkStart w:id="13" w:name="_GoBack"/>
      <w:bookmarkEnd w:id="13"/>
      <w:r>
        <w:rPr>
          <w:rFonts w:cs="Arial"/>
          <w:i/>
        </w:rPr>
        <w:t>ria Jurídica da ADUFVJM</w:t>
      </w:r>
    </w:p>
    <w:sectPr>
      <w:headerReference w:type="default" r:id="rId4"/>
      <w:footerReference w:type="default" r:id="rId5"/>
      <w:type w:val="nextPage"/>
      <w:pgSz w:w="11906" w:h="16838"/>
      <w:pgMar w:left="1701" w:right="1701" w:header="284" w:top="1701" w:footer="170" w:bottom="1701"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Tahoma">
    <w:charset w:val="00"/>
    <w:family w:val="roman"/>
    <w:pitch w:val="variable"/>
  </w:font>
  <w:font w:name="Liberation Sans">
    <w:altName w:val="Arial"/>
    <w:charset w:val="00"/>
    <w:family w:val="swiss"/>
    <w:pitch w:val="variable"/>
  </w:font>
  <w:font w:name="Calibri">
    <w:charset w:val="00"/>
    <w:family w:val="roman"/>
    <w:pitch w:val="variable"/>
  </w:font>
  <w:font w:name="Arial Narrow">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93862425"/>
    </w:sdtPr>
    <w:sdtContent>
      <w:p>
        <w:pPr>
          <w:pStyle w:val="Rodap"/>
          <w:spacing w:before="280" w:after="280"/>
          <w:jc w:val="right"/>
          <w:rPr/>
        </w:pPr>
        <w:r>
          <w:rPr/>
          <w:fldChar w:fldCharType="begin"/>
        </w:r>
        <w:r>
          <w:instrText> PAGE </w:instrText>
        </w:r>
        <w:r>
          <w:fldChar w:fldCharType="separate"/>
        </w:r>
        <w:r>
          <w:t>20</w:t>
        </w:r>
        <w:r>
          <w:fldChar w:fldCharType="end"/>
        </w:r>
      </w:p>
      <w:p>
        <w:pPr>
          <w:pStyle w:val="Rodap"/>
          <w:spacing w:beforeAutospacing="0" w:before="0" w:afterAutospacing="0" w:after="0"/>
          <w:ind w:hanging="0"/>
          <w:jc w:val="center"/>
          <w:rPr>
            <w:rFonts w:ascii="Arial Narrow" w:hAnsi="Arial Narrow" w:cs="Arial"/>
          </w:rPr>
        </w:pPr>
        <w:r>
          <w:rPr>
            <w:rFonts w:cs="Arial" w:ascii="Arial Narrow" w:hAnsi="Arial Narrow"/>
          </w:rPr>
          <w:t>Rua Américo Macedo, 491 – Gutierrez – CEP 30441-102 – Belo Horizonte/MG</w:t>
        </w:r>
      </w:p>
      <w:p>
        <w:pPr>
          <w:pStyle w:val="Rodap"/>
          <w:spacing w:beforeAutospacing="0" w:before="0" w:afterAutospacing="0" w:after="0"/>
          <w:ind w:hanging="0"/>
          <w:jc w:val="center"/>
          <w:rPr>
            <w:rFonts w:ascii="Arial Narrow" w:hAnsi="Arial Narrow" w:cs="Arial"/>
          </w:rPr>
        </w:pPr>
        <w:r>
          <w:rPr>
            <w:rFonts w:cs="Arial" w:ascii="Arial Narrow" w:hAnsi="Arial Narrow"/>
          </w:rPr>
          <w:t>Telefax (31) 3291.9988 – E-mail: gmarcos@gmarcosadvogados.com.br</w:t>
        </w:r>
      </w:p>
      <w:p>
        <w:pPr>
          <w:pStyle w:val="Rodap"/>
          <w:spacing w:beforeAutospacing="0" w:before="0" w:afterAutospacing="0" w:after="0"/>
          <w:ind w:hanging="0"/>
          <w:jc w:val="center"/>
          <w:rPr/>
        </w:pPr>
        <w:r>
          <w:rPr>
            <w:rFonts w:cs="Arial" w:ascii="Arial Narrow" w:hAnsi="Arial Narrow"/>
          </w:rPr>
          <w:t>www.gmarcosadvogados.com.br</w:t>
        </w:r>
      </w:p>
    </w:sdtContent>
  </w:sdt>
  <w:p>
    <w:pPr>
      <w:pStyle w:val="Rodap"/>
      <w:spacing w:before="280" w:after="280"/>
      <w:ind w:hanging="0"/>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tabs>
        <w:tab w:val="center" w:pos="4252" w:leader="none"/>
        <w:tab w:val="right" w:pos="8504" w:leader="none"/>
        <w:tab w:val="right" w:pos="9072" w:leader="none"/>
      </w:tabs>
      <w:spacing w:before="280" w:after="280"/>
      <w:ind w:hanging="0"/>
      <w:jc w:val="center"/>
      <w:rPr/>
    </w:pPr>
    <w:r>
      <w:rPr/>
      <w:drawing>
        <wp:inline distT="0" distB="0" distL="0" distR="1270">
          <wp:extent cx="5751830" cy="1068070"/>
          <wp:effectExtent l="0" t="0" r="0" b="0"/>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1"/>
                  <a:stretch>
                    <a:fillRect/>
                  </a:stretch>
                </pic:blipFill>
                <pic:spPr bwMode="auto">
                  <a:xfrm>
                    <a:off x="0" y="0"/>
                    <a:ext cx="5751830" cy="1068070"/>
                  </a:xfrm>
                  <a:prstGeom prst="rect">
                    <a:avLst/>
                  </a:prstGeom>
                </pic:spPr>
              </pic:pic>
            </a:graphicData>
          </a:graphic>
        </wp:inline>
      </w:drawing>
    </w:r>
  </w:p>
</w:hdr>
</file>

<file path=word/settings.xml><?xml version="1.0" encoding="utf-8"?>
<w:settings xmlns:w="http://schemas.openxmlformats.org/wordprocessingml/2006/main">
  <w:zoom w:percent="115"/>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Calibri" w:cs="" w:cstheme="minorBidi" w:eastAsiaTheme="minorHAnsi"/>
        <w:sz w:val="24"/>
        <w:szCs w:val="22"/>
        <w:lang w:val="pt-BR" w:eastAsia="en-US" w:bidi="ar-SA"/>
      </w:rPr>
    </w:rPrDefault>
    <w:pPrDefault>
      <w:pPr>
        <w:spacing w:lineRule="auto" w:line="276"/>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a53dee"/>
    <w:pPr>
      <w:widowControl/>
      <w:bidi w:val="0"/>
      <w:spacing w:lineRule="auto" w:line="240" w:beforeAutospacing="1" w:afterAutospacing="1"/>
      <w:ind w:firstLine="2268"/>
      <w:jc w:val="both"/>
    </w:pPr>
    <w:rPr>
      <w:rFonts w:eastAsia="Times New Roman" w:cs="Times New Roman" w:ascii="Arial" w:hAnsi="Arial"/>
      <w:color w:val="auto"/>
      <w:sz w:val="24"/>
      <w:szCs w:val="20"/>
      <w:lang w:eastAsia="pt-BR" w:val="pt-BR"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link w:val="Cabealho"/>
    <w:uiPriority w:val="99"/>
    <w:qFormat/>
    <w:rsid w:val="00ec04c0"/>
    <w:rPr/>
  </w:style>
  <w:style w:type="character" w:styleId="RodapChar" w:customStyle="1">
    <w:name w:val="Rodapé Char"/>
    <w:basedOn w:val="DefaultParagraphFont"/>
    <w:link w:val="Rodap"/>
    <w:uiPriority w:val="99"/>
    <w:qFormat/>
    <w:rsid w:val="00ec04c0"/>
    <w:rPr/>
  </w:style>
  <w:style w:type="character" w:styleId="TextodebaloChar" w:customStyle="1">
    <w:name w:val="Texto de balão Char"/>
    <w:basedOn w:val="DefaultParagraphFont"/>
    <w:link w:val="Textodebalo"/>
    <w:uiPriority w:val="99"/>
    <w:semiHidden/>
    <w:qFormat/>
    <w:rsid w:val="00ec04c0"/>
    <w:rPr>
      <w:rFonts w:ascii="Tahoma" w:hAnsi="Tahoma" w:cs="Tahoma"/>
      <w:sz w:val="16"/>
      <w:szCs w:val="16"/>
    </w:rPr>
  </w:style>
  <w:style w:type="character" w:styleId="CitaoChar" w:customStyle="1">
    <w:name w:val="Citação Char"/>
    <w:basedOn w:val="DefaultParagraphFont"/>
    <w:link w:val="Citao"/>
    <w:uiPriority w:val="29"/>
    <w:qFormat/>
    <w:rsid w:val="00392e37"/>
    <w:rPr>
      <w:rFonts w:eastAsia="Times New Roman" w:cs="Times New Roman"/>
      <w:b/>
      <w:iCs/>
      <w:sz w:val="22"/>
      <w:szCs w:val="20"/>
      <w:lang w:eastAsia="pt-BR"/>
    </w:rPr>
  </w:style>
  <w:style w:type="character" w:styleId="TextodecomentrioChar" w:customStyle="1">
    <w:name w:val="Texto de comentário Char"/>
    <w:basedOn w:val="DefaultParagraphFont"/>
    <w:link w:val="Textodecomentrio"/>
    <w:semiHidden/>
    <w:qFormat/>
    <w:rsid w:val="00c9046a"/>
    <w:rPr>
      <w:rFonts w:eastAsia="Times New Roman" w:cs="Times New Roman"/>
      <w:sz w:val="20"/>
      <w:szCs w:val="20"/>
      <w:lang w:eastAsia="pt-BR"/>
    </w:rPr>
  </w:style>
  <w:style w:type="character" w:styleId="Annotationreference">
    <w:name w:val="annotation reference"/>
    <w:basedOn w:val="DefaultParagraphFont"/>
    <w:semiHidden/>
    <w:unhideWhenUsed/>
    <w:qFormat/>
    <w:rsid w:val="00c9046a"/>
    <w:rPr>
      <w:sz w:val="16"/>
      <w:szCs w:val="16"/>
    </w:rPr>
  </w:style>
  <w:style w:type="character" w:styleId="LinkdaInternet">
    <w:name w:val="Link da Internet"/>
    <w:basedOn w:val="DefaultParagraphFont"/>
    <w:uiPriority w:val="99"/>
    <w:semiHidden/>
    <w:unhideWhenUsed/>
    <w:rsid w:val="00c9046a"/>
    <w:rPr>
      <w:color w:val="0000FF"/>
      <w:u w:val="single"/>
    </w:rPr>
  </w:style>
  <w:style w:type="character" w:styleId="ListLabel1">
    <w:name w:val="ListLabel 1"/>
    <w:qFormat/>
    <w:rPr>
      <w:b/>
      <w:i w:val="false"/>
      <w:color w:val="00000A"/>
      <w:sz w:val="24"/>
    </w:rPr>
  </w:style>
  <w:style w:type="character" w:styleId="ListLabel2">
    <w:name w:val="ListLabel 2"/>
    <w:qFormat/>
    <w:rPr>
      <w:b/>
      <w:i w:val="false"/>
      <w:sz w:val="24"/>
    </w:rPr>
  </w:style>
  <w:style w:type="character" w:styleId="ListLabel3">
    <w:name w:val="ListLabel 3"/>
    <w:qFormat/>
    <w:rPr>
      <w:rFonts w:eastAsia="Calibri" w:cs="Arial"/>
    </w:rPr>
  </w:style>
  <w:style w:type="character" w:styleId="ListLabel4">
    <w:name w:val="ListLabel 4"/>
    <w:qFormat/>
    <w:rPr>
      <w:rFonts w:cs="Courier New"/>
    </w:rPr>
  </w:style>
  <w:style w:type="paragraph" w:styleId="Ttulo">
    <w:name w:val="Título"/>
    <w:basedOn w:val="Normal"/>
    <w:next w:val="Corpodetexto"/>
    <w:qFormat/>
    <w:pPr>
      <w:keepNext/>
      <w:spacing w:before="240" w:after="120"/>
    </w:pPr>
    <w:rPr>
      <w:rFonts w:ascii="Liberation Sans" w:hAnsi="Liberation Sans" w:eastAsia="Microsoft YaHei" w:cs="Mangal"/>
      <w:sz w:val="28"/>
      <w:szCs w:val="28"/>
    </w:rPr>
  </w:style>
  <w:style w:type="paragraph" w:styleId="Corpodetexto">
    <w:name w:val="Corpo de texto"/>
    <w:basedOn w:val="Normal"/>
    <w:pPr>
      <w:spacing w:lineRule="auto" w:line="288" w:before="0" w:after="140"/>
    </w:pPr>
    <w:rPr/>
  </w:style>
  <w:style w:type="paragraph" w:styleId="Lista">
    <w:name w:val="Lista"/>
    <w:basedOn w:val="Corpodetexto"/>
    <w:pPr/>
    <w:rPr>
      <w:rFonts w:cs="Mangal"/>
    </w:rPr>
  </w:style>
  <w:style w:type="paragraph" w:styleId="Legenda">
    <w:name w:val="Legenda"/>
    <w:basedOn w:val="Normal"/>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Cabealho">
    <w:name w:val="Cabeçalho"/>
    <w:basedOn w:val="Normal"/>
    <w:link w:val="CabealhoChar"/>
    <w:uiPriority w:val="99"/>
    <w:unhideWhenUsed/>
    <w:rsid w:val="00ec04c0"/>
    <w:pPr>
      <w:tabs>
        <w:tab w:val="center" w:pos="4252" w:leader="none"/>
        <w:tab w:val="right" w:pos="8504" w:leader="none"/>
      </w:tabs>
    </w:pPr>
    <w:rPr/>
  </w:style>
  <w:style w:type="paragraph" w:styleId="Rodap">
    <w:name w:val="Rodapé"/>
    <w:basedOn w:val="Normal"/>
    <w:link w:val="RodapChar"/>
    <w:uiPriority w:val="99"/>
    <w:unhideWhenUsed/>
    <w:rsid w:val="00ec04c0"/>
    <w:pPr>
      <w:tabs>
        <w:tab w:val="center" w:pos="4252" w:leader="none"/>
        <w:tab w:val="right" w:pos="8504" w:leader="none"/>
      </w:tabs>
    </w:pPr>
    <w:rPr/>
  </w:style>
  <w:style w:type="paragraph" w:styleId="BalloonText">
    <w:name w:val="Balloon Text"/>
    <w:basedOn w:val="Normal"/>
    <w:link w:val="TextodebaloChar"/>
    <w:uiPriority w:val="99"/>
    <w:semiHidden/>
    <w:unhideWhenUsed/>
    <w:qFormat/>
    <w:rsid w:val="00ec04c0"/>
    <w:pPr/>
    <w:rPr>
      <w:rFonts w:ascii="Tahoma" w:hAnsi="Tahoma" w:cs="Tahoma"/>
      <w:sz w:val="16"/>
      <w:szCs w:val="16"/>
    </w:rPr>
  </w:style>
  <w:style w:type="paragraph" w:styleId="ESCTITULOS" w:customStyle="1">
    <w:name w:val="ESC-TITULOS"/>
    <w:basedOn w:val="Normal"/>
    <w:qFormat/>
    <w:rsid w:val="00592edc"/>
    <w:pPr>
      <w:keepLines/>
      <w:widowControl w:val="false"/>
      <w:pBdr>
        <w:top w:val="single" w:sz="6" w:space="1" w:color="00000A"/>
        <w:bottom w:val="single" w:sz="6" w:space="1" w:color="00000A"/>
      </w:pBdr>
      <w:overflowPunct w:val="true"/>
      <w:textAlignment w:val="baseline"/>
    </w:pPr>
    <w:rPr>
      <w:b/>
    </w:rPr>
  </w:style>
  <w:style w:type="paragraph" w:styleId="ListParagraph">
    <w:name w:val="List Paragraph"/>
    <w:basedOn w:val="Normal"/>
    <w:uiPriority w:val="34"/>
    <w:qFormat/>
    <w:rsid w:val="00b66a79"/>
    <w:pPr>
      <w:spacing w:before="280" w:after="280"/>
      <w:ind w:left="720" w:firstLine="2268"/>
      <w:contextualSpacing/>
    </w:pPr>
    <w:rPr/>
  </w:style>
  <w:style w:type="paragraph" w:styleId="Quote">
    <w:name w:val="Quote"/>
    <w:basedOn w:val="Normal"/>
    <w:next w:val="Normal"/>
    <w:link w:val="CitaoChar"/>
    <w:uiPriority w:val="29"/>
    <w:qFormat/>
    <w:rsid w:val="00392e37"/>
    <w:pPr>
      <w:ind w:left="2268" w:hanging="0"/>
    </w:pPr>
    <w:rPr>
      <w:b/>
      <w:iCs/>
      <w:sz w:val="22"/>
    </w:rPr>
  </w:style>
  <w:style w:type="paragraph" w:styleId="Citaolegislao" w:customStyle="1">
    <w:name w:val="Citação legislação"/>
    <w:basedOn w:val="Quote"/>
    <w:qFormat/>
    <w:rsid w:val="00392e37"/>
    <w:pPr/>
    <w:rPr>
      <w:rFonts w:ascii="Times New Roman" w:hAnsi="Times New Roman"/>
      <w:b w:val="false"/>
      <w:i/>
    </w:rPr>
  </w:style>
  <w:style w:type="paragraph" w:styleId="Annotationtext">
    <w:name w:val="annotation text"/>
    <w:basedOn w:val="Normal"/>
    <w:link w:val="TextodecomentrioChar"/>
    <w:semiHidden/>
    <w:unhideWhenUsed/>
    <w:qFormat/>
    <w:rsid w:val="00c9046a"/>
    <w:pPr/>
    <w:rPr>
      <w:sz w:val="20"/>
    </w:rPr>
  </w:style>
  <w:style w:type="paragraph" w:styleId="Tpdata" w:customStyle="1">
    <w:name w:val="tpdata"/>
    <w:basedOn w:val="Normal"/>
    <w:qFormat/>
    <w:rsid w:val="00c9046a"/>
    <w:pPr>
      <w:ind w:hanging="0"/>
      <w:jc w:val="left"/>
    </w:pPr>
    <w:rPr>
      <w:rFonts w:ascii="Times New Roman" w:hAnsi="Times New Roman"/>
      <w:szCs w:val="24"/>
    </w:rPr>
  </w:style>
  <w:style w:type="paragraph" w:styleId="Standard" w:customStyle="1">
    <w:name w:val="Standard"/>
    <w:qFormat/>
    <w:rsid w:val="00296dc6"/>
    <w:pPr>
      <w:widowControl/>
      <w:suppressAutoHyphens w:val="true"/>
      <w:bidi w:val="0"/>
      <w:spacing w:lineRule="auto" w:line="276" w:before="0" w:after="200"/>
      <w:jc w:val="left"/>
    </w:pPr>
    <w:rPr>
      <w:rFonts w:ascii="Calibri" w:hAnsi="Calibri" w:eastAsia="Calibri" w:cs="Calibri"/>
      <w:color w:val="00000A"/>
      <w:sz w:val="22"/>
      <w:szCs w:val="22"/>
      <w:lang w:eastAsia="zh-CN" w:val="pt-BR" w:bidi="ar-SA"/>
    </w:rPr>
  </w:style>
  <w:style w:type="paragraph" w:styleId="Artigo" w:customStyle="1">
    <w:name w:val="artigo"/>
    <w:basedOn w:val="Normal"/>
    <w:qFormat/>
    <w:rsid w:val="004f43bb"/>
    <w:pPr>
      <w:ind w:hanging="0"/>
      <w:jc w:val="left"/>
    </w:pPr>
    <w:rPr>
      <w:rFonts w:ascii="Times New Roman" w:hAnsi="Times New Roman"/>
      <w:szCs w:val="24"/>
    </w:rPr>
  </w:style>
  <w:style w:type="numbering" w:styleId="NoList" w:default="1">
    <w:name w:val="No List"/>
    <w:uiPriority w:val="99"/>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lanalto.gov.br/ccivil_03/_ato2007-2010/2007/Decreto/D6135.htm" TargetMode="External"/><Relationship Id="rId3" Type="http://schemas.openxmlformats.org/officeDocument/2006/relationships/hyperlink" Target="http://www.planalto.gov.br/ccivil_03/_ato2007-2010/2007/Decreto/D6135.htm" TargetMode="Externa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wmf"/>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FE050F-F452-486A-AEA6-72C3C2017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Application>LibreOffice/5.0.5.2$Windows_X86_64 LibreOffice_project/55b006a02d247b5f7215fc6ea0fde844b30035b3</Application>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2017-08-04T17:17:00Z</dcterms:created>
  <dc:creator>Flávia Mesquita</dc:creator>
  <dc:language>pt-BR</dc:language>
  <cp:lastModifiedBy>Sind Fafeid</cp:lastModifiedBy>
  <cp:lastPrinted>2017-07-21T14:24:00Z</cp:lastPrinted>
  <dcterms:modified xsi:type="dcterms:W3CDTF">2017-08-04T17:17:00Z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