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emf" ContentType="image/x-e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jc w:val="center"/>
        <w:rPr>
          <w:color w:val="000000"/>
        </w:rPr>
      </w:pPr>
      <w:r>
        <w:rPr/>
        <w:drawing>
          <wp:inline distT="0" distB="0" distL="0" distR="0">
            <wp:extent cx="838200" cy="819150"/>
            <wp:effectExtent l="0" t="0" r="0" b="0"/>
            <wp:docPr id="1" name="Imagem 1" descr="f3128cd8-bccf-4ad2-b89a-018fba76c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3128cd8-bccf-4ad2-b89a-018fba76c053"/>
                    <pic:cNvPicPr>
                      <a:picLocks noChangeAspect="1" noChangeArrowheads="1"/>
                    </pic:cNvPicPr>
                  </pic:nvPicPr>
                  <pic:blipFill>
                    <a:blip r:embed="rId2"/>
                    <a:stretch>
                      <a:fillRect/>
                    </a:stretch>
                  </pic:blipFill>
                  <pic:spPr bwMode="auto">
                    <a:xfrm>
                      <a:off x="0" y="0"/>
                      <a:ext cx="838200" cy="819150"/>
                    </a:xfrm>
                    <a:prstGeom prst="rect">
                      <a:avLst/>
                    </a:prstGeom>
                  </pic:spPr>
                </pic:pic>
              </a:graphicData>
            </a:graphic>
          </wp:inline>
        </w:drawing>
      </w:r>
    </w:p>
    <w:p>
      <w:pPr>
        <w:pStyle w:val="Normal"/>
        <w:spacing w:lineRule="auto" w:line="240"/>
        <w:jc w:val="center"/>
        <w:rPr>
          <w:color w:val="000000"/>
        </w:rPr>
      </w:pPr>
      <w:r>
        <w:rPr>
          <w:b/>
          <w:color w:val="000000"/>
        </w:rPr>
        <w:t xml:space="preserve">MINISTÉRIO DA EDUCAÇÃO </w:t>
      </w:r>
    </w:p>
    <w:p>
      <w:pPr>
        <w:pStyle w:val="Normal"/>
        <w:spacing w:lineRule="auto" w:line="240"/>
        <w:jc w:val="center"/>
        <w:rPr>
          <w:color w:val="000000"/>
        </w:rPr>
      </w:pPr>
      <w:r>
        <w:rPr>
          <w:b/>
          <w:color w:val="000000"/>
        </w:rPr>
        <w:t>UNIVERSIDADE FEDERAL DOS VALES DO JEQUITINHONHA E MUCURI</w:t>
      </w:r>
    </w:p>
    <w:p>
      <w:pPr>
        <w:pStyle w:val="Normal"/>
        <w:spacing w:lineRule="auto" w:line="240"/>
        <w:jc w:val="center"/>
        <w:rPr>
          <w:color w:val="000000"/>
        </w:rPr>
      </w:pPr>
      <w:r>
        <w:rPr>
          <w:b/>
          <w:color w:val="000000"/>
        </w:rPr>
        <w:t>Conselho Universitário - Consu</w:t>
      </w:r>
    </w:p>
    <w:p>
      <w:pPr>
        <w:pStyle w:val="Normal1"/>
        <w:jc w:val="center"/>
        <w:rPr>
          <w:color w:val="000000"/>
        </w:rPr>
      </w:pPr>
      <w:r>
        <w:rPr>
          <w:color w:val="000000"/>
        </w:rPr>
      </w:r>
    </w:p>
    <w:p>
      <w:pPr>
        <w:pStyle w:val="Normal1"/>
        <w:jc w:val="center"/>
        <w:rPr/>
      </w:pPr>
      <w:r>
        <w:rPr>
          <w:rFonts w:ascii="Times New Roman" w:hAnsi="Times New Roman"/>
          <w:b/>
          <w:color w:val="000000"/>
          <w:sz w:val="27"/>
        </w:rPr>
        <w:t>RESOLUÇÃO Nº 1</w:t>
      </w:r>
      <w:r>
        <w:rPr>
          <w:rFonts w:ascii="Times New Roman" w:hAnsi="Times New Roman"/>
          <w:b/>
          <w:color w:val="000000"/>
          <w:sz w:val="27"/>
        </w:rPr>
        <w:t>2</w:t>
      </w:r>
      <w:r>
        <w:rPr>
          <w:rFonts w:ascii="Times New Roman" w:hAnsi="Times New Roman"/>
          <w:b/>
          <w:color w:val="000000"/>
          <w:sz w:val="27"/>
        </w:rPr>
        <w:t>, DE 18 DE AGOSTO DE 2017</w:t>
      </w:r>
    </w:p>
    <w:p>
      <w:pPr>
        <w:pStyle w:val="Normal1"/>
        <w:shd w:val="clear" w:color="auto" w:fill="FFFFFF"/>
        <w:ind w:left="4706" w:hanging="0"/>
        <w:jc w:val="both"/>
        <w:rPr>
          <w:rFonts w:ascii="Times New Roman" w:hAnsi="Times New Roman"/>
          <w:color w:val="000000"/>
          <w:sz w:val="22"/>
        </w:rPr>
      </w:pPr>
      <w:r>
        <w:rPr>
          <w:rFonts w:ascii="Times New Roman" w:hAnsi="Times New Roman"/>
          <w:color w:val="000000"/>
          <w:sz w:val="22"/>
        </w:rPr>
      </w:r>
    </w:p>
    <w:p>
      <w:pPr>
        <w:pStyle w:val="Normal1"/>
        <w:shd w:val="clear" w:color="auto" w:fill="FFFFFF"/>
        <w:ind w:left="4706" w:hanging="0"/>
        <w:jc w:val="both"/>
        <w:rPr/>
      </w:pPr>
      <w:r>
        <w:rPr>
          <w:rFonts w:ascii="Times New Roman" w:hAnsi="Times New Roman"/>
          <w:color w:val="000000"/>
          <w:sz w:val="22"/>
        </w:rPr>
        <w:t>Regulamenta a distribuição de vaga docente para o cargo de Professor Titular-Livre da Universidade Federal dos Vales do Jequitinhonha e Mucuri (UFVJM).</w:t>
      </w:r>
    </w:p>
    <w:p>
      <w:pPr>
        <w:pStyle w:val="Normal1"/>
        <w:shd w:val="clear" w:color="auto" w:fill="FFFFFF"/>
        <w:ind w:left="4706" w:hanging="0"/>
        <w:jc w:val="both"/>
        <w:rPr>
          <w:rFonts w:ascii="Times New Roman" w:hAnsi="Times New Roman"/>
          <w:color w:val="000000"/>
        </w:rPr>
      </w:pPr>
      <w:r>
        <w:rPr>
          <w:rFonts w:ascii="Times New Roman" w:hAnsi="Times New Roman"/>
          <w:color w:val="000000"/>
        </w:rPr>
      </w:r>
    </w:p>
    <w:p>
      <w:pPr>
        <w:pStyle w:val="Normal1"/>
        <w:jc w:val="both"/>
        <w:rPr/>
      </w:pPr>
      <w:r>
        <w:rPr>
          <w:rFonts w:ascii="Times New Roman" w:hAnsi="Times New Roman"/>
          <w:b w:val="false"/>
          <w:bCs w:val="false"/>
          <w:color w:val="000000"/>
        </w:rPr>
        <w:t>O</w:t>
      </w:r>
      <w:r>
        <w:rPr>
          <w:rFonts w:ascii="Times New Roman" w:hAnsi="Times New Roman"/>
          <w:b/>
          <w:color w:val="000000"/>
        </w:rPr>
        <w:t xml:space="preserve"> CONSELHO UNIVERSITÁRIO DA UNIVERSIDADE FEDERAL DOS VALES DO JEQUITINHONHA E DO MUCURI</w:t>
      </w:r>
      <w:r>
        <w:rPr>
          <w:rFonts w:ascii="Times New Roman" w:hAnsi="Times New Roman"/>
          <w:color w:val="000000"/>
        </w:rPr>
        <w:t xml:space="preserve">, no uso das atribuições legais e regimentais que lhe são conferidas, </w:t>
      </w:r>
      <w:r>
        <w:rPr>
          <w:rFonts w:ascii="Times New Roman" w:hAnsi="Times New Roman"/>
          <w:color w:val="000000"/>
        </w:rPr>
        <w:t>tendo em vista o que deliberou na sua 146ª sessão e</w:t>
      </w:r>
    </w:p>
    <w:p>
      <w:pPr>
        <w:pStyle w:val="Normal1"/>
        <w:jc w:val="both"/>
        <w:rPr/>
      </w:pPr>
      <w:r>
        <w:rPr>
          <w:rFonts w:ascii="Times New Roman" w:hAnsi="Times New Roman"/>
          <w:color w:val="000000"/>
        </w:rPr>
        <w:t>CONSIDERANDO que a Resolução 19/CONSU/2014 regulamentou especificamente a distribuição de uma vaga para o cargo de Professor Titular-Livre disponibilizada pela Portaria nº 159 de 21/05/2014, do Ministério do Planejamento;</w:t>
      </w:r>
    </w:p>
    <w:p>
      <w:pPr>
        <w:pStyle w:val="Normal1"/>
        <w:jc w:val="both"/>
        <w:rPr/>
      </w:pPr>
      <w:r>
        <w:rPr>
          <w:rFonts w:ascii="Times New Roman" w:hAnsi="Times New Roman"/>
          <w:color w:val="000000"/>
        </w:rPr>
        <w:t>CONSIDERANDO que a vaga disponibilizada pela Portaria nº 159 de 21/05/2014, do Ministério do Planejamento foi recolhida pelo mesmo ministério em virtude do seu não provimento pela UFVJM em conformidade com o Art. 2º da mesma portaria; e</w:t>
      </w:r>
    </w:p>
    <w:p>
      <w:pPr>
        <w:pStyle w:val="Normal1"/>
        <w:jc w:val="both"/>
        <w:rPr/>
      </w:pPr>
      <w:r>
        <w:rPr>
          <w:rFonts w:ascii="Times New Roman" w:hAnsi="Times New Roman"/>
          <w:color w:val="000000"/>
        </w:rPr>
        <w:t>CONSIDERANDO a necessidade de regulamentar os critérios de distribuição de vagas docentes para o cargo de Professor Titular-Livre independente da liberação de vagas pelos Ministérios.</w:t>
      </w:r>
    </w:p>
    <w:p>
      <w:pPr>
        <w:pStyle w:val="Normal1"/>
        <w:jc w:val="both"/>
        <w:rPr>
          <w:color w:val="000000"/>
        </w:rPr>
      </w:pPr>
      <w:r>
        <w:rPr>
          <w:rFonts w:ascii="Times New Roman" w:hAnsi="Times New Roman"/>
          <w:b/>
          <w:color w:val="000000"/>
        </w:rPr>
        <w:t>RESOLVE:</w:t>
      </w:r>
    </w:p>
    <w:p>
      <w:pPr>
        <w:pStyle w:val="Normal1"/>
        <w:jc w:val="both"/>
        <w:rPr>
          <w:b w:val="false"/>
          <w:b w:val="false"/>
        </w:rPr>
      </w:pPr>
      <w:r>
        <w:rPr>
          <w:rFonts w:ascii="Times New Roman" w:hAnsi="Times New Roman"/>
          <w:b/>
          <w:bCs/>
          <w:color w:val="000000"/>
        </w:rPr>
        <w:t xml:space="preserve">Art. 1º </w:t>
      </w:r>
      <w:r>
        <w:rPr>
          <w:rFonts w:ascii="Times New Roman" w:hAnsi="Times New Roman"/>
          <w:b w:val="false"/>
          <w:bCs w:val="false"/>
          <w:color w:val="000000"/>
        </w:rPr>
        <w:t>Regulamentar a distribuição de vagas docentes para o cargo de Professor Titular-Livre do Magistério Superior na UFVJM.</w:t>
      </w:r>
    </w:p>
    <w:p>
      <w:pPr>
        <w:pStyle w:val="Normal1"/>
        <w:jc w:val="both"/>
        <w:rPr>
          <w:b w:val="false"/>
          <w:b w:val="false"/>
          <w:bCs w:val="false"/>
        </w:rPr>
      </w:pPr>
      <w:r>
        <w:rPr>
          <w:rFonts w:ascii="Times New Roman" w:hAnsi="Times New Roman"/>
          <w:b/>
          <w:bCs/>
          <w:color w:val="000000"/>
        </w:rPr>
        <w:t xml:space="preserve">Art. 2º </w:t>
      </w:r>
      <w:r>
        <w:rPr>
          <w:rFonts w:ascii="Times New Roman" w:hAnsi="Times New Roman"/>
          <w:b w:val="false"/>
          <w:bCs w:val="false"/>
          <w:color w:val="000000"/>
        </w:rPr>
        <w:t>A vaga de Professor Titular-Livre será destinada a Concurso de Provas e Títulos aberto a toda comunidade interna e externa a UFVJM conforme a legislação em vigor e a Resolução do Consu que regulamenta os Concursos Públicos para o Magistério Superior da UFVJM.</w:t>
      </w:r>
    </w:p>
    <w:p>
      <w:pPr>
        <w:pStyle w:val="Normal1"/>
        <w:jc w:val="both"/>
        <w:rPr>
          <w:rFonts w:ascii="Times New Roman" w:hAnsi="Times New Roman"/>
          <w:color w:val="000000"/>
        </w:rPr>
      </w:pPr>
      <w:r>
        <w:rPr>
          <w:b w:val="false"/>
          <w:bCs w:val="false"/>
        </w:rPr>
      </w:r>
    </w:p>
    <w:p>
      <w:pPr>
        <w:pStyle w:val="Normal1"/>
        <w:jc w:val="center"/>
        <w:rPr>
          <w:b/>
          <w:b/>
          <w:bCs/>
        </w:rPr>
      </w:pPr>
      <w:r>
        <w:rPr>
          <w:rFonts w:ascii="Times New Roman" w:hAnsi="Times New Roman"/>
          <w:b/>
          <w:bCs/>
          <w:color w:val="000000"/>
        </w:rPr>
        <w:t>CAPÍTULO I</w:t>
      </w:r>
    </w:p>
    <w:p>
      <w:pPr>
        <w:pStyle w:val="Normal1"/>
        <w:jc w:val="center"/>
        <w:rPr>
          <w:b/>
          <w:b/>
          <w:bCs/>
        </w:rPr>
      </w:pPr>
      <w:r>
        <w:rPr>
          <w:rFonts w:ascii="Times New Roman" w:hAnsi="Times New Roman"/>
          <w:b/>
          <w:bCs/>
          <w:color w:val="000000"/>
        </w:rPr>
        <w:t>DA DEFINIÇÃO DA ÁREA DO CONHECIMENTO E DESTINAÇÃO DA VAGA DE PROFESSOR TITULAR-LIVRE</w:t>
      </w:r>
    </w:p>
    <w:p>
      <w:pPr>
        <w:pStyle w:val="Normal1"/>
        <w:jc w:val="both"/>
        <w:rPr>
          <w:rFonts w:ascii="Times New Roman" w:hAnsi="Times New Roman"/>
          <w:color w:val="000000"/>
        </w:rPr>
      </w:pPr>
      <w:r>
        <w:rPr>
          <w:b w:val="false"/>
          <w:bCs w:val="false"/>
        </w:rPr>
      </w:r>
    </w:p>
    <w:p>
      <w:pPr>
        <w:pStyle w:val="Normal1"/>
        <w:jc w:val="both"/>
        <w:rPr>
          <w:b w:val="false"/>
          <w:b w:val="false"/>
          <w:bCs w:val="false"/>
        </w:rPr>
      </w:pPr>
      <w:r>
        <w:rPr>
          <w:rFonts w:ascii="Times New Roman" w:hAnsi="Times New Roman"/>
          <w:b/>
          <w:bCs/>
          <w:color w:val="000000"/>
        </w:rPr>
        <w:t>Art. 3º</w:t>
      </w:r>
      <w:r>
        <w:rPr>
          <w:rFonts w:ascii="Times New Roman" w:hAnsi="Times New Roman"/>
          <w:b w:val="false"/>
          <w:bCs w:val="false"/>
          <w:color w:val="000000"/>
        </w:rPr>
        <w:t xml:space="preserve"> A destinação da vaga e área do conhecimento do Concurso de Provas e Títulos cuja vaga é de Professor Titular-Livre será definida a partir de Processo Seletivo para Destinação da vaga.</w:t>
      </w:r>
    </w:p>
    <w:p>
      <w:pPr>
        <w:pStyle w:val="Normal1"/>
        <w:jc w:val="both"/>
        <w:rPr>
          <w:b w:val="false"/>
          <w:b w:val="false"/>
          <w:bCs w:val="false"/>
        </w:rPr>
      </w:pPr>
      <w:r>
        <w:rPr>
          <w:rFonts w:ascii="Times New Roman" w:hAnsi="Times New Roman"/>
          <w:b/>
          <w:bCs/>
          <w:color w:val="000000"/>
        </w:rPr>
        <w:t>Art. 4º</w:t>
      </w:r>
      <w:r>
        <w:rPr>
          <w:rFonts w:ascii="Times New Roman" w:hAnsi="Times New Roman"/>
          <w:b w:val="false"/>
          <w:bCs w:val="false"/>
          <w:color w:val="000000"/>
        </w:rPr>
        <w:t xml:space="preserve"> A responsabilidade por promover o Processo Seletivo para Destinação da vaga para Professor Titular-Livre será de uma comissão designada para essa finalidade com o suporte da CPPD.</w:t>
      </w:r>
    </w:p>
    <w:p>
      <w:pPr>
        <w:pStyle w:val="Normal1"/>
        <w:jc w:val="both"/>
        <w:rPr>
          <w:b w:val="false"/>
          <w:b w:val="false"/>
          <w:bCs w:val="false"/>
        </w:rPr>
      </w:pPr>
      <w:r>
        <w:rPr>
          <w:rFonts w:ascii="Times New Roman" w:hAnsi="Times New Roman"/>
          <w:b/>
          <w:bCs/>
          <w:color w:val="000000"/>
        </w:rPr>
        <w:t>Art. 5º</w:t>
      </w:r>
      <w:r>
        <w:rPr>
          <w:rFonts w:ascii="Times New Roman" w:hAnsi="Times New Roman"/>
          <w:b w:val="false"/>
          <w:bCs w:val="false"/>
          <w:color w:val="000000"/>
        </w:rPr>
        <w:t xml:space="preserve"> Poderão concorrer ao Processo Seletivo os Programas de pós-graduação stricto sensu com sede na UFVJM.</w:t>
      </w:r>
    </w:p>
    <w:p>
      <w:pPr>
        <w:pStyle w:val="Normal1"/>
        <w:jc w:val="both"/>
        <w:rPr>
          <w:b w:val="false"/>
          <w:b w:val="false"/>
          <w:bCs w:val="false"/>
        </w:rPr>
      </w:pPr>
      <w:r>
        <w:rPr>
          <w:rFonts w:ascii="Times New Roman" w:hAnsi="Times New Roman"/>
          <w:b/>
          <w:bCs/>
          <w:color w:val="000000"/>
        </w:rPr>
        <w:t xml:space="preserve">Art. 6º </w:t>
      </w:r>
      <w:r>
        <w:rPr>
          <w:rFonts w:ascii="Times New Roman" w:hAnsi="Times New Roman"/>
          <w:b w:val="false"/>
          <w:bCs w:val="false"/>
          <w:color w:val="000000"/>
        </w:rPr>
        <w:t>A seleção da área a ser contemplada com vaga de Professor Titular-Livre do Magistério Superior será realizada por uma Comissão de Seleção designada pelo Reitor da UFVJM.</w:t>
      </w:r>
    </w:p>
    <w:p>
      <w:pPr>
        <w:pStyle w:val="Normal1"/>
        <w:jc w:val="both"/>
        <w:rPr>
          <w:b w:val="false"/>
          <w:b w:val="false"/>
          <w:bCs w:val="false"/>
        </w:rPr>
      </w:pPr>
      <w:r>
        <w:rPr>
          <w:rFonts w:ascii="Times New Roman" w:hAnsi="Times New Roman"/>
          <w:b/>
          <w:bCs/>
          <w:color w:val="000000"/>
        </w:rPr>
        <w:t xml:space="preserve">Art. 7º </w:t>
      </w:r>
      <w:r>
        <w:rPr>
          <w:rFonts w:ascii="Times New Roman" w:hAnsi="Times New Roman"/>
          <w:b w:val="false"/>
          <w:bCs w:val="false"/>
          <w:color w:val="000000"/>
        </w:rPr>
        <w:t>A Comissão de Seleção será constituída da seguinte forma:</w:t>
      </w:r>
    </w:p>
    <w:p>
      <w:pPr>
        <w:pStyle w:val="Normal1"/>
        <w:jc w:val="both"/>
        <w:rPr>
          <w:b w:val="false"/>
          <w:b w:val="false"/>
          <w:bCs w:val="false"/>
        </w:rPr>
      </w:pPr>
      <w:r>
        <w:rPr>
          <w:rFonts w:ascii="Times New Roman" w:hAnsi="Times New Roman"/>
          <w:b w:val="false"/>
          <w:bCs w:val="false"/>
          <w:color w:val="000000"/>
        </w:rPr>
        <w:t>I – Representante da CPPD portador de título de doutor que atuará como Presidente da Comissão de Seleção;</w:t>
      </w:r>
    </w:p>
    <w:p>
      <w:pPr>
        <w:pStyle w:val="Normal1"/>
        <w:jc w:val="both"/>
        <w:rPr>
          <w:b w:val="false"/>
          <w:b w:val="false"/>
          <w:bCs w:val="false"/>
        </w:rPr>
      </w:pPr>
      <w:r>
        <w:rPr>
          <w:rFonts w:ascii="Times New Roman" w:hAnsi="Times New Roman"/>
          <w:b w:val="false"/>
          <w:bCs w:val="false"/>
          <w:color w:val="000000"/>
        </w:rPr>
        <w:t>II – Dois docentes titulares com maior tempo de exercício no magistério superior na UFVJM de diferentes unidades acadêmicas;</w:t>
      </w:r>
    </w:p>
    <w:p>
      <w:pPr>
        <w:pStyle w:val="Normal1"/>
        <w:jc w:val="both"/>
        <w:rPr>
          <w:b w:val="false"/>
          <w:b w:val="false"/>
          <w:bCs w:val="false"/>
        </w:rPr>
      </w:pPr>
      <w:r>
        <w:rPr>
          <w:rFonts w:ascii="Times New Roman" w:hAnsi="Times New Roman"/>
          <w:b w:val="false"/>
          <w:bCs w:val="false"/>
          <w:color w:val="000000"/>
        </w:rPr>
        <w:t>III – Dois docentes Associados com maior tempo de exercício no magistério superior na UFVJM de diferentes unidades acadêmicas;</w:t>
      </w:r>
    </w:p>
    <w:p>
      <w:pPr>
        <w:pStyle w:val="Normal1"/>
        <w:jc w:val="both"/>
        <w:rPr>
          <w:b w:val="false"/>
          <w:b w:val="false"/>
          <w:bCs w:val="false"/>
        </w:rPr>
      </w:pPr>
      <w:r>
        <w:rPr>
          <w:rFonts w:ascii="Times New Roman" w:hAnsi="Times New Roman"/>
          <w:b/>
          <w:bCs/>
          <w:color w:val="000000"/>
        </w:rPr>
        <w:t>Parágrafo único</w:t>
      </w:r>
      <w:r>
        <w:rPr>
          <w:rFonts w:ascii="Times New Roman" w:hAnsi="Times New Roman"/>
          <w:b w:val="false"/>
          <w:bCs w:val="false"/>
          <w:color w:val="000000"/>
        </w:rPr>
        <w:t xml:space="preserve"> - Os docentes membros da Comissão de Seleção não poderão concorrer no Concurso destinado ao preenchimento de vaga de Professor Titular-Livre, devendo, no ato de designação, impugná-la declarando seu impedimento.</w:t>
      </w:r>
    </w:p>
    <w:p>
      <w:pPr>
        <w:pStyle w:val="Normal1"/>
        <w:jc w:val="both"/>
        <w:rPr>
          <w:b w:val="false"/>
          <w:b w:val="false"/>
          <w:bCs w:val="false"/>
        </w:rPr>
      </w:pPr>
      <w:r>
        <w:rPr>
          <w:rFonts w:ascii="Times New Roman" w:hAnsi="Times New Roman"/>
          <w:b/>
          <w:bCs/>
          <w:color w:val="000000"/>
        </w:rPr>
        <w:t>Art. 8º</w:t>
      </w:r>
      <w:r>
        <w:rPr>
          <w:rFonts w:ascii="Times New Roman" w:hAnsi="Times New Roman"/>
          <w:b w:val="false"/>
          <w:bCs w:val="false"/>
          <w:color w:val="000000"/>
        </w:rPr>
        <w:t xml:space="preserve"> Compete à Comissão de Seleção:</w:t>
      </w:r>
    </w:p>
    <w:p>
      <w:pPr>
        <w:pStyle w:val="Normal1"/>
        <w:jc w:val="both"/>
        <w:rPr>
          <w:b w:val="false"/>
          <w:b w:val="false"/>
          <w:bCs w:val="false"/>
        </w:rPr>
      </w:pPr>
      <w:r>
        <w:rPr>
          <w:rFonts w:ascii="Times New Roman" w:hAnsi="Times New Roman"/>
          <w:b w:val="false"/>
          <w:bCs w:val="false"/>
          <w:color w:val="000000"/>
        </w:rPr>
        <w:t>I – Elaborar o edital de Processo Seletivo de Destinação da vaga para Professor Titular-Livre;</w:t>
      </w:r>
    </w:p>
    <w:p>
      <w:pPr>
        <w:pStyle w:val="Normal1"/>
        <w:jc w:val="both"/>
        <w:rPr>
          <w:b w:val="false"/>
          <w:b w:val="false"/>
          <w:bCs w:val="false"/>
        </w:rPr>
      </w:pPr>
      <w:r>
        <w:rPr>
          <w:rFonts w:ascii="Times New Roman" w:hAnsi="Times New Roman"/>
          <w:b w:val="false"/>
          <w:bCs w:val="false"/>
          <w:color w:val="000000"/>
        </w:rPr>
        <w:t>II – Publicar todos os atos do Processo Seletivo de Destinação da vaga para Professor Titular-Livre no portal da UFVJM no link da CPPD;</w:t>
      </w:r>
    </w:p>
    <w:p>
      <w:pPr>
        <w:pStyle w:val="Normal1"/>
        <w:jc w:val="both"/>
        <w:rPr>
          <w:b w:val="false"/>
          <w:b w:val="false"/>
          <w:bCs w:val="false"/>
        </w:rPr>
      </w:pPr>
      <w:r>
        <w:rPr>
          <w:rFonts w:ascii="Times New Roman" w:hAnsi="Times New Roman"/>
          <w:b w:val="false"/>
          <w:bCs w:val="false"/>
          <w:color w:val="000000"/>
        </w:rPr>
        <w:t>III – Promover a avaliação em todas as etapas do Processo Seletivo, registrando em ata todos os atos do processo.</w:t>
      </w:r>
    </w:p>
    <w:p>
      <w:pPr>
        <w:pStyle w:val="Normal1"/>
        <w:jc w:val="both"/>
        <w:rPr>
          <w:b w:val="false"/>
          <w:b w:val="false"/>
          <w:bCs w:val="false"/>
        </w:rPr>
      </w:pPr>
      <w:r>
        <w:rPr>
          <w:rFonts w:ascii="Times New Roman" w:hAnsi="Times New Roman"/>
          <w:b w:val="false"/>
          <w:bCs w:val="false"/>
          <w:color w:val="000000"/>
        </w:rPr>
        <w:t>IV – Promover a análise e julgamento dos recursos interpostos, apresentando as motivações para as decisões tomadas.</w:t>
      </w:r>
    </w:p>
    <w:p>
      <w:pPr>
        <w:pStyle w:val="Normal1"/>
        <w:jc w:val="both"/>
        <w:rPr>
          <w:b w:val="false"/>
          <w:b w:val="false"/>
          <w:bCs w:val="false"/>
        </w:rPr>
      </w:pPr>
      <w:r>
        <w:rPr>
          <w:rFonts w:ascii="Times New Roman" w:hAnsi="Times New Roman"/>
          <w:b/>
          <w:bCs/>
          <w:color w:val="000000"/>
        </w:rPr>
        <w:t>Art. 09</w:t>
      </w:r>
      <w:r>
        <w:rPr>
          <w:rFonts w:ascii="Times New Roman" w:hAnsi="Times New Roman"/>
          <w:b w:val="false"/>
          <w:bCs w:val="false"/>
          <w:color w:val="000000"/>
        </w:rPr>
        <w:t xml:space="preserve"> O Processo Seletivo para a destinação de vaga de Professor Titular-Livre será realizado respeitando-se as seguintes etapas:</w:t>
      </w:r>
    </w:p>
    <w:p>
      <w:pPr>
        <w:pStyle w:val="Normal1"/>
        <w:jc w:val="both"/>
        <w:rPr>
          <w:b w:val="false"/>
          <w:b w:val="false"/>
          <w:bCs w:val="false"/>
        </w:rPr>
      </w:pPr>
      <w:r>
        <w:rPr>
          <w:rFonts w:ascii="Times New Roman" w:hAnsi="Times New Roman"/>
          <w:b w:val="false"/>
          <w:bCs w:val="false"/>
          <w:color w:val="000000"/>
        </w:rPr>
        <w:t>I – Fase I – Eliminatória – análise, no site oficial da CAPES, da nota atual atribuída aos Programas de Pós-Graduação stricto sensu recomendados e reconhecidos pela CAPES com sede na UFVJM, sendo classificados os programas por ordem decrescente de notas.</w:t>
      </w:r>
    </w:p>
    <w:p>
      <w:pPr>
        <w:pStyle w:val="Normal1"/>
        <w:jc w:val="both"/>
        <w:rPr>
          <w:b w:val="false"/>
          <w:b w:val="false"/>
          <w:bCs w:val="false"/>
        </w:rPr>
      </w:pPr>
      <w:r>
        <w:rPr>
          <w:rFonts w:ascii="Times New Roman" w:hAnsi="Times New Roman"/>
          <w:b w:val="false"/>
          <w:bCs w:val="false"/>
          <w:color w:val="000000"/>
        </w:rPr>
        <w:t>II – Fase II – Classificatória - Aplicação de critérios CAPES de avaliação do Programa de Pós-Graduação stricto sensu da UFVJM, excluindo a produção científica individual docente.</w:t>
      </w:r>
    </w:p>
    <w:p>
      <w:pPr>
        <w:pStyle w:val="Normal1"/>
        <w:jc w:val="both"/>
        <w:rPr>
          <w:b w:val="false"/>
          <w:b w:val="false"/>
          <w:bCs w:val="false"/>
        </w:rPr>
      </w:pPr>
      <w:r>
        <w:rPr>
          <w:rFonts w:ascii="Times New Roman" w:hAnsi="Times New Roman"/>
          <w:b w:val="false"/>
          <w:bCs w:val="false"/>
          <w:color w:val="000000"/>
        </w:rPr>
        <w:t>III – Fase III – O Colegiado do PPG contemplado deverá, em 10 dias, indicar qual será a linha de pesquisa que receberá a vaga do concurso, caso contrário perderá o direito à vaga.</w:t>
      </w:r>
    </w:p>
    <w:p>
      <w:pPr>
        <w:pStyle w:val="Normal1"/>
        <w:jc w:val="both"/>
        <w:rPr>
          <w:b w:val="false"/>
          <w:b w:val="false"/>
          <w:bCs w:val="false"/>
        </w:rPr>
      </w:pPr>
      <w:r>
        <w:rPr>
          <w:rFonts w:ascii="Times New Roman" w:hAnsi="Times New Roman"/>
          <w:b/>
          <w:bCs/>
          <w:color w:val="000000"/>
        </w:rPr>
        <w:t xml:space="preserve">Art. 10 </w:t>
      </w:r>
      <w:r>
        <w:rPr>
          <w:rFonts w:ascii="Times New Roman" w:hAnsi="Times New Roman"/>
          <w:b w:val="false"/>
          <w:bCs w:val="false"/>
          <w:color w:val="000000"/>
        </w:rPr>
        <w:t>Na Fase I do Processo Seletivo serão classificados os programas de Pós-Graduação stricto sensu da UFVJM que tiverem a maior nota na avaliação CAPES.</w:t>
      </w:r>
    </w:p>
    <w:p>
      <w:pPr>
        <w:pStyle w:val="Normal1"/>
        <w:jc w:val="both"/>
        <w:rPr>
          <w:b w:val="false"/>
          <w:b w:val="false"/>
          <w:bCs w:val="false"/>
        </w:rPr>
      </w:pPr>
      <w:r>
        <w:rPr>
          <w:rFonts w:ascii="Times New Roman" w:hAnsi="Times New Roman"/>
          <w:b/>
          <w:bCs/>
          <w:color w:val="000000"/>
        </w:rPr>
        <w:t>Art. 11</w:t>
      </w:r>
      <w:r>
        <w:rPr>
          <w:rFonts w:ascii="Times New Roman" w:hAnsi="Times New Roman"/>
          <w:b w:val="false"/>
          <w:bCs w:val="false"/>
          <w:color w:val="000000"/>
        </w:rPr>
        <w:t xml:space="preserve"> Na Fase II do Processo Seletivo serão classificados por ordem decrescente os programas de Pós-Graduação stricto sensu da UFVJM que tiverem a maior nota na aplicação dos critérios CAPES de avaliação de Programas de Pós-Graduação stricto sensu da UFVJM, excluindo a produção científica individualizada.</w:t>
      </w:r>
    </w:p>
    <w:p>
      <w:pPr>
        <w:pStyle w:val="Normal1"/>
        <w:jc w:val="both"/>
        <w:rPr>
          <w:b w:val="false"/>
          <w:b w:val="false"/>
          <w:bCs w:val="false"/>
        </w:rPr>
      </w:pPr>
      <w:r>
        <w:rPr>
          <w:rFonts w:ascii="Times New Roman" w:hAnsi="Times New Roman"/>
          <w:b w:val="false"/>
          <w:bCs w:val="false"/>
          <w:color w:val="000000"/>
        </w:rPr>
        <w:t>§ 1º Os critérios definidos pela CAPES para avaliação de Programas de Pós-graduação a serem utilizados nesta fase de avaliação serão os seguintes:</w:t>
      </w:r>
    </w:p>
    <w:p>
      <w:pPr>
        <w:pStyle w:val="Normal1"/>
        <w:jc w:val="both"/>
        <w:rPr>
          <w:b w:val="false"/>
          <w:b w:val="false"/>
          <w:bCs w:val="false"/>
        </w:rPr>
      </w:pPr>
      <w:r>
        <w:rPr>
          <w:rFonts w:ascii="Times New Roman" w:hAnsi="Times New Roman"/>
          <w:b w:val="false"/>
          <w:bCs w:val="false"/>
          <w:color w:val="000000"/>
        </w:rPr>
        <w:t>I – Percentual de Docentes Permanentes (DP) em relação ao número total de docentes do Programa (Peso 5%)</w:t>
      </w:r>
    </w:p>
    <w:p>
      <w:pPr>
        <w:pStyle w:val="Normal1"/>
        <w:jc w:val="both"/>
        <w:rPr>
          <w:b w:val="false"/>
          <w:b w:val="false"/>
          <w:bCs w:val="false"/>
        </w:rPr>
      </w:pPr>
      <w:r>
        <w:rPr>
          <w:rFonts w:ascii="Times New Roman" w:hAnsi="Times New Roman"/>
          <w:b w:val="false"/>
          <w:bCs w:val="false"/>
          <w:color w:val="000000"/>
        </w:rPr>
        <w:t>a) Igual ou acima de 70% de docentes permanentes no programa  – 100 pontos</w:t>
      </w:r>
    </w:p>
    <w:p>
      <w:pPr>
        <w:pStyle w:val="Normal1"/>
        <w:jc w:val="both"/>
        <w:rPr>
          <w:b w:val="false"/>
          <w:b w:val="false"/>
          <w:bCs w:val="false"/>
        </w:rPr>
      </w:pPr>
      <w:r>
        <w:rPr>
          <w:rFonts w:ascii="Times New Roman" w:hAnsi="Times New Roman"/>
          <w:b w:val="false"/>
          <w:bCs w:val="false"/>
          <w:color w:val="000000"/>
        </w:rPr>
        <w:t>b) Entre 60 e 69,9% de docentes permanentes no programa  – 80 pontos</w:t>
      </w:r>
    </w:p>
    <w:p>
      <w:pPr>
        <w:pStyle w:val="Normal1"/>
        <w:jc w:val="both"/>
        <w:rPr>
          <w:b w:val="false"/>
          <w:b w:val="false"/>
          <w:bCs w:val="false"/>
        </w:rPr>
      </w:pPr>
      <w:r>
        <w:rPr>
          <w:rFonts w:ascii="Times New Roman" w:hAnsi="Times New Roman"/>
          <w:b w:val="false"/>
          <w:bCs w:val="false"/>
          <w:color w:val="000000"/>
        </w:rPr>
        <w:t>c) Entre 50 e 59,9% de docentes permanentes no programa  – 60 pontos</w:t>
      </w:r>
    </w:p>
    <w:p>
      <w:pPr>
        <w:pStyle w:val="Normal1"/>
        <w:jc w:val="both"/>
        <w:rPr>
          <w:b w:val="false"/>
          <w:b w:val="false"/>
          <w:bCs w:val="false"/>
        </w:rPr>
      </w:pPr>
      <w:r>
        <w:rPr>
          <w:rFonts w:ascii="Times New Roman" w:hAnsi="Times New Roman"/>
          <w:b w:val="false"/>
          <w:bCs w:val="false"/>
          <w:color w:val="000000"/>
        </w:rPr>
        <w:t>d) Entre 40 e 49,9% de docentes permanentes no programa  – 40 pontos</w:t>
      </w:r>
    </w:p>
    <w:p>
      <w:pPr>
        <w:pStyle w:val="Normal1"/>
        <w:jc w:val="both"/>
        <w:rPr>
          <w:b w:val="false"/>
          <w:b w:val="false"/>
          <w:bCs w:val="false"/>
        </w:rPr>
      </w:pPr>
      <w:r>
        <w:rPr>
          <w:rFonts w:ascii="Times New Roman" w:hAnsi="Times New Roman"/>
          <w:b w:val="false"/>
          <w:bCs w:val="false"/>
          <w:color w:val="000000"/>
        </w:rPr>
        <w:t>e) Menos de 40% de docentes permanentes no programa  – 0 (zero) pontos</w:t>
      </w:r>
    </w:p>
    <w:p>
      <w:pPr>
        <w:pStyle w:val="Normal1"/>
        <w:jc w:val="both"/>
        <w:rPr>
          <w:b w:val="false"/>
          <w:b w:val="false"/>
          <w:bCs w:val="false"/>
        </w:rPr>
      </w:pPr>
      <w:r>
        <w:rPr>
          <w:rFonts w:ascii="Times New Roman" w:hAnsi="Times New Roman"/>
          <w:b w:val="false"/>
          <w:bCs w:val="false"/>
          <w:color w:val="000000"/>
        </w:rPr>
        <w:t>II – Vínculo dos docentes permanentes com a UFVJM (Peso 5%)</w:t>
      </w:r>
    </w:p>
    <w:p>
      <w:pPr>
        <w:pStyle w:val="Normal1"/>
        <w:jc w:val="both"/>
        <w:rPr>
          <w:b w:val="false"/>
          <w:b w:val="false"/>
          <w:bCs w:val="false"/>
        </w:rPr>
      </w:pPr>
      <w:r>
        <w:rPr>
          <w:rFonts w:ascii="Times New Roman" w:hAnsi="Times New Roman"/>
          <w:b w:val="false"/>
          <w:bCs w:val="false"/>
          <w:color w:val="000000"/>
        </w:rPr>
        <w:t>a) Igual ou acima de 80% dos docentes permanentes com vínculo em tempo integral com a UFVJM – 100 pontos</w:t>
      </w:r>
    </w:p>
    <w:p>
      <w:pPr>
        <w:pStyle w:val="Normal1"/>
        <w:jc w:val="both"/>
        <w:rPr>
          <w:b w:val="false"/>
          <w:b w:val="false"/>
          <w:bCs w:val="false"/>
        </w:rPr>
      </w:pPr>
      <w:r>
        <w:rPr>
          <w:rFonts w:ascii="Times New Roman" w:hAnsi="Times New Roman"/>
          <w:b w:val="false"/>
          <w:bCs w:val="false"/>
          <w:color w:val="000000"/>
        </w:rPr>
        <w:t>b) Menos de 80% dos docentes com vínculo em tempo integral com a UFVJM – 50 pontos</w:t>
      </w:r>
    </w:p>
    <w:p>
      <w:pPr>
        <w:pStyle w:val="Normal1"/>
        <w:jc w:val="both"/>
        <w:rPr>
          <w:b w:val="false"/>
          <w:b w:val="false"/>
          <w:bCs w:val="false"/>
        </w:rPr>
      </w:pPr>
      <w:r>
        <w:rPr>
          <w:rFonts w:ascii="Times New Roman" w:hAnsi="Times New Roman"/>
          <w:b w:val="false"/>
          <w:bCs w:val="false"/>
          <w:color w:val="000000"/>
        </w:rPr>
        <w:t>III – Diversificação na origem de formação dos docentes permanentes do programa (considerar somente o doutorado dos docentes) (Peso 5%)</w:t>
      </w:r>
    </w:p>
    <w:p>
      <w:pPr>
        <w:pStyle w:val="Normal1"/>
        <w:jc w:val="both"/>
        <w:rPr>
          <w:b w:val="false"/>
          <w:b w:val="false"/>
          <w:bCs w:val="false"/>
        </w:rPr>
      </w:pPr>
      <w:r>
        <w:rPr>
          <w:rFonts w:ascii="Times New Roman" w:hAnsi="Times New Roman"/>
          <w:b w:val="false"/>
          <w:bCs w:val="false"/>
          <w:color w:val="000000"/>
        </w:rPr>
        <w:t>a) Igual ou acima de 50% dos docentes permanentes oriundos de instituições diferentes – 100 pontos</w:t>
      </w:r>
    </w:p>
    <w:p>
      <w:pPr>
        <w:pStyle w:val="Normal1"/>
        <w:jc w:val="both"/>
        <w:rPr>
          <w:b w:val="false"/>
          <w:b w:val="false"/>
          <w:bCs w:val="false"/>
        </w:rPr>
      </w:pPr>
      <w:r>
        <w:rPr>
          <w:rFonts w:ascii="Times New Roman" w:hAnsi="Times New Roman"/>
          <w:b w:val="false"/>
          <w:bCs w:val="false"/>
          <w:color w:val="000000"/>
        </w:rPr>
        <w:t>b) Menos de 50% dos docentes permanentes oriundos de instituições diferentes – 50 pontos</w:t>
      </w:r>
    </w:p>
    <w:p>
      <w:pPr>
        <w:pStyle w:val="Normal1"/>
        <w:jc w:val="both"/>
        <w:rPr>
          <w:b w:val="false"/>
          <w:b w:val="false"/>
          <w:bCs w:val="false"/>
        </w:rPr>
      </w:pPr>
      <w:r>
        <w:rPr>
          <w:rFonts w:ascii="Times New Roman" w:hAnsi="Times New Roman"/>
          <w:b w:val="false"/>
          <w:bCs w:val="false"/>
          <w:color w:val="000000"/>
        </w:rPr>
        <w:t>IV – Docentes colaboradores orientam discentes no programa (Peso 5%)</w:t>
      </w:r>
    </w:p>
    <w:p>
      <w:pPr>
        <w:pStyle w:val="Normal1"/>
        <w:jc w:val="both"/>
        <w:rPr>
          <w:b w:val="false"/>
          <w:b w:val="false"/>
          <w:bCs w:val="false"/>
        </w:rPr>
      </w:pPr>
      <w:r>
        <w:rPr>
          <w:rFonts w:ascii="Times New Roman" w:hAnsi="Times New Roman"/>
          <w:b w:val="false"/>
          <w:bCs w:val="false"/>
          <w:color w:val="000000"/>
        </w:rPr>
        <w:t>a) Docentes colaboradores não orientam discentes no programa – 100 pontos</w:t>
      </w:r>
    </w:p>
    <w:p>
      <w:pPr>
        <w:pStyle w:val="Normal1"/>
        <w:jc w:val="both"/>
        <w:rPr>
          <w:b w:val="false"/>
          <w:b w:val="false"/>
          <w:bCs w:val="false"/>
        </w:rPr>
      </w:pPr>
      <w:r>
        <w:rPr>
          <w:rFonts w:ascii="Times New Roman" w:hAnsi="Times New Roman"/>
          <w:b w:val="false"/>
          <w:bCs w:val="false"/>
          <w:color w:val="000000"/>
        </w:rPr>
        <w:t>b) O programa permite que docentes colaboradores orientem discentes – 50 pontos</w:t>
      </w:r>
    </w:p>
    <w:p>
      <w:pPr>
        <w:pStyle w:val="Normal1"/>
        <w:jc w:val="both"/>
        <w:rPr>
          <w:b w:val="false"/>
          <w:b w:val="false"/>
          <w:bCs w:val="false"/>
        </w:rPr>
      </w:pPr>
      <w:r>
        <w:rPr>
          <w:rFonts w:ascii="Times New Roman" w:hAnsi="Times New Roman"/>
          <w:b w:val="false"/>
          <w:bCs w:val="false"/>
          <w:color w:val="000000"/>
        </w:rPr>
        <w:t>V – Alteração no status de docentes permanentes nos últimos quatro anos (Peso 5%)</w:t>
      </w:r>
    </w:p>
    <w:p>
      <w:pPr>
        <w:pStyle w:val="Normal1"/>
        <w:jc w:val="both"/>
        <w:rPr>
          <w:b w:val="false"/>
          <w:b w:val="false"/>
          <w:bCs w:val="false"/>
        </w:rPr>
      </w:pPr>
      <w:r>
        <w:rPr>
          <w:rFonts w:ascii="Times New Roman" w:hAnsi="Times New Roman"/>
          <w:b w:val="false"/>
          <w:bCs w:val="false"/>
          <w:color w:val="000000"/>
        </w:rPr>
        <w:t>a) nos últimos quatro anos não houve a alteração de nenhum docente permanente para colaborador – 100 pontos</w:t>
      </w:r>
    </w:p>
    <w:p>
      <w:pPr>
        <w:pStyle w:val="Normal1"/>
        <w:jc w:val="both"/>
        <w:rPr>
          <w:b w:val="false"/>
          <w:b w:val="false"/>
          <w:bCs w:val="false"/>
        </w:rPr>
      </w:pPr>
      <w:r>
        <w:rPr>
          <w:rFonts w:ascii="Times New Roman" w:hAnsi="Times New Roman"/>
          <w:b w:val="false"/>
          <w:bCs w:val="false"/>
          <w:color w:val="000000"/>
        </w:rPr>
        <w:t>b) nos últimos quatro anos, pelo menos um docente passou de permanente para colaborador – 50 pontos</w:t>
      </w:r>
    </w:p>
    <w:p>
      <w:pPr>
        <w:pStyle w:val="Normal1"/>
        <w:jc w:val="both"/>
        <w:rPr>
          <w:b w:val="false"/>
          <w:b w:val="false"/>
          <w:bCs w:val="false"/>
        </w:rPr>
      </w:pPr>
      <w:r>
        <w:rPr>
          <w:rFonts w:ascii="Times New Roman" w:hAnsi="Times New Roman"/>
          <w:b w:val="false"/>
          <w:bCs w:val="false"/>
          <w:color w:val="000000"/>
        </w:rPr>
        <w:t>VI – Captação de aportes financeiros para pesquisa entre os docentes permanentes do programa (considerar os últimos quatro anos) (Peso 10%)</w:t>
      </w:r>
    </w:p>
    <w:p>
      <w:pPr>
        <w:pStyle w:val="Normal1"/>
        <w:jc w:val="both"/>
        <w:rPr>
          <w:b w:val="false"/>
          <w:b w:val="false"/>
          <w:bCs w:val="false"/>
        </w:rPr>
      </w:pPr>
      <w:r>
        <w:rPr>
          <w:rFonts w:ascii="Times New Roman" w:hAnsi="Times New Roman"/>
          <w:b w:val="false"/>
          <w:bCs w:val="false"/>
          <w:color w:val="000000"/>
        </w:rPr>
        <w:t>a) Todos os docentes permanentes do programa possuem pelo menos um projeto de pesquisa ativo por ano financiado por empresa pública ou privada ou por agência de fomento pública ou privada – 100 pontos</w:t>
      </w:r>
    </w:p>
    <w:p>
      <w:pPr>
        <w:pStyle w:val="Normal1"/>
        <w:jc w:val="both"/>
        <w:rPr>
          <w:b w:val="false"/>
          <w:b w:val="false"/>
          <w:bCs w:val="false"/>
        </w:rPr>
      </w:pPr>
      <w:r>
        <w:rPr>
          <w:rFonts w:ascii="Times New Roman" w:hAnsi="Times New Roman"/>
          <w:b w:val="false"/>
          <w:bCs w:val="false"/>
          <w:color w:val="000000"/>
        </w:rPr>
        <w:t>b) Entre 80 e 99,9% dos docentes permanentes do programa possuem pelo menos um projeto de pesquisa ativo por ano financiado por empresa pública ou privada ou por agência de fomento pública ou privada – 90 pontos</w:t>
      </w:r>
    </w:p>
    <w:p>
      <w:pPr>
        <w:pStyle w:val="Normal1"/>
        <w:jc w:val="both"/>
        <w:rPr>
          <w:b w:val="false"/>
          <w:b w:val="false"/>
          <w:bCs w:val="false"/>
        </w:rPr>
      </w:pPr>
      <w:r>
        <w:rPr>
          <w:rFonts w:ascii="Times New Roman" w:hAnsi="Times New Roman"/>
          <w:b w:val="false"/>
          <w:bCs w:val="false"/>
          <w:color w:val="000000"/>
        </w:rPr>
        <w:t>c) Entre 60 e 79,9% dos docentes permanentes do programa possuem pelo menos um projeto de pesquisa ativo por ano financiado por empresa pública ou privada ou por agência de fomento pública ou privada – 70 pontos</w:t>
      </w:r>
    </w:p>
    <w:p>
      <w:pPr>
        <w:pStyle w:val="Normal1"/>
        <w:jc w:val="both"/>
        <w:rPr>
          <w:b w:val="false"/>
          <w:b w:val="false"/>
          <w:bCs w:val="false"/>
        </w:rPr>
      </w:pPr>
      <w:r>
        <w:rPr>
          <w:rFonts w:ascii="Times New Roman" w:hAnsi="Times New Roman"/>
          <w:b w:val="false"/>
          <w:bCs w:val="false"/>
          <w:color w:val="000000"/>
        </w:rPr>
        <w:t>d) Entre 40 e 59,9% dos docentes permanentes do programa possuem pelo menos um projeto de pesquisa ativo por ano financiado por empresa pública ou privada ou por agência de fomento pública ou privada – 50 pontos</w:t>
      </w:r>
    </w:p>
    <w:p>
      <w:pPr>
        <w:pStyle w:val="Normal1"/>
        <w:jc w:val="both"/>
        <w:rPr>
          <w:b w:val="false"/>
          <w:b w:val="false"/>
          <w:bCs w:val="false"/>
        </w:rPr>
      </w:pPr>
      <w:r>
        <w:rPr>
          <w:rFonts w:ascii="Times New Roman" w:hAnsi="Times New Roman"/>
          <w:b w:val="false"/>
          <w:bCs w:val="false"/>
          <w:color w:val="000000"/>
        </w:rPr>
        <w:t>e) Entre 0 e 39,9% dos docentes permanentes do programa possuem pelo menos um projeto de pesquisa ativo por ano financiado por empresa pública ou privada ou por agência de fomento pública ou privada – 0 (zero) pontos</w:t>
      </w:r>
    </w:p>
    <w:p>
      <w:pPr>
        <w:pStyle w:val="Normal1"/>
        <w:jc w:val="both"/>
        <w:rPr>
          <w:b w:val="false"/>
          <w:b w:val="false"/>
          <w:bCs w:val="false"/>
        </w:rPr>
      </w:pPr>
      <w:r>
        <w:rPr>
          <w:rFonts w:ascii="Times New Roman" w:hAnsi="Times New Roman"/>
          <w:b w:val="false"/>
          <w:bCs w:val="false"/>
          <w:color w:val="000000"/>
        </w:rPr>
        <w:t>VII – Distribuição das atividades de docência entre os docentes permanentes do programa (considerar os últimos quatro anos) (Peso 5%)</w:t>
      </w:r>
    </w:p>
    <w:p>
      <w:pPr>
        <w:pStyle w:val="Normal1"/>
        <w:jc w:val="both"/>
        <w:rPr>
          <w:b w:val="false"/>
          <w:b w:val="false"/>
          <w:bCs w:val="false"/>
        </w:rPr>
      </w:pPr>
      <w:r>
        <w:rPr>
          <w:rFonts w:ascii="Times New Roman" w:hAnsi="Times New Roman"/>
          <w:b w:val="false"/>
          <w:bCs w:val="false"/>
          <w:color w:val="000000"/>
        </w:rPr>
        <w:t>a) Todos os docentes permanentes do programa ministraram pelo menos uma disciplina na pós-graduação e pelo menos uma disciplina na graduação por ano – 100 pontos</w:t>
      </w:r>
    </w:p>
    <w:p>
      <w:pPr>
        <w:pStyle w:val="Normal1"/>
        <w:jc w:val="both"/>
        <w:rPr>
          <w:b w:val="false"/>
          <w:b w:val="false"/>
          <w:bCs w:val="false"/>
        </w:rPr>
      </w:pPr>
      <w:r>
        <w:rPr>
          <w:rFonts w:ascii="Times New Roman" w:hAnsi="Times New Roman"/>
          <w:b w:val="false"/>
          <w:bCs w:val="false"/>
          <w:color w:val="000000"/>
        </w:rPr>
        <w:t>b) Entre 80 e 99,9% dos docentes permanentes do programa ministraram pelo menos uma disciplina na pós-graduação e pelo menos uma disciplina na graduação por ano – 90 pontos</w:t>
      </w:r>
    </w:p>
    <w:p>
      <w:pPr>
        <w:pStyle w:val="Normal1"/>
        <w:jc w:val="both"/>
        <w:rPr>
          <w:b w:val="false"/>
          <w:b w:val="false"/>
          <w:bCs w:val="false"/>
        </w:rPr>
      </w:pPr>
      <w:r>
        <w:rPr>
          <w:rFonts w:ascii="Times New Roman" w:hAnsi="Times New Roman"/>
          <w:b w:val="false"/>
          <w:bCs w:val="false"/>
          <w:color w:val="000000"/>
        </w:rPr>
        <w:t>c) Entre 60 e 79,9% dos docentes permanentes do programa ministraram pelo menos uma disciplina na pós-graduação e pelo menos uma disciplina na graduação por ano – 70 pontos</w:t>
      </w:r>
    </w:p>
    <w:p>
      <w:pPr>
        <w:pStyle w:val="Normal1"/>
        <w:jc w:val="both"/>
        <w:rPr>
          <w:b w:val="false"/>
          <w:b w:val="false"/>
          <w:bCs w:val="false"/>
        </w:rPr>
      </w:pPr>
      <w:r>
        <w:rPr>
          <w:rFonts w:ascii="Times New Roman" w:hAnsi="Times New Roman"/>
          <w:b w:val="false"/>
          <w:bCs w:val="false"/>
          <w:color w:val="000000"/>
        </w:rPr>
        <w:t>d) Entre 40 e 59,9% dos docentes permanentes do programa ministraram pelo menos uma disciplina na pós-graduação e pelo menos uma disciplina na graduação por ano – 50 pontos</w:t>
      </w:r>
    </w:p>
    <w:p>
      <w:pPr>
        <w:pStyle w:val="Normal1"/>
        <w:jc w:val="both"/>
        <w:rPr>
          <w:b w:val="false"/>
          <w:b w:val="false"/>
          <w:bCs w:val="false"/>
        </w:rPr>
      </w:pPr>
      <w:r>
        <w:rPr>
          <w:rFonts w:ascii="Times New Roman" w:hAnsi="Times New Roman"/>
          <w:b w:val="false"/>
          <w:bCs w:val="false"/>
          <w:color w:val="000000"/>
        </w:rPr>
        <w:t>e) Entre 0 e 39,9% dos docentes permanentes do programa ministraram pelo menos uma disciplina na pós-graduação e pelo menos uma disciplina na graduação por ano – 0 (zero) pontos</w:t>
      </w:r>
    </w:p>
    <w:p>
      <w:pPr>
        <w:pStyle w:val="Normal1"/>
        <w:jc w:val="both"/>
        <w:rPr>
          <w:b w:val="false"/>
          <w:b w:val="false"/>
          <w:bCs w:val="false"/>
        </w:rPr>
      </w:pPr>
      <w:r>
        <w:rPr>
          <w:rFonts w:ascii="Times New Roman" w:hAnsi="Times New Roman"/>
          <w:b w:val="false"/>
          <w:bCs w:val="false"/>
          <w:color w:val="000000"/>
        </w:rPr>
        <w:t>VIII – Distribuição das atividades de orientação entre os docentes permanentes do programa (considerar os últimos quatro anos) (Peso 5%)</w:t>
      </w:r>
    </w:p>
    <w:p>
      <w:pPr>
        <w:pStyle w:val="Normal1"/>
        <w:jc w:val="both"/>
        <w:rPr>
          <w:b w:val="false"/>
          <w:b w:val="false"/>
          <w:bCs w:val="false"/>
        </w:rPr>
      </w:pPr>
      <w:r>
        <w:rPr>
          <w:rFonts w:ascii="Times New Roman" w:hAnsi="Times New Roman"/>
          <w:b w:val="false"/>
          <w:bCs w:val="false"/>
          <w:color w:val="000000"/>
        </w:rPr>
        <w:t>a) Todos os docentes permanentes do programa têm uma média de orientado por ano igual ou superior a quatro discentes – 100 pontos</w:t>
      </w:r>
    </w:p>
    <w:p>
      <w:pPr>
        <w:pStyle w:val="Normal1"/>
        <w:jc w:val="both"/>
        <w:rPr>
          <w:b w:val="false"/>
          <w:b w:val="false"/>
          <w:bCs w:val="false"/>
        </w:rPr>
      </w:pPr>
      <w:r>
        <w:rPr>
          <w:rFonts w:ascii="Times New Roman" w:hAnsi="Times New Roman"/>
          <w:b w:val="false"/>
          <w:bCs w:val="false"/>
          <w:color w:val="000000"/>
        </w:rPr>
        <w:t>b) Entre 80 e 99,9% dos docentes permanentes do programa têm uma média de orientado por ano igual a três discentes – 80 pontos</w:t>
      </w:r>
    </w:p>
    <w:p>
      <w:pPr>
        <w:pStyle w:val="Normal1"/>
        <w:jc w:val="both"/>
        <w:rPr>
          <w:b w:val="false"/>
          <w:b w:val="false"/>
          <w:bCs w:val="false"/>
        </w:rPr>
      </w:pPr>
      <w:r>
        <w:rPr>
          <w:rFonts w:ascii="Times New Roman" w:hAnsi="Times New Roman"/>
          <w:b w:val="false"/>
          <w:bCs w:val="false"/>
          <w:color w:val="000000"/>
        </w:rPr>
        <w:t>c) Entre 60 e 79,9% dos docentes permanentes do programa têm uma média de orientado por ano igual a dois discentes – 60 pontos</w:t>
      </w:r>
    </w:p>
    <w:p>
      <w:pPr>
        <w:pStyle w:val="Normal1"/>
        <w:jc w:val="both"/>
        <w:rPr>
          <w:b w:val="false"/>
          <w:b w:val="false"/>
          <w:bCs w:val="false"/>
        </w:rPr>
      </w:pPr>
      <w:r>
        <w:rPr>
          <w:rFonts w:ascii="Times New Roman" w:hAnsi="Times New Roman"/>
          <w:b w:val="false"/>
          <w:bCs w:val="false"/>
          <w:color w:val="000000"/>
        </w:rPr>
        <w:t>d) Entre 40 e 59,9% dos docentes permanentes do programa têm uma média de orientado por ano igual a um discente – 40 pontos</w:t>
      </w:r>
    </w:p>
    <w:p>
      <w:pPr>
        <w:pStyle w:val="Normal1"/>
        <w:jc w:val="both"/>
        <w:rPr>
          <w:b w:val="false"/>
          <w:b w:val="false"/>
          <w:bCs w:val="false"/>
        </w:rPr>
      </w:pPr>
      <w:r>
        <w:rPr>
          <w:rFonts w:ascii="Times New Roman" w:hAnsi="Times New Roman"/>
          <w:b w:val="false"/>
          <w:bCs w:val="false"/>
          <w:color w:val="000000"/>
        </w:rPr>
        <w:t>e) Entre 0 e 39,9% dos docentes permanentes do programa têm uma média de orientado por ano menor do que um discente – 0 (zero) pontos</w:t>
      </w:r>
    </w:p>
    <w:p>
      <w:pPr>
        <w:pStyle w:val="Normal1"/>
        <w:jc w:val="both"/>
        <w:rPr>
          <w:b w:val="false"/>
          <w:b w:val="false"/>
          <w:bCs w:val="false"/>
        </w:rPr>
      </w:pPr>
      <w:r>
        <w:rPr>
          <w:rFonts w:ascii="Times New Roman" w:hAnsi="Times New Roman"/>
          <w:b w:val="false"/>
          <w:bCs w:val="false"/>
          <w:color w:val="000000"/>
        </w:rPr>
        <w:t>IX – Experiência do corpo docente do programa (considerar o momento atual) (Peso 10%)</w:t>
      </w:r>
    </w:p>
    <w:p>
      <w:pPr>
        <w:pStyle w:val="Normal1"/>
        <w:jc w:val="both"/>
        <w:rPr>
          <w:b w:val="false"/>
          <w:b w:val="false"/>
          <w:bCs w:val="false"/>
        </w:rPr>
      </w:pPr>
      <w:r>
        <w:rPr>
          <w:rFonts w:ascii="Times New Roman" w:hAnsi="Times New Roman"/>
          <w:b w:val="false"/>
          <w:bCs w:val="false"/>
          <w:color w:val="000000"/>
        </w:rPr>
        <w:t>a) O programa possui pelo menos cinco docentes permanentes bolsistas de produtividade em pesquisa do CNPq – 100 pontos</w:t>
      </w:r>
    </w:p>
    <w:p>
      <w:pPr>
        <w:pStyle w:val="Normal1"/>
        <w:jc w:val="both"/>
        <w:rPr>
          <w:b w:val="false"/>
          <w:b w:val="false"/>
          <w:bCs w:val="false"/>
        </w:rPr>
      </w:pPr>
      <w:r>
        <w:rPr>
          <w:rFonts w:ascii="Times New Roman" w:hAnsi="Times New Roman"/>
          <w:b w:val="false"/>
          <w:bCs w:val="false"/>
          <w:color w:val="000000"/>
        </w:rPr>
        <w:t>b) O programa possui pelo menos quatro docentes permanentes bolsistas de produtividade em pesquisa do CNPq – 90 pontos</w:t>
      </w:r>
    </w:p>
    <w:p>
      <w:pPr>
        <w:pStyle w:val="Normal1"/>
        <w:jc w:val="both"/>
        <w:rPr>
          <w:b w:val="false"/>
          <w:b w:val="false"/>
          <w:bCs w:val="false"/>
        </w:rPr>
      </w:pPr>
      <w:r>
        <w:rPr>
          <w:rFonts w:ascii="Times New Roman" w:hAnsi="Times New Roman"/>
          <w:b w:val="false"/>
          <w:bCs w:val="false"/>
          <w:color w:val="000000"/>
        </w:rPr>
        <w:t>c) O programa possui pelo menos três docentes permanentes bolsistas de produtividade em pesquisa do CNPq – 80 pontos</w:t>
      </w:r>
    </w:p>
    <w:p>
      <w:pPr>
        <w:pStyle w:val="Normal1"/>
        <w:jc w:val="both"/>
        <w:rPr>
          <w:b w:val="false"/>
          <w:b w:val="false"/>
          <w:bCs w:val="false"/>
        </w:rPr>
      </w:pPr>
      <w:r>
        <w:rPr>
          <w:rFonts w:ascii="Times New Roman" w:hAnsi="Times New Roman"/>
          <w:b w:val="false"/>
          <w:bCs w:val="false"/>
          <w:color w:val="000000"/>
        </w:rPr>
        <w:t>d) O programa possui pelo menos dois docentes permanentes bolsistas de produtividade em pesquisa do CNPq – 70 pontos</w:t>
      </w:r>
    </w:p>
    <w:p>
      <w:pPr>
        <w:pStyle w:val="Normal1"/>
        <w:jc w:val="both"/>
        <w:rPr>
          <w:b w:val="false"/>
          <w:b w:val="false"/>
          <w:bCs w:val="false"/>
        </w:rPr>
      </w:pPr>
      <w:r>
        <w:rPr>
          <w:rFonts w:ascii="Times New Roman" w:hAnsi="Times New Roman"/>
          <w:b w:val="false"/>
          <w:bCs w:val="false"/>
          <w:color w:val="000000"/>
        </w:rPr>
        <w:t>e) O programa possui pelo menos um docente permanente bolsista de produtividade em pesquisa do CNPq – 60 pontos</w:t>
      </w:r>
    </w:p>
    <w:p>
      <w:pPr>
        <w:pStyle w:val="Normal1"/>
        <w:jc w:val="both"/>
        <w:rPr>
          <w:b w:val="false"/>
          <w:b w:val="false"/>
          <w:bCs w:val="false"/>
        </w:rPr>
      </w:pPr>
      <w:r>
        <w:rPr>
          <w:rFonts w:ascii="Times New Roman" w:hAnsi="Times New Roman"/>
          <w:b w:val="false"/>
          <w:bCs w:val="false"/>
          <w:color w:val="000000"/>
        </w:rPr>
        <w:t>f) O programa não possui docente permanente bolsista de produtividade em pesquisa do CNPq – 0 (zero) pontos</w:t>
      </w:r>
    </w:p>
    <w:p>
      <w:pPr>
        <w:pStyle w:val="Normal1"/>
        <w:jc w:val="both"/>
        <w:rPr>
          <w:b w:val="false"/>
          <w:b w:val="false"/>
          <w:bCs w:val="false"/>
        </w:rPr>
      </w:pPr>
      <w:r>
        <w:rPr>
          <w:rFonts w:ascii="Times New Roman" w:hAnsi="Times New Roman"/>
          <w:b w:val="false"/>
          <w:bCs w:val="false"/>
          <w:color w:val="000000"/>
        </w:rPr>
        <w:t>X – Qualificação do corpo docente do programa (considerar o momento atual) (Peso 10%)</w:t>
      </w:r>
    </w:p>
    <w:p>
      <w:pPr>
        <w:pStyle w:val="Normal1"/>
        <w:jc w:val="both"/>
        <w:rPr>
          <w:b w:val="false"/>
          <w:b w:val="false"/>
          <w:bCs w:val="false"/>
        </w:rPr>
      </w:pPr>
      <w:r>
        <w:rPr>
          <w:rFonts w:ascii="Times New Roman" w:hAnsi="Times New Roman"/>
          <w:b w:val="false"/>
          <w:bCs w:val="false"/>
          <w:color w:val="000000"/>
        </w:rPr>
        <w:t>a) Todos os docentes permanentes do programa possuem estágio pós-doutoral em outra instituição – 100 pontos</w:t>
      </w:r>
    </w:p>
    <w:p>
      <w:pPr>
        <w:pStyle w:val="Normal1"/>
        <w:jc w:val="both"/>
        <w:rPr>
          <w:b w:val="false"/>
          <w:b w:val="false"/>
          <w:bCs w:val="false"/>
        </w:rPr>
      </w:pPr>
      <w:r>
        <w:rPr>
          <w:rFonts w:ascii="Times New Roman" w:hAnsi="Times New Roman"/>
          <w:b w:val="false"/>
          <w:bCs w:val="false"/>
          <w:color w:val="000000"/>
        </w:rPr>
        <w:t>b) Entre 80 e 99,9% dos docentes permanentes do programa possuem estágio pós-doutoral em outra instituição – 90 pontos</w:t>
      </w:r>
    </w:p>
    <w:p>
      <w:pPr>
        <w:pStyle w:val="Normal1"/>
        <w:jc w:val="both"/>
        <w:rPr>
          <w:b w:val="false"/>
          <w:b w:val="false"/>
          <w:bCs w:val="false"/>
        </w:rPr>
      </w:pPr>
      <w:r>
        <w:rPr>
          <w:rFonts w:ascii="Times New Roman" w:hAnsi="Times New Roman"/>
          <w:b w:val="false"/>
          <w:bCs w:val="false"/>
          <w:color w:val="000000"/>
        </w:rPr>
        <w:t>c) Entre 60 e 79,9% dos docentes permanentes do programa possuem estágio pós-doutoral em outra instituição – 70 pontos</w:t>
      </w:r>
    </w:p>
    <w:p>
      <w:pPr>
        <w:pStyle w:val="Normal1"/>
        <w:jc w:val="both"/>
        <w:rPr>
          <w:b w:val="false"/>
          <w:b w:val="false"/>
          <w:bCs w:val="false"/>
        </w:rPr>
      </w:pPr>
      <w:r>
        <w:rPr>
          <w:rFonts w:ascii="Times New Roman" w:hAnsi="Times New Roman"/>
          <w:b w:val="false"/>
          <w:bCs w:val="false"/>
          <w:color w:val="000000"/>
        </w:rPr>
        <w:t>d) Entre 40 e 59,9% dos docentes permanentes do programa possuem estágio pós-doutoral em outra instituição – 50 pontos</w:t>
      </w:r>
    </w:p>
    <w:p>
      <w:pPr>
        <w:pStyle w:val="Normal1"/>
        <w:jc w:val="both"/>
        <w:rPr>
          <w:b w:val="false"/>
          <w:b w:val="false"/>
          <w:bCs w:val="false"/>
        </w:rPr>
      </w:pPr>
      <w:r>
        <w:rPr>
          <w:rFonts w:ascii="Times New Roman" w:hAnsi="Times New Roman"/>
          <w:b w:val="false"/>
          <w:bCs w:val="false"/>
          <w:color w:val="000000"/>
        </w:rPr>
        <w:t>e) Entre 0 e 39,9% dos docentes permanentes do programa possuem estágio pós-doutoral em outra instituição – 0 (zero) pontos</w:t>
      </w:r>
    </w:p>
    <w:p>
      <w:pPr>
        <w:pStyle w:val="Normal1"/>
        <w:jc w:val="both"/>
        <w:rPr>
          <w:b w:val="false"/>
          <w:b w:val="false"/>
          <w:bCs w:val="false"/>
        </w:rPr>
      </w:pPr>
      <w:r>
        <w:rPr>
          <w:rFonts w:ascii="Times New Roman" w:hAnsi="Times New Roman"/>
          <w:b w:val="false"/>
          <w:bCs w:val="false"/>
          <w:color w:val="000000"/>
        </w:rPr>
        <w:t>XI – Contribuição dos docentes permanentes do programa para atividades de pesquisa na graduação (considerar a média dos últimos quatro anos para o programa) (Peso 5%)</w:t>
      </w:r>
    </w:p>
    <w:p>
      <w:pPr>
        <w:pStyle w:val="Normal1"/>
        <w:jc w:val="both"/>
        <w:rPr>
          <w:b w:val="false"/>
          <w:b w:val="false"/>
          <w:bCs w:val="false"/>
        </w:rPr>
      </w:pPr>
      <w:r>
        <w:rPr>
          <w:rFonts w:ascii="Times New Roman" w:hAnsi="Times New Roman"/>
          <w:b w:val="false"/>
          <w:bCs w:val="false"/>
          <w:color w:val="000000"/>
        </w:rPr>
        <w:t>a) Todos os docentes permanentes do programa orientaram pelo menos dois discente de Iniciação Científica com bolsa por ano e, ou pelo menos dois Trabalho de Conclusão de Curso (TCC) por ano, em média – 100 pontos</w:t>
      </w:r>
    </w:p>
    <w:p>
      <w:pPr>
        <w:pStyle w:val="Normal1"/>
        <w:jc w:val="both"/>
        <w:rPr>
          <w:b w:val="false"/>
          <w:b w:val="false"/>
          <w:bCs w:val="false"/>
        </w:rPr>
      </w:pPr>
      <w:r>
        <w:rPr>
          <w:rFonts w:ascii="Times New Roman" w:hAnsi="Times New Roman"/>
          <w:b w:val="false"/>
          <w:bCs w:val="false"/>
          <w:color w:val="000000"/>
        </w:rPr>
        <w:t>b) Entre 60 e 99,9% dos docentes permanentes do programa orientaram pelo menos dois discente de Iniciação Científica com bolsa por ano e, ou pelo menos dois Trabalho de Conclusão de Curso (TCC) por ano, em média – 60 pontos</w:t>
      </w:r>
    </w:p>
    <w:p>
      <w:pPr>
        <w:pStyle w:val="Normal1"/>
        <w:jc w:val="both"/>
        <w:rPr>
          <w:b w:val="false"/>
          <w:b w:val="false"/>
          <w:bCs w:val="false"/>
        </w:rPr>
      </w:pPr>
      <w:r>
        <w:rPr>
          <w:rFonts w:ascii="Times New Roman" w:hAnsi="Times New Roman"/>
          <w:b w:val="false"/>
          <w:bCs w:val="false"/>
          <w:color w:val="000000"/>
        </w:rPr>
        <w:t>c) Entre 20 e 59,9% dos docentes permanentes do programa orientaram pelo menos dois discente de Iniciação Científica com bolsa por ano e, ou pelo menos dois Trabalho de Conclusão de Curso (TCC) por ano, em média – 20 pontos</w:t>
      </w:r>
    </w:p>
    <w:p>
      <w:pPr>
        <w:pStyle w:val="Normal1"/>
        <w:jc w:val="both"/>
        <w:rPr>
          <w:b w:val="false"/>
          <w:b w:val="false"/>
          <w:bCs w:val="false"/>
        </w:rPr>
      </w:pPr>
      <w:r>
        <w:rPr>
          <w:rFonts w:ascii="Times New Roman" w:hAnsi="Times New Roman"/>
          <w:b w:val="false"/>
          <w:bCs w:val="false"/>
          <w:color w:val="000000"/>
        </w:rPr>
        <w:t>d) Entre 0 e 19,9% dos docentes permanentes do programa orientaram pelo menos dois discentes de Iniciação Científica com bolsa por ano e, ou pelo menos dois Trabalhos de Conclusão de Curso (TCC) por ano, em média – 0 (zero) pontos</w:t>
      </w:r>
    </w:p>
    <w:p>
      <w:pPr>
        <w:pStyle w:val="Normal1"/>
        <w:jc w:val="both"/>
        <w:rPr>
          <w:b w:val="false"/>
          <w:b w:val="false"/>
          <w:bCs w:val="false"/>
        </w:rPr>
      </w:pPr>
      <w:r>
        <w:rPr>
          <w:rFonts w:ascii="Times New Roman" w:hAnsi="Times New Roman"/>
          <w:b w:val="false"/>
          <w:bCs w:val="false"/>
          <w:color w:val="000000"/>
        </w:rPr>
        <w:t>XII – Número médio de artigos publicados pelos docentes do programa em “equivalente A1/Docente Permanente/Ano”1 (Peso 10%)</w:t>
      </w:r>
    </w:p>
    <w:p>
      <w:pPr>
        <w:pStyle w:val="Normal1"/>
        <w:jc w:val="both"/>
        <w:rPr>
          <w:b w:val="false"/>
          <w:b w:val="false"/>
          <w:bCs w:val="false"/>
        </w:rPr>
      </w:pPr>
      <w:r>
        <w:rPr>
          <w:rFonts w:ascii="Times New Roman" w:hAnsi="Times New Roman"/>
          <w:b w:val="false"/>
          <w:bCs w:val="false"/>
          <w:color w:val="000000"/>
        </w:rPr>
        <w:t>a) Acima de 0,6 artigo A1/DP/Ano – 100 pontos</w:t>
      </w:r>
    </w:p>
    <w:p>
      <w:pPr>
        <w:pStyle w:val="Normal1"/>
        <w:jc w:val="both"/>
        <w:rPr>
          <w:b w:val="false"/>
          <w:b w:val="false"/>
          <w:bCs w:val="false"/>
        </w:rPr>
      </w:pPr>
      <w:r>
        <w:rPr>
          <w:rFonts w:ascii="Times New Roman" w:hAnsi="Times New Roman"/>
          <w:b w:val="false"/>
          <w:bCs w:val="false"/>
          <w:color w:val="000000"/>
        </w:rPr>
        <w:t>b) Entre 0,3 e 0,59 artigo A1/DP/Ano – 80 pontos</w:t>
      </w:r>
    </w:p>
    <w:p>
      <w:pPr>
        <w:pStyle w:val="Normal1"/>
        <w:jc w:val="both"/>
        <w:rPr>
          <w:b w:val="false"/>
          <w:b w:val="false"/>
          <w:bCs w:val="false"/>
        </w:rPr>
      </w:pPr>
      <w:r>
        <w:rPr>
          <w:rFonts w:ascii="Times New Roman" w:hAnsi="Times New Roman"/>
          <w:b w:val="false"/>
          <w:bCs w:val="false"/>
          <w:color w:val="000000"/>
        </w:rPr>
        <w:t>c) Entre 0,1 e 0,29 artigo A1/DP/Ano – 60 pontos</w:t>
      </w:r>
    </w:p>
    <w:p>
      <w:pPr>
        <w:pStyle w:val="Normal1"/>
        <w:jc w:val="both"/>
        <w:rPr>
          <w:b w:val="false"/>
          <w:b w:val="false"/>
          <w:bCs w:val="false"/>
        </w:rPr>
      </w:pPr>
      <w:r>
        <w:rPr>
          <w:rFonts w:ascii="Times New Roman" w:hAnsi="Times New Roman"/>
          <w:b w:val="false"/>
          <w:bCs w:val="false"/>
          <w:color w:val="000000"/>
        </w:rPr>
        <w:t>d) Menor do que 0,1 artigo A1/DP/Ano – 0 (zero) pontos</w:t>
      </w:r>
    </w:p>
    <w:p>
      <w:pPr>
        <w:pStyle w:val="Normal1"/>
        <w:jc w:val="both"/>
        <w:rPr>
          <w:b w:val="false"/>
          <w:b w:val="false"/>
          <w:bCs w:val="false"/>
        </w:rPr>
      </w:pPr>
      <w:r>
        <w:rPr>
          <w:rFonts w:ascii="Times New Roman" w:hAnsi="Times New Roman"/>
          <w:b w:val="false"/>
          <w:bCs w:val="false"/>
          <w:color w:val="000000"/>
        </w:rPr>
        <w:t>XIII - Número de titulados em Equivalente de Dissertação por Docente Permanente por Ano2 (Peso 10%)</w:t>
      </w:r>
    </w:p>
    <w:p>
      <w:pPr>
        <w:pStyle w:val="Normal1"/>
        <w:jc w:val="both"/>
        <w:rPr>
          <w:b w:val="false"/>
          <w:b w:val="false"/>
          <w:bCs w:val="false"/>
        </w:rPr>
      </w:pPr>
      <w:r>
        <w:rPr>
          <w:rFonts w:ascii="Times New Roman" w:hAnsi="Times New Roman"/>
          <w:b w:val="false"/>
          <w:bCs w:val="false"/>
          <w:color w:val="000000"/>
        </w:rPr>
        <w:t>a) Acima de 1,0 Equivalente Dissertação por Ano – 100 pontos</w:t>
      </w:r>
    </w:p>
    <w:p>
      <w:pPr>
        <w:pStyle w:val="Normal1"/>
        <w:jc w:val="both"/>
        <w:rPr>
          <w:b w:val="false"/>
          <w:b w:val="false"/>
          <w:bCs w:val="false"/>
        </w:rPr>
      </w:pPr>
      <w:r>
        <w:rPr>
          <w:rFonts w:ascii="Times New Roman" w:hAnsi="Times New Roman"/>
          <w:b w:val="false"/>
          <w:bCs w:val="false"/>
          <w:color w:val="000000"/>
        </w:rPr>
        <w:t>b) Entre 0,70 e 0,99 Equivalente Dissertação por Ano – 80 pontos</w:t>
      </w:r>
    </w:p>
    <w:p>
      <w:pPr>
        <w:pStyle w:val="Normal1"/>
        <w:jc w:val="both"/>
        <w:rPr>
          <w:b w:val="false"/>
          <w:b w:val="false"/>
          <w:bCs w:val="false"/>
        </w:rPr>
      </w:pPr>
      <w:r>
        <w:rPr>
          <w:rFonts w:ascii="Times New Roman" w:hAnsi="Times New Roman"/>
          <w:b w:val="false"/>
          <w:bCs w:val="false"/>
          <w:color w:val="000000"/>
        </w:rPr>
        <w:t>c) Entre 0,40 e 0,69 Equivalente Dissertação por Ano – 60 pontos</w:t>
      </w:r>
    </w:p>
    <w:p>
      <w:pPr>
        <w:pStyle w:val="Normal1"/>
        <w:jc w:val="both"/>
        <w:rPr>
          <w:b w:val="false"/>
          <w:b w:val="false"/>
          <w:bCs w:val="false"/>
        </w:rPr>
      </w:pPr>
      <w:r>
        <w:rPr>
          <w:rFonts w:ascii="Times New Roman" w:hAnsi="Times New Roman"/>
          <w:b w:val="false"/>
          <w:bCs w:val="false"/>
          <w:color w:val="000000"/>
        </w:rPr>
        <w:t>d) Entre 0,10 e 0,39 Equivalente Dissertação por Ano – 40 pontos</w:t>
      </w:r>
    </w:p>
    <w:p>
      <w:pPr>
        <w:pStyle w:val="Normal1"/>
        <w:jc w:val="both"/>
        <w:rPr>
          <w:b w:val="false"/>
          <w:b w:val="false"/>
          <w:bCs w:val="false"/>
        </w:rPr>
      </w:pPr>
      <w:r>
        <w:rPr>
          <w:rFonts w:ascii="Times New Roman" w:hAnsi="Times New Roman"/>
          <w:b w:val="false"/>
          <w:bCs w:val="false"/>
          <w:color w:val="000000"/>
        </w:rPr>
        <w:t>e) Menor do que 0,1 Equivalente Dissertação por Ano – 0 (zero) pontos</w:t>
      </w:r>
    </w:p>
    <w:p>
      <w:pPr>
        <w:pStyle w:val="Normal1"/>
        <w:jc w:val="both"/>
        <w:rPr>
          <w:b w:val="false"/>
          <w:b w:val="false"/>
          <w:bCs w:val="false"/>
        </w:rPr>
      </w:pPr>
      <w:r>
        <w:rPr>
          <w:rFonts w:ascii="Times New Roman" w:hAnsi="Times New Roman"/>
          <w:b w:val="false"/>
          <w:bCs w:val="false"/>
          <w:color w:val="000000"/>
        </w:rPr>
        <w:t>XIV - Porcentual de titulados no mestrado e no doutorado em relação ao total do corpo discente (Peso 10%).</w:t>
      </w:r>
    </w:p>
    <w:p>
      <w:pPr>
        <w:pStyle w:val="Normal1"/>
        <w:jc w:val="both"/>
        <w:rPr>
          <w:b w:val="false"/>
          <w:b w:val="false"/>
          <w:bCs w:val="false"/>
        </w:rPr>
      </w:pPr>
      <w:r>
        <w:rPr>
          <w:rFonts w:ascii="Times New Roman" w:hAnsi="Times New Roman"/>
          <w:b w:val="false"/>
          <w:bCs w:val="false"/>
          <w:color w:val="000000"/>
        </w:rPr>
        <w:t>a) A porcentagem de titulados no mestrado é igual ou superior a 30,0% e no doutorado é igual ou superior a 20,0% – 100 pontos</w:t>
      </w:r>
    </w:p>
    <w:p>
      <w:pPr>
        <w:pStyle w:val="Normal1"/>
        <w:jc w:val="both"/>
        <w:rPr>
          <w:b w:val="false"/>
          <w:b w:val="false"/>
          <w:bCs w:val="false"/>
        </w:rPr>
      </w:pPr>
      <w:r>
        <w:rPr>
          <w:rFonts w:ascii="Times New Roman" w:hAnsi="Times New Roman"/>
          <w:b w:val="false"/>
          <w:bCs w:val="false"/>
          <w:color w:val="000000"/>
        </w:rPr>
        <w:t>b) A porcentagem de titulados no mestrado está entre 20,0 e 29,9% e no doutorado está entre 10 e 19,9% – 80 pontos</w:t>
      </w:r>
    </w:p>
    <w:p>
      <w:pPr>
        <w:pStyle w:val="Normal1"/>
        <w:jc w:val="both"/>
        <w:rPr>
          <w:b w:val="false"/>
          <w:b w:val="false"/>
          <w:bCs w:val="false"/>
        </w:rPr>
      </w:pPr>
      <w:r>
        <w:rPr>
          <w:rFonts w:ascii="Times New Roman" w:hAnsi="Times New Roman"/>
          <w:b w:val="false"/>
          <w:bCs w:val="false"/>
          <w:color w:val="000000"/>
        </w:rPr>
        <w:t>c) A porcentagem de titulados no mestrado está entre 10,0 e 19,9% e no doutorado está entre 5,0 e 9,9% – 60 pontos</w:t>
      </w:r>
    </w:p>
    <w:p>
      <w:pPr>
        <w:pStyle w:val="Normal1"/>
        <w:jc w:val="both"/>
        <w:rPr>
          <w:b w:val="false"/>
          <w:b w:val="false"/>
          <w:bCs w:val="false"/>
        </w:rPr>
      </w:pPr>
      <w:r>
        <w:rPr>
          <w:rFonts w:ascii="Times New Roman" w:hAnsi="Times New Roman"/>
          <w:b w:val="false"/>
          <w:bCs w:val="false"/>
          <w:color w:val="000000"/>
        </w:rPr>
        <w:t>d) A porcentagem de titulados no mestrado é menor do que = 10,0% e no doutorado é menor do que 5,0% – 0 (zero) pontos</w:t>
      </w:r>
    </w:p>
    <w:p>
      <w:pPr>
        <w:pStyle w:val="Normal1"/>
        <w:jc w:val="both"/>
        <w:rPr>
          <w:b w:val="false"/>
          <w:b w:val="false"/>
          <w:bCs w:val="false"/>
        </w:rPr>
      </w:pPr>
      <w:r>
        <w:rPr>
          <w:rFonts w:ascii="Times New Roman" w:hAnsi="Times New Roman"/>
          <w:b w:val="false"/>
          <w:bCs w:val="false"/>
          <w:color w:val="000000"/>
        </w:rPr>
        <w:t>§ 2º A Nota Final do Programa será dada pela fórmula:</w:t>
      </w:r>
    </w:p>
    <w:p>
      <w:pPr>
        <w:pStyle w:val="Normal1"/>
        <w:jc w:val="both"/>
        <w:rPr>
          <w:rFonts w:ascii="Times New Roman" w:hAnsi="Times New Roman"/>
          <w:color w:val="000000"/>
        </w:rPr>
      </w:pPr>
      <w:r>
        <w:rPr>
          <w:b w:val="false"/>
          <w:bCs w:val="false"/>
        </w:rPr>
      </w:r>
    </w:p>
    <w:p>
      <w:pPr>
        <w:pStyle w:val="Normal1"/>
        <w:jc w:val="both"/>
        <w:rPr>
          <w:rFonts w:ascii="Times New Roman" w:hAnsi="Times New Roman"/>
          <w:b/>
          <w:b/>
          <w:bCs/>
          <w:color w:val="000000"/>
        </w:rPr>
      </w:pPr>
      <w:r>
        <w:rPr>
          <w:b w:val="false"/>
          <w:bCs w:val="false"/>
        </w:rPr>
        <w:drawing>
          <wp:anchor behindDoc="0" distT="0" distB="0" distL="0" distR="0" simplePos="0" locked="0" layoutInCell="1" allowOverlap="1" relativeHeight="3">
            <wp:simplePos x="0" y="0"/>
            <wp:positionH relativeFrom="column">
              <wp:align>center</wp:align>
            </wp:positionH>
            <wp:positionV relativeFrom="line">
              <wp:posOffset>0</wp:posOffset>
            </wp:positionV>
            <wp:extent cx="5621655" cy="561975"/>
            <wp:effectExtent l="0" t="0" r="0" b="0"/>
            <wp:wrapTopAndBottom/>
            <wp:docPr id="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pic:cNvPicPr>
                      <a:picLocks noChangeAspect="1" noChangeArrowheads="1"/>
                    </pic:cNvPicPr>
                  </pic:nvPicPr>
                  <pic:blipFill>
                    <a:blip r:embed="rId3"/>
                    <a:stretch>
                      <a:fillRect/>
                    </a:stretch>
                  </pic:blipFill>
                  <pic:spPr bwMode="auto">
                    <a:xfrm>
                      <a:off x="0" y="0"/>
                      <a:ext cx="5621655" cy="561975"/>
                    </a:xfrm>
                    <a:prstGeom prst="rect">
                      <a:avLst/>
                    </a:prstGeom>
                  </pic:spPr>
                </pic:pic>
              </a:graphicData>
            </a:graphic>
          </wp:anchor>
        </w:drawing>
      </w:r>
    </w:p>
    <w:p>
      <w:pPr>
        <w:pStyle w:val="Normal1"/>
        <w:jc w:val="both"/>
        <w:rPr>
          <w:b w:val="false"/>
          <w:b w:val="false"/>
          <w:bCs w:val="false"/>
        </w:rPr>
      </w:pPr>
      <w:r>
        <w:rPr>
          <w:rFonts w:ascii="Times New Roman" w:hAnsi="Times New Roman"/>
          <w:b/>
          <w:bCs/>
          <w:color w:val="000000"/>
        </w:rPr>
        <w:t>Art. 12</w:t>
      </w:r>
      <w:r>
        <w:rPr>
          <w:rFonts w:ascii="Times New Roman" w:hAnsi="Times New Roman"/>
          <w:b w:val="false"/>
          <w:bCs w:val="false"/>
          <w:color w:val="000000"/>
        </w:rPr>
        <w:t xml:space="preserve"> Será contemplado com a vaga de Titular-Livre o programa de Pós-Graduação que obtiver a maior pontuação na fase II.</w:t>
      </w:r>
    </w:p>
    <w:p>
      <w:pPr>
        <w:pStyle w:val="Normal1"/>
        <w:jc w:val="both"/>
        <w:rPr>
          <w:b w:val="false"/>
          <w:b w:val="false"/>
          <w:bCs w:val="false"/>
        </w:rPr>
      </w:pPr>
      <w:r>
        <w:rPr>
          <w:rFonts w:ascii="Times New Roman" w:hAnsi="Times New Roman"/>
          <w:b/>
          <w:bCs/>
          <w:color w:val="000000"/>
        </w:rPr>
        <w:t>Parágrafo único</w:t>
      </w:r>
      <w:r>
        <w:rPr>
          <w:rFonts w:ascii="Times New Roman" w:hAnsi="Times New Roman"/>
          <w:b w:val="false"/>
          <w:bCs w:val="false"/>
          <w:color w:val="000000"/>
        </w:rPr>
        <w:t xml:space="preserve"> - Em caso de empate na Fase II, a vaga será destinada ao mais antigo Programa de Pós-Graduação stricto sensu da UFVJM.</w:t>
      </w:r>
    </w:p>
    <w:p>
      <w:pPr>
        <w:pStyle w:val="Normal1"/>
        <w:jc w:val="both"/>
        <w:rPr>
          <w:b w:val="false"/>
          <w:b w:val="false"/>
          <w:bCs w:val="false"/>
        </w:rPr>
      </w:pPr>
      <w:r>
        <w:rPr>
          <w:rFonts w:ascii="Times New Roman" w:hAnsi="Times New Roman"/>
          <w:b w:val="false"/>
          <w:bCs w:val="false"/>
          <w:color w:val="000000"/>
        </w:rPr>
        <w:t>Art. 13 A destinação de vagas de Professor Titular-Livre respeitar-se-á o rodízio entre áreas do conhecimento/CAPES.</w:t>
      </w:r>
    </w:p>
    <w:p>
      <w:pPr>
        <w:pStyle w:val="Normal1"/>
        <w:jc w:val="both"/>
        <w:rPr>
          <w:b w:val="false"/>
          <w:b w:val="false"/>
          <w:bCs w:val="false"/>
        </w:rPr>
      </w:pPr>
      <w:r>
        <w:rPr>
          <w:rFonts w:ascii="Times New Roman" w:hAnsi="Times New Roman"/>
          <w:b/>
          <w:bCs/>
          <w:color w:val="000000"/>
        </w:rPr>
        <w:t>Parágrafo único</w:t>
      </w:r>
      <w:r>
        <w:rPr>
          <w:rFonts w:ascii="Times New Roman" w:hAnsi="Times New Roman"/>
          <w:b w:val="false"/>
          <w:bCs w:val="false"/>
          <w:color w:val="000000"/>
        </w:rPr>
        <w:t xml:space="preserve"> - uma vez que uma área do conhecimento seja contemplada, ela somente poderá concorrer à vaga após todas as demais áreas do conhecimento segundo a CAPES forem contempladas.</w:t>
      </w:r>
    </w:p>
    <w:p>
      <w:pPr>
        <w:pStyle w:val="Normal1"/>
        <w:jc w:val="both"/>
        <w:rPr>
          <w:b w:val="false"/>
          <w:b w:val="false"/>
          <w:bCs w:val="false"/>
        </w:rPr>
      </w:pPr>
      <w:r>
        <w:rPr>
          <w:rFonts w:ascii="Times New Roman" w:hAnsi="Times New Roman"/>
          <w:b/>
          <w:bCs/>
          <w:color w:val="000000"/>
        </w:rPr>
        <w:t>Art. 14</w:t>
      </w:r>
      <w:r>
        <w:rPr>
          <w:rFonts w:ascii="Times New Roman" w:hAnsi="Times New Roman"/>
          <w:b w:val="false"/>
          <w:bCs w:val="false"/>
          <w:color w:val="000000"/>
        </w:rPr>
        <w:t xml:space="preserve"> O resultado do Processo Seletivo de destinação da vaga de Professor Titular-Livre será publicado no portal da UFVJM no link da CPPD.</w:t>
      </w:r>
    </w:p>
    <w:p>
      <w:pPr>
        <w:pStyle w:val="Normal1"/>
        <w:jc w:val="both"/>
        <w:rPr>
          <w:b w:val="false"/>
          <w:b w:val="false"/>
          <w:bCs w:val="false"/>
        </w:rPr>
      </w:pPr>
      <w:r>
        <w:rPr>
          <w:rFonts w:ascii="Times New Roman" w:hAnsi="Times New Roman"/>
          <w:b/>
          <w:bCs/>
          <w:color w:val="000000"/>
        </w:rPr>
        <w:t>Art. 15</w:t>
      </w:r>
      <w:r>
        <w:rPr>
          <w:rFonts w:ascii="Times New Roman" w:hAnsi="Times New Roman"/>
          <w:b w:val="false"/>
          <w:bCs w:val="false"/>
          <w:color w:val="000000"/>
        </w:rPr>
        <w:t xml:space="preserve"> Contra o resultado do Processo Seletivo de destinação da vaga de Professor Titular-Livre caberá recurso, em primeira instância junto à Comissão de Seleção, no prazo de 2 (dois) dias após a publicação do resultado da seleção.</w:t>
      </w:r>
    </w:p>
    <w:p>
      <w:pPr>
        <w:pStyle w:val="Normal1"/>
        <w:jc w:val="both"/>
        <w:rPr>
          <w:b w:val="false"/>
          <w:b w:val="false"/>
          <w:bCs w:val="false"/>
        </w:rPr>
      </w:pPr>
      <w:r>
        <w:rPr>
          <w:rFonts w:ascii="Times New Roman" w:hAnsi="Times New Roman"/>
          <w:b/>
          <w:bCs/>
          <w:color w:val="000000"/>
        </w:rPr>
        <w:t>Parágrafo único</w:t>
      </w:r>
      <w:r>
        <w:rPr>
          <w:rFonts w:ascii="Times New Roman" w:hAnsi="Times New Roman"/>
          <w:b w:val="false"/>
          <w:bCs w:val="false"/>
          <w:color w:val="000000"/>
        </w:rPr>
        <w:t xml:space="preserve"> - O recurso em primeira instância deverá ser apresentado na forma digital dirigida à Presidência da CPPD e da Comissão de Seleção, no endereço eletrônico disponibilizado no edital.</w:t>
      </w:r>
    </w:p>
    <w:p>
      <w:pPr>
        <w:pStyle w:val="Normal1"/>
        <w:jc w:val="both"/>
        <w:rPr>
          <w:b w:val="false"/>
          <w:b w:val="false"/>
          <w:bCs w:val="false"/>
        </w:rPr>
      </w:pPr>
      <w:r>
        <w:rPr>
          <w:rFonts w:ascii="Times New Roman" w:hAnsi="Times New Roman"/>
          <w:b/>
          <w:bCs/>
          <w:color w:val="000000"/>
        </w:rPr>
        <w:t xml:space="preserve">Art. 16 </w:t>
      </w:r>
      <w:r>
        <w:rPr>
          <w:rFonts w:ascii="Times New Roman" w:hAnsi="Times New Roman"/>
          <w:b w:val="false"/>
          <w:bCs w:val="false"/>
          <w:color w:val="000000"/>
        </w:rPr>
        <w:t>A Comissão de Seleção terá o prazo de 2 (dois) dias para julgar os recursos interpostos tempestivamente.</w:t>
      </w:r>
    </w:p>
    <w:p>
      <w:pPr>
        <w:pStyle w:val="Normal1"/>
        <w:jc w:val="both"/>
        <w:rPr>
          <w:b w:val="false"/>
          <w:b w:val="false"/>
          <w:bCs w:val="false"/>
        </w:rPr>
      </w:pPr>
      <w:r>
        <w:rPr>
          <w:rFonts w:ascii="Times New Roman" w:hAnsi="Times New Roman"/>
          <w:b/>
          <w:bCs/>
          <w:color w:val="000000"/>
        </w:rPr>
        <w:t>Parágrafo único</w:t>
      </w:r>
      <w:r>
        <w:rPr>
          <w:rFonts w:ascii="Times New Roman" w:hAnsi="Times New Roman"/>
          <w:b w:val="false"/>
          <w:bCs w:val="false"/>
          <w:color w:val="000000"/>
        </w:rPr>
        <w:t xml:space="preserve"> - Após a análise dos recursos em primeira instância, a Comissão de Seleção publicará o resultado final do Processo Seletivo no portal da UFVJM, link da CPPD.</w:t>
      </w:r>
    </w:p>
    <w:p>
      <w:pPr>
        <w:pStyle w:val="Normal1"/>
        <w:jc w:val="both"/>
        <w:rPr>
          <w:b w:val="false"/>
          <w:b w:val="false"/>
          <w:bCs w:val="false"/>
        </w:rPr>
      </w:pPr>
      <w:r>
        <w:rPr>
          <w:rFonts w:ascii="Times New Roman" w:hAnsi="Times New Roman"/>
          <w:b/>
          <w:bCs/>
          <w:color w:val="000000"/>
        </w:rPr>
        <w:t>Art. 17</w:t>
      </w:r>
      <w:r>
        <w:rPr>
          <w:rFonts w:ascii="Times New Roman" w:hAnsi="Times New Roman"/>
          <w:b w:val="false"/>
          <w:bCs w:val="false"/>
          <w:color w:val="000000"/>
        </w:rPr>
        <w:t xml:space="preserve"> Contra o resultado do recurso em primeira instância, caberá recurso em última instância ao CONSU, devendo o mesmo ser apresentado junto à Presidência do CONSU no prazo de 2 (dois) dias após a publicação do resultado final da seleção.</w:t>
      </w:r>
    </w:p>
    <w:p>
      <w:pPr>
        <w:pStyle w:val="Normal1"/>
        <w:jc w:val="both"/>
        <w:rPr>
          <w:b w:val="false"/>
          <w:b w:val="false"/>
          <w:bCs w:val="false"/>
        </w:rPr>
      </w:pPr>
      <w:r>
        <w:rPr>
          <w:rFonts w:ascii="Times New Roman" w:hAnsi="Times New Roman"/>
          <w:b/>
          <w:bCs/>
          <w:color w:val="000000"/>
        </w:rPr>
        <w:t>Parágrafo único</w:t>
      </w:r>
      <w:r>
        <w:rPr>
          <w:rFonts w:ascii="Times New Roman" w:hAnsi="Times New Roman"/>
          <w:b w:val="false"/>
          <w:bCs w:val="false"/>
          <w:color w:val="000000"/>
        </w:rPr>
        <w:t xml:space="preserve"> - O recurso em última instância deverá ser apresentado na forma digital dirigida à Presidência da CONSU, no endereço eletrônico disponibilizado no edital.</w:t>
      </w:r>
    </w:p>
    <w:p>
      <w:pPr>
        <w:pStyle w:val="Normal1"/>
        <w:jc w:val="both"/>
        <w:rPr>
          <w:b w:val="false"/>
          <w:b w:val="false"/>
          <w:bCs w:val="false"/>
        </w:rPr>
      </w:pPr>
      <w:r>
        <w:rPr>
          <w:rFonts w:ascii="Times New Roman" w:hAnsi="Times New Roman"/>
          <w:b/>
          <w:bCs/>
          <w:color w:val="000000"/>
        </w:rPr>
        <w:t>Art. 18</w:t>
      </w:r>
      <w:r>
        <w:rPr>
          <w:rFonts w:ascii="Times New Roman" w:hAnsi="Times New Roman"/>
          <w:b w:val="false"/>
          <w:bCs w:val="false"/>
          <w:color w:val="000000"/>
        </w:rPr>
        <w:t xml:space="preserve"> - Julgados todos os recursos, o CONSU promoverá:</w:t>
      </w:r>
    </w:p>
    <w:p>
      <w:pPr>
        <w:pStyle w:val="Normal1"/>
        <w:jc w:val="both"/>
        <w:rPr>
          <w:b w:val="false"/>
          <w:b w:val="false"/>
          <w:bCs w:val="false"/>
        </w:rPr>
      </w:pPr>
      <w:r>
        <w:rPr>
          <w:rFonts w:ascii="Times New Roman" w:hAnsi="Times New Roman"/>
          <w:b w:val="false"/>
          <w:bCs w:val="false"/>
          <w:color w:val="000000"/>
        </w:rPr>
        <w:t>I - a homologação do resultado do Processo Seletivo de destinação da vaga de Professor Titular-Livre;</w:t>
      </w:r>
    </w:p>
    <w:p>
      <w:pPr>
        <w:pStyle w:val="Normal1"/>
        <w:jc w:val="both"/>
        <w:rPr>
          <w:b w:val="false"/>
          <w:b w:val="false"/>
          <w:bCs w:val="false"/>
        </w:rPr>
      </w:pPr>
      <w:r>
        <w:rPr>
          <w:rFonts w:ascii="Times New Roman" w:hAnsi="Times New Roman"/>
          <w:b w:val="false"/>
          <w:bCs w:val="false"/>
          <w:color w:val="000000"/>
        </w:rPr>
        <w:t>II - Encaminhará o processo para a Pró-Reitoria de Gestão de Pessoas – PROGEP providenciar a abertura do edital de Concurso Público de Professor Titular-Livre no prazo máximo de 30 dias.</w:t>
      </w:r>
    </w:p>
    <w:p>
      <w:pPr>
        <w:pStyle w:val="Normal1"/>
        <w:jc w:val="both"/>
        <w:rPr>
          <w:b w:val="false"/>
          <w:b w:val="false"/>
          <w:bCs w:val="false"/>
        </w:rPr>
      </w:pPr>
      <w:r>
        <w:rPr>
          <w:rFonts w:ascii="Times New Roman" w:hAnsi="Times New Roman"/>
          <w:b/>
          <w:bCs/>
          <w:color w:val="000000"/>
        </w:rPr>
        <w:t>Art. 19</w:t>
      </w:r>
      <w:r>
        <w:rPr>
          <w:rFonts w:ascii="Times New Roman" w:hAnsi="Times New Roman"/>
          <w:b w:val="false"/>
          <w:bCs w:val="false"/>
          <w:color w:val="000000"/>
        </w:rPr>
        <w:t xml:space="preserve"> Esta Resolução entrará em vigor na data de sua publicação, revogadas as disposições em contrário, inclusive a Resolução nº 19 – Consu, de 08 de agosto de 2014.</w:t>
      </w:r>
    </w:p>
    <w:p>
      <w:pPr>
        <w:pStyle w:val="Normal1"/>
        <w:jc w:val="center"/>
        <w:rPr>
          <w:rFonts w:ascii="Times New Roman" w:hAnsi="Times New Roman"/>
          <w:b/>
          <w:b/>
          <w:color w:val="000000"/>
        </w:rPr>
      </w:pPr>
      <w:r>
        <w:rPr/>
      </w:r>
    </w:p>
    <w:p>
      <w:pPr>
        <w:pStyle w:val="Normal1"/>
        <w:jc w:val="center"/>
        <w:rPr>
          <w:rFonts w:ascii="Times New Roman" w:hAnsi="Times New Roman"/>
          <w:b/>
          <w:b/>
          <w:color w:val="000000"/>
        </w:rPr>
      </w:pPr>
      <w:r>
        <w:rPr/>
      </w:r>
    </w:p>
    <w:p>
      <w:pPr>
        <w:pStyle w:val="Normal1"/>
        <w:jc w:val="center"/>
        <w:rPr>
          <w:rFonts w:ascii="Times New Roman" w:hAnsi="Times New Roman"/>
          <w:b/>
          <w:b/>
          <w:color w:val="000000"/>
        </w:rPr>
      </w:pPr>
      <w:r>
        <w:rPr/>
      </w:r>
    </w:p>
    <w:p>
      <w:pPr>
        <w:pStyle w:val="Normal1"/>
        <w:spacing w:before="0" w:after="160"/>
        <w:jc w:val="center"/>
        <w:rPr/>
      </w:pPr>
      <w:r>
        <w:rPr>
          <w:rFonts w:ascii="Times New Roman" w:hAnsi="Times New Roman"/>
          <w:b/>
          <w:color w:val="000000"/>
        </w:rPr>
        <w:t>CLÁUDIO EDUARDO RODRIGUES</w:t>
      </w:r>
    </w:p>
    <w:sectPr>
      <w:type w:val="nextPage"/>
      <w:pgSz w:w="11906" w:h="16838"/>
      <w:pgMar w:left="1134" w:right="1134" w:header="0" w:top="851" w:footer="0" w:bottom="851" w:gutter="0"/>
      <w:pgNumType w:fmt="decimal"/>
      <w:formProt w:val="false"/>
      <w:textDirection w:val="lrTb"/>
      <w:docGrid w:type="default" w:linePitch="312"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13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pt-BR" w:eastAsia="pt-BR" w:bidi="ar-SA"/>
      </w:rPr>
    </w:rPrDefault>
    <w:pPrDefault>
      <w:pPr>
        <w:spacing w:lineRule="auto" w:line="252"/>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2"/>
      <w:jc w:val="left"/>
    </w:pPr>
    <w:rPr>
      <w:rFonts w:ascii="Calibri" w:hAnsi="Calibri" w:eastAsia="" w:cs="" w:asciiTheme="minorHAnsi" w:cstheme="minorBidi" w:eastAsiaTheme="minorEastAsia" w:hAnsiTheme="minorHAnsi"/>
      <w:color w:val="00000A"/>
      <w:sz w:val="22"/>
      <w:szCs w:val="22"/>
      <w:lang w:val="pt-BR" w:eastAsia="pt-BR" w:bidi="ar-SA"/>
    </w:rPr>
  </w:style>
  <w:style w:type="paragraph" w:styleId="Ttulo1">
    <w:name w:val="Título 1"/>
    <w:basedOn w:val="Ttulododocumento"/>
    <w:pPr>
      <w:outlineLvl w:val="0"/>
    </w:pPr>
    <w:rPr/>
  </w:style>
  <w:style w:type="paragraph" w:styleId="Ttulo2">
    <w:name w:val="Título 2"/>
    <w:basedOn w:val="Ttulododocumento"/>
    <w:pPr>
      <w:outlineLvl w:val="1"/>
    </w:pPr>
    <w:rPr/>
  </w:style>
  <w:style w:type="paragraph" w:styleId="Ttulo3">
    <w:name w:val="Título 3"/>
    <w:basedOn w:val="Ttulododocumento"/>
    <w:pPr>
      <w:outlineLvl w:val="2"/>
    </w:pPr>
    <w:rPr/>
  </w:style>
  <w:style w:type="character" w:styleId="DefaultParagraphFont" w:default="1">
    <w:name w:val="Default Paragraph Font"/>
    <w:uiPriority w:val="1"/>
    <w:semiHidden/>
    <w:unhideWhenUsed/>
    <w:qFormat/>
    <w:rPr/>
  </w:style>
  <w:style w:type="character" w:styleId="TextodecomentrioChar" w:customStyle="1">
    <w:name w:val="Texto de comentário Char"/>
    <w:basedOn w:val="DefaultParagraphFont"/>
    <w:link w:val="Textodecomentrio"/>
    <w:uiPriority w:val="99"/>
    <w:semiHidden/>
    <w:qFormat/>
    <w:rPr>
      <w:sz w:val="20"/>
      <w:szCs w:val="20"/>
    </w:rPr>
  </w:style>
  <w:style w:type="character" w:styleId="Annotationreference">
    <w:name w:val="annotation reference"/>
    <w:basedOn w:val="DefaultParagraphFont"/>
    <w:uiPriority w:val="99"/>
    <w:semiHidden/>
    <w:unhideWhenUsed/>
    <w:qFormat/>
    <w:rPr>
      <w:sz w:val="16"/>
      <w:szCs w:val="16"/>
    </w:rPr>
  </w:style>
  <w:style w:type="character" w:styleId="TextodebaloChar" w:customStyle="1">
    <w:name w:val="Texto de balão Char"/>
    <w:basedOn w:val="DefaultParagraphFont"/>
    <w:link w:val="Textodebalo"/>
    <w:uiPriority w:val="99"/>
    <w:semiHidden/>
    <w:qFormat/>
    <w:rsid w:val="004c4351"/>
    <w:rPr>
      <w:rFonts w:ascii="Segoe UI" w:hAnsi="Segoe UI" w:cs="Segoe UI"/>
      <w:sz w:val="18"/>
      <w:szCs w:val="18"/>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Corpo de texto"/>
    <w:basedOn w:val="Normal"/>
    <w:pPr>
      <w:spacing w:lineRule="auto" w:line="288" w:before="0" w:after="140"/>
    </w:pPr>
    <w:rPr/>
  </w:style>
  <w:style w:type="paragraph" w:styleId="Lista">
    <w:name w:val="Lista"/>
    <w:basedOn w:val="Corpodetexto"/>
    <w:pPr>
      <w:widowControl w:val="false"/>
      <w:bidi w:val="0"/>
      <w:spacing w:lineRule="auto" w:line="252"/>
      <w:jc w:val="left"/>
    </w:pPr>
    <w:rPr>
      <w:rFonts w:ascii="Calibri" w:hAnsi="Calibri" w:eastAsia="" w:cs="" w:asciiTheme="minorHAnsi" w:cstheme="minorBidi" w:eastAsiaTheme="minorEastAsia" w:hAnsiTheme="minorHAnsi"/>
      <w:color w:val="00000A"/>
      <w:sz w:val="22"/>
      <w:szCs w:val="22"/>
      <w:lang w:val="pt-BR" w:eastAsia="pt-BR" w:bidi="ar-SA"/>
    </w:rPr>
  </w:style>
  <w:style w:type="paragraph" w:styleId="Legenda">
    <w:name w:val="Legenda"/>
    <w:basedOn w:val="Normal"/>
    <w:pPr>
      <w:suppressLineNumbers/>
      <w:spacing w:before="120" w:after="120"/>
    </w:pPr>
    <w:rPr>
      <w:rFonts w:cs="Mangal"/>
      <w:i/>
      <w:iCs/>
      <w:sz w:val="24"/>
      <w:szCs w:val="24"/>
    </w:rPr>
  </w:style>
  <w:style w:type="paragraph" w:styleId="Ndice" w:customStyle="1">
    <w:name w:val="Índice"/>
    <w:basedOn w:val="Normal"/>
    <w:qFormat/>
    <w:pPr>
      <w:widowControl w:val="false"/>
      <w:suppressLineNumbers/>
      <w:bidi w:val="0"/>
      <w:spacing w:lineRule="auto" w:line="252"/>
      <w:jc w:val="left"/>
    </w:pPr>
    <w:rPr>
      <w:rFonts w:ascii="Calibri" w:hAnsi="Calibri" w:eastAsia="" w:cs="" w:asciiTheme="minorHAnsi" w:cstheme="minorBidi" w:eastAsiaTheme="minorEastAsia" w:hAnsiTheme="minorHAnsi"/>
      <w:color w:val="00000A"/>
      <w:sz w:val="22"/>
      <w:szCs w:val="22"/>
      <w:lang w:val="pt-BR" w:eastAsia="pt-BR" w:bidi="ar-SA"/>
    </w:rPr>
  </w:style>
  <w:style w:type="paragraph" w:styleId="Ttulododocumento" w:customStyle="1">
    <w:name w:val="Título do documento"/>
    <w:basedOn w:val="Ttulo"/>
    <w:pPr>
      <w:keepNext/>
      <w:widowControl w:val="false"/>
      <w:bidi w:val="0"/>
      <w:spacing w:lineRule="auto" w:line="252" w:before="240" w:after="120"/>
      <w:jc w:val="left"/>
    </w:pPr>
    <w:rPr>
      <w:rFonts w:ascii="Liberation Sans" w:hAnsi="Liberation Sans" w:eastAsia="Microsoft YaHei" w:cs="" w:cstheme="minorBidi"/>
      <w:color w:val="00000A"/>
      <w:sz w:val="28"/>
      <w:szCs w:val="28"/>
      <w:lang w:val="pt-BR" w:eastAsia="pt-BR" w:bidi="ar-SA"/>
    </w:rPr>
  </w:style>
  <w:style w:type="paragraph" w:styleId="Normal1" w:customStyle="1">
    <w:name w:val="Normal1"/>
    <w:qFormat/>
    <w:pPr>
      <w:widowControl/>
      <w:suppressAutoHyphens w:val="true"/>
      <w:bidi w:val="0"/>
      <w:spacing w:lineRule="auto" w:line="252" w:before="0" w:after="160"/>
      <w:jc w:val="left"/>
    </w:pPr>
    <w:rPr>
      <w:rFonts w:ascii="Liberation Serif" w:hAnsi="Liberation Serif" w:eastAsia="SimSun" w:cs="Mangal"/>
      <w:color w:val="00000A"/>
      <w:sz w:val="24"/>
      <w:szCs w:val="24"/>
      <w:lang w:val="pt-BR" w:eastAsia="zh-CN" w:bidi="hi-IN"/>
    </w:rPr>
  </w:style>
  <w:style w:type="paragraph" w:styleId="Corpodotexto" w:customStyle="1">
    <w:name w:val="Corpo do texto"/>
    <w:basedOn w:val="Normal1"/>
    <w:qFormat/>
    <w:pPr>
      <w:spacing w:lineRule="auto" w:line="288" w:before="0" w:after="140"/>
    </w:pPr>
    <w:rPr/>
  </w:style>
  <w:style w:type="paragraph" w:styleId="Caption">
    <w:name w:val="caption"/>
    <w:basedOn w:val="Normal1"/>
    <w:qFormat/>
    <w:pPr>
      <w:suppressLineNumbers/>
      <w:spacing w:before="120" w:after="120"/>
    </w:pPr>
    <w:rPr>
      <w:i/>
      <w:iCs/>
    </w:rPr>
  </w:style>
  <w:style w:type="paragraph" w:styleId="Annotationtext">
    <w:name w:val="annotation text"/>
    <w:basedOn w:val="Normal1"/>
    <w:link w:val="TextodecomentrioChar"/>
    <w:uiPriority w:val="99"/>
    <w:semiHidden/>
    <w:unhideWhenUsed/>
    <w:qFormat/>
    <w:pPr>
      <w:spacing w:lineRule="auto" w:line="240"/>
    </w:pPr>
    <w:rPr>
      <w:sz w:val="20"/>
      <w:szCs w:val="20"/>
    </w:rPr>
  </w:style>
  <w:style w:type="paragraph" w:styleId="BalloonText">
    <w:name w:val="Balloon Text"/>
    <w:basedOn w:val="Normal1"/>
    <w:link w:val="TextodebaloChar"/>
    <w:uiPriority w:val="99"/>
    <w:semiHidden/>
    <w:unhideWhenUsed/>
    <w:qFormat/>
    <w:rsid w:val="004c4351"/>
    <w:pPr>
      <w:spacing w:lineRule="auto" w:line="240" w:before="0" w:after="0"/>
    </w:pPr>
    <w:rPr>
      <w:rFonts w:ascii="Segoe UI" w:hAnsi="Segoe UI" w:cs="Segoe UI"/>
      <w:sz w:val="18"/>
      <w:szCs w:val="18"/>
    </w:rPr>
  </w:style>
  <w:style w:type="paragraph" w:styleId="Cabealho">
    <w:name w:val="Cabeçalho"/>
    <w:basedOn w:val="Normal1"/>
    <w:pPr>
      <w:tabs>
        <w:tab w:val="center" w:pos="4252" w:leader="none"/>
        <w:tab w:val="right" w:pos="8504" w:leader="none"/>
      </w:tabs>
    </w:pPr>
    <w:rPr/>
  </w:style>
  <w:style w:type="paragraph" w:styleId="Citaes" w:customStyle="1">
    <w:name w:val="Citações"/>
    <w:basedOn w:val="Normal1"/>
    <w:qFormat/>
    <w:pPr/>
    <w:rPr/>
  </w:style>
  <w:style w:type="paragraph" w:styleId="Subttulo">
    <w:name w:val="Subtítulo"/>
    <w:basedOn w:val="Ttulododocumento"/>
    <w:pPr/>
    <w:rPr/>
  </w:style>
  <w:style w:type="numbering" w:styleId="NoList" w:default="1">
    <w:name w:val="No List"/>
    <w:uiPriority w:val="99"/>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e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Application>LibreOffice/5.0.5.2$Windows_X86_64 LibreOffice_project/55b006a02d247b5f7215fc6ea0fde844b30035b3</Application>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2017-09-13T14:06:00Z</dcterms:created>
  <dc:creator>DANIELA</dc:creator>
  <dc:language>pt</dc:language>
  <cp:lastPrinted>2017-09-13T15:08:09Z</cp:lastPrinted>
  <dcterms:modified xsi:type="dcterms:W3CDTF">2017-10-23T10:38:03Z</dcterms:modified>
  <cp:revision>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