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rPr>
          <w:rFonts w:ascii="Arial" w:hAnsi="Arial" w:cs="Arial"/>
        </w:rPr>
      </w:pPr>
      <w:r>
        <w:rPr>
          <w:rFonts w:cs="Arial"/>
          <w:b/>
          <w:bCs/>
          <w:color w:val="000000" w:themeColor="text1"/>
        </w:rPr>
        <w:t>PLANO DE DESENVOLVIMENTO INSTITUCIONAL – PDI</w:t>
      </w:r>
    </w:p>
    <w:p>
      <w:pPr>
        <w:pStyle w:val="Normal1"/>
        <w:spacing w:lineRule="auto" w:line="360"/>
        <w:jc w:val="center"/>
        <w:rPr>
          <w:rFonts w:ascii="Arial" w:hAnsi="Arial" w:cs="Arial"/>
        </w:rPr>
      </w:pPr>
      <w:r>
        <w:rPr>
          <w:rFonts w:cs="Arial"/>
          <w:b/>
          <w:bCs/>
          <w:color w:val="000000" w:themeColor="text1"/>
        </w:rPr>
        <w:t>2017-2021</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center"/>
        <w:rPr>
          <w:rFonts w:ascii="Arial" w:hAnsi="Arial" w:cs="Arial"/>
          <w:b/>
          <w:b/>
          <w:bCs/>
          <w:color w:val="000000" w:themeColor="text1"/>
        </w:rPr>
      </w:pPr>
      <w:r>
        <w:rPr>
          <w:rFonts w:cs="Arial"/>
          <w:b/>
          <w:bCs/>
          <w:color w:val="000000" w:themeColor="text1"/>
        </w:rPr>
        <w:t>Diamantina</w:t>
      </w:r>
    </w:p>
    <w:p>
      <w:pPr>
        <w:pStyle w:val="Normal1"/>
        <w:spacing w:lineRule="auto" w:line="360"/>
        <w:jc w:val="center"/>
        <w:rPr>
          <w:rFonts w:ascii="Arial" w:hAnsi="Arial" w:cs="Arial"/>
          <w:b/>
          <w:b/>
          <w:bCs/>
          <w:color w:val="000000" w:themeColor="text1"/>
        </w:rPr>
      </w:pPr>
      <w:r>
        <w:rPr>
          <w:rFonts w:cs="Arial"/>
          <w:b/>
          <w:bCs/>
          <w:color w:val="000000" w:themeColor="text1"/>
        </w:rPr>
        <w:t>2017</w:t>
      </w:r>
    </w:p>
    <w:p>
      <w:pPr>
        <w:pStyle w:val="Normal"/>
        <w:jc w:val="center"/>
        <w:rPr>
          <w:rFonts w:ascii="Arial" w:hAnsi="Arial" w:cs="Arial"/>
          <w:b/>
          <w:b/>
          <w:bCs/>
          <w:color w:val="000000" w:themeColor="text1"/>
          <w:sz w:val="24"/>
          <w:szCs w:val="24"/>
        </w:rPr>
      </w:pPr>
      <w:r>
        <w:rPr>
          <w:rFonts w:cs="Arial" w:ascii="Arial" w:hAnsi="Arial"/>
          <w:b/>
          <w:color w:val="000000" w:themeColor="text1"/>
          <w:sz w:val="24"/>
          <w:szCs w:val="24"/>
        </w:rPr>
        <w:t>UNIVERSIDADE FEDERAL DOS VALES DO JEQUITINHONHA E MUCURI</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jc w:val="both"/>
        <w:rPr>
          <w:rFonts w:ascii="Arial" w:hAnsi="Arial" w:cs="Arial"/>
          <w:bCs/>
          <w:color w:val="000000" w:themeColor="text1"/>
        </w:rPr>
      </w:pPr>
      <w:r>
        <w:rPr>
          <w:rFonts w:cs="Arial"/>
          <w:bCs/>
          <w:color w:val="000000" w:themeColor="text1"/>
        </w:rPr>
        <w:t>REITORIA</w:t>
      </w:r>
    </w:p>
    <w:p>
      <w:pPr>
        <w:pStyle w:val="Normal1"/>
        <w:jc w:val="both"/>
        <w:rPr>
          <w:rFonts w:ascii="Arial" w:hAnsi="Arial" w:cs="Arial"/>
          <w:bCs/>
          <w:color w:val="000000" w:themeColor="text1"/>
        </w:rPr>
      </w:pPr>
      <w:r>
        <w:rPr>
          <w:rFonts w:cs="Arial"/>
          <w:bCs/>
          <w:color w:val="000000" w:themeColor="text1"/>
        </w:rPr>
        <w:t>Reitor</w:t>
      </w:r>
    </w:p>
    <w:p>
      <w:pPr>
        <w:pStyle w:val="Normal1"/>
        <w:jc w:val="both"/>
        <w:rPr>
          <w:rFonts w:ascii="Arial" w:hAnsi="Arial" w:cs="Arial"/>
          <w:bCs/>
          <w:color w:val="000000" w:themeColor="text1"/>
        </w:rPr>
      </w:pPr>
      <w:r>
        <w:rPr>
          <w:rFonts w:cs="Arial"/>
          <w:bCs/>
          <w:color w:val="000000" w:themeColor="text1"/>
        </w:rPr>
        <w:t xml:space="preserve">Gilciano Saraiva Nogueira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Vice-Reitor</w:t>
      </w:r>
    </w:p>
    <w:p>
      <w:pPr>
        <w:pStyle w:val="Normal1"/>
        <w:jc w:val="both"/>
        <w:rPr>
          <w:rFonts w:ascii="Arial" w:hAnsi="Arial" w:cs="Arial"/>
          <w:bCs/>
          <w:color w:val="000000" w:themeColor="text1"/>
        </w:rPr>
      </w:pPr>
      <w:r>
        <w:rPr>
          <w:rFonts w:cs="Arial"/>
          <w:bCs/>
          <w:color w:val="000000" w:themeColor="text1"/>
        </w:rPr>
        <w:t xml:space="preserve">Cláudio Eduardo Rodrigues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 xml:space="preserve">Chefe de Gabinete da Reitoria </w:t>
      </w:r>
    </w:p>
    <w:p>
      <w:pPr>
        <w:pStyle w:val="Normal1"/>
        <w:jc w:val="both"/>
        <w:rPr>
          <w:rFonts w:ascii="Arial" w:hAnsi="Arial" w:cs="Arial"/>
          <w:bCs/>
          <w:color w:val="000000" w:themeColor="text1"/>
        </w:rPr>
      </w:pPr>
      <w:r>
        <w:rPr>
          <w:rFonts w:cs="Arial"/>
          <w:bCs/>
          <w:color w:val="000000" w:themeColor="text1"/>
        </w:rPr>
        <w:t xml:space="preserve">Fernando Borges Ramos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CENTRO DE INOVAÇÃO TECNOLOGICA</w:t>
      </w:r>
    </w:p>
    <w:p>
      <w:pPr>
        <w:pStyle w:val="Normal1"/>
        <w:jc w:val="both"/>
        <w:rPr>
          <w:rFonts w:ascii="Arial" w:hAnsi="Arial" w:cs="Arial"/>
          <w:bCs/>
          <w:color w:val="000000" w:themeColor="text1"/>
        </w:rPr>
      </w:pPr>
      <w:r>
        <w:rPr>
          <w:rFonts w:cs="Arial"/>
          <w:bCs/>
          <w:color w:val="000000" w:themeColor="text1"/>
        </w:rPr>
        <w:t xml:space="preserve">Diretor </w:t>
      </w:r>
    </w:p>
    <w:p>
      <w:pPr>
        <w:pStyle w:val="Normal1"/>
        <w:jc w:val="both"/>
        <w:rPr>
          <w:rFonts w:ascii="Arial" w:hAnsi="Arial" w:cs="Arial"/>
          <w:bCs/>
          <w:color w:val="000000" w:themeColor="text1"/>
        </w:rPr>
      </w:pPr>
      <w:r>
        <w:rPr>
          <w:rFonts w:cs="Arial"/>
          <w:bCs/>
          <w:color w:val="000000" w:themeColor="text1"/>
        </w:rPr>
        <w:t>Juan Pedro Bretas Roa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ASSESSORIA DE ASSUNTOS ESTRATÉGICOS E INSTITUCIONAIS</w:t>
      </w:r>
    </w:p>
    <w:p>
      <w:pPr>
        <w:pStyle w:val="Normal1"/>
        <w:jc w:val="both"/>
        <w:rPr>
          <w:rFonts w:ascii="Arial" w:hAnsi="Arial" w:cs="Arial"/>
          <w:bCs/>
          <w:color w:val="000000" w:themeColor="text1"/>
        </w:rPr>
      </w:pPr>
      <w:r>
        <w:rPr>
          <w:rFonts w:cs="Arial"/>
          <w:bCs/>
          <w:color w:val="000000" w:themeColor="text1"/>
        </w:rPr>
        <w:t xml:space="preserve">Assessor </w:t>
      </w:r>
    </w:p>
    <w:p>
      <w:pPr>
        <w:pStyle w:val="Normal1"/>
        <w:jc w:val="both"/>
        <w:rPr>
          <w:rFonts w:ascii="Arial" w:hAnsi="Arial" w:cs="Arial"/>
          <w:bCs/>
          <w:color w:val="000000" w:themeColor="text1"/>
        </w:rPr>
      </w:pPr>
      <w:r>
        <w:rPr>
          <w:rFonts w:cs="Arial"/>
          <w:bCs/>
          <w:color w:val="000000" w:themeColor="text1"/>
        </w:rPr>
        <w:t>Cássio de Jesus Cardoso</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ASSESSORIA DE MEIO AMBIENTE</w:t>
      </w:r>
    </w:p>
    <w:p>
      <w:pPr>
        <w:pStyle w:val="Normal1"/>
        <w:jc w:val="both"/>
        <w:rPr>
          <w:rFonts w:ascii="Arial" w:hAnsi="Arial" w:cs="Arial"/>
          <w:bCs/>
          <w:color w:val="000000" w:themeColor="text1"/>
        </w:rPr>
      </w:pPr>
      <w:r>
        <w:rPr>
          <w:rFonts w:cs="Arial"/>
          <w:bCs/>
          <w:color w:val="000000" w:themeColor="text1"/>
        </w:rPr>
        <w:t>Assessor</w:t>
      </w:r>
    </w:p>
    <w:p>
      <w:pPr>
        <w:pStyle w:val="Normal1"/>
        <w:jc w:val="both"/>
        <w:rPr>
          <w:rFonts w:ascii="Arial" w:hAnsi="Arial" w:cs="Arial"/>
          <w:bCs/>
          <w:color w:val="000000" w:themeColor="text1"/>
        </w:rPr>
      </w:pPr>
      <w:r>
        <w:rPr>
          <w:rFonts w:cs="Arial"/>
          <w:bCs/>
          <w:color w:val="000000" w:themeColor="text1"/>
        </w:rPr>
        <w:t>Ângelo Márcio Pinto Leite</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DIRETORIA DE RELAÇÕES INTERNACIONAIS</w:t>
      </w:r>
    </w:p>
    <w:p>
      <w:pPr>
        <w:pStyle w:val="Normal1"/>
        <w:jc w:val="both"/>
        <w:rPr>
          <w:rFonts w:ascii="Arial" w:hAnsi="Arial" w:cs="Arial"/>
          <w:bCs/>
          <w:color w:val="000000" w:themeColor="text1"/>
        </w:rPr>
      </w:pPr>
      <w:r>
        <w:rPr>
          <w:rFonts w:cs="Arial"/>
          <w:bCs/>
          <w:color w:val="000000" w:themeColor="text1"/>
        </w:rPr>
        <w:t>Diretora</w:t>
      </w:r>
    </w:p>
    <w:p>
      <w:pPr>
        <w:pStyle w:val="Normal1"/>
        <w:jc w:val="both"/>
        <w:rPr>
          <w:rFonts w:ascii="Arial" w:hAnsi="Arial" w:cs="Arial"/>
          <w:bCs/>
          <w:color w:val="000000" w:themeColor="text1"/>
        </w:rPr>
      </w:pPr>
      <w:r>
        <w:rPr>
          <w:rFonts w:cs="Arial"/>
          <w:bCs/>
          <w:color w:val="000000" w:themeColor="text1"/>
        </w:rPr>
        <w:t>Orlanda Mabel Cordini de Rosa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DIRETORIA DE COMUNICAÇÃO SOCIAL</w:t>
      </w:r>
    </w:p>
    <w:p>
      <w:pPr>
        <w:pStyle w:val="Normal1"/>
        <w:jc w:val="both"/>
        <w:rPr>
          <w:rFonts w:ascii="Arial" w:hAnsi="Arial" w:cs="Arial"/>
          <w:bCs/>
          <w:color w:val="000000" w:themeColor="text1"/>
        </w:rPr>
      </w:pPr>
      <w:r>
        <w:rPr>
          <w:rFonts w:cs="Arial"/>
          <w:bCs/>
          <w:color w:val="000000" w:themeColor="text1"/>
        </w:rPr>
        <w:t xml:space="preserve">Diretora </w:t>
      </w:r>
    </w:p>
    <w:p>
      <w:pPr>
        <w:pStyle w:val="Normal1"/>
        <w:jc w:val="both"/>
        <w:rPr>
          <w:rFonts w:ascii="Arial" w:hAnsi="Arial" w:cs="Arial"/>
          <w:bCs/>
          <w:color w:val="000000" w:themeColor="text1"/>
        </w:rPr>
      </w:pPr>
      <w:r>
        <w:rPr>
          <w:rFonts w:cs="Arial"/>
          <w:bCs/>
          <w:color w:val="000000" w:themeColor="text1"/>
        </w:rPr>
        <w:t xml:space="preserve">Amanda Thomaz Monteiro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DIRETORIA DE EDUCAÇÃO A DISTÂNCIA</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Everton Luiz de Paula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DIRETORIA DE ENSINO PESQUISA E EXTENSÃO DOS HOSPITAIS CONVENIADOS</w:t>
      </w:r>
    </w:p>
    <w:p>
      <w:pPr>
        <w:pStyle w:val="Normal1"/>
        <w:jc w:val="both"/>
        <w:rPr>
          <w:rFonts w:ascii="Arial" w:hAnsi="Arial" w:cs="Arial"/>
          <w:bCs/>
          <w:color w:val="000000" w:themeColor="text1"/>
        </w:rPr>
      </w:pPr>
      <w:r>
        <w:rPr>
          <w:rFonts w:cs="Arial"/>
          <w:bCs/>
          <w:color w:val="000000" w:themeColor="text1"/>
        </w:rPr>
        <w:t xml:space="preserve">Diretor </w:t>
      </w:r>
    </w:p>
    <w:p>
      <w:pPr>
        <w:pStyle w:val="Normal1"/>
        <w:jc w:val="both"/>
        <w:rPr>
          <w:rFonts w:ascii="Arial" w:hAnsi="Arial" w:cs="Arial"/>
          <w:bCs/>
          <w:color w:val="000000" w:themeColor="text1"/>
        </w:rPr>
      </w:pPr>
      <w:r>
        <w:rPr>
          <w:rFonts w:cs="Arial"/>
          <w:bCs/>
          <w:color w:val="000000" w:themeColor="text1"/>
        </w:rPr>
        <w:t>Janir Alves Soares</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DIRETORIA DE TECNOLOGIA DA INFORMAÇÃO</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Elton Pereira Rosa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PRÓ-REITORIA DE ADMINISTRAÇÃO</w:t>
      </w:r>
    </w:p>
    <w:p>
      <w:pPr>
        <w:pStyle w:val="Normal1"/>
        <w:jc w:val="both"/>
        <w:rPr>
          <w:rFonts w:ascii="Arial" w:hAnsi="Arial" w:cs="Arial"/>
          <w:bCs/>
          <w:color w:val="000000" w:themeColor="text1"/>
        </w:rPr>
      </w:pPr>
      <w:r>
        <w:rPr>
          <w:rFonts w:cs="Arial"/>
          <w:bCs/>
          <w:color w:val="000000" w:themeColor="text1"/>
        </w:rPr>
        <w:t>Pró-Reitor</w:t>
      </w:r>
    </w:p>
    <w:p>
      <w:pPr>
        <w:pStyle w:val="Normal1"/>
        <w:jc w:val="both"/>
        <w:rPr>
          <w:rFonts w:ascii="Arial" w:hAnsi="Arial" w:cs="Arial"/>
          <w:bCs/>
          <w:color w:val="000000" w:themeColor="text1"/>
        </w:rPr>
      </w:pPr>
      <w:r>
        <w:rPr>
          <w:rFonts w:cs="Arial"/>
          <w:bCs/>
          <w:color w:val="000000" w:themeColor="text1"/>
        </w:rPr>
        <w:t>Fernando Costa Archanjo</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PRÓ-REITORIA DE ASSUNTOS COMUNITÁRIOS E ESTUDANTIS</w:t>
      </w:r>
    </w:p>
    <w:p>
      <w:pPr>
        <w:pStyle w:val="Normal1"/>
        <w:jc w:val="both"/>
        <w:rPr>
          <w:rFonts w:ascii="Arial" w:hAnsi="Arial" w:cs="Arial"/>
          <w:bCs/>
          <w:color w:val="000000" w:themeColor="text1"/>
        </w:rPr>
      </w:pPr>
      <w:r>
        <w:rPr>
          <w:rFonts w:cs="Arial"/>
          <w:bCs/>
          <w:color w:val="000000" w:themeColor="text1"/>
        </w:rPr>
        <w:t>Pró-Reitor</w:t>
      </w:r>
    </w:p>
    <w:p>
      <w:pPr>
        <w:pStyle w:val="Normal1"/>
        <w:jc w:val="both"/>
        <w:rPr>
          <w:rFonts w:ascii="Arial" w:hAnsi="Arial" w:cs="Arial"/>
          <w:bCs/>
          <w:color w:val="000000" w:themeColor="text1"/>
        </w:rPr>
      </w:pPr>
      <w:r>
        <w:rPr>
          <w:rFonts w:cs="Arial"/>
          <w:bCs/>
          <w:color w:val="000000" w:themeColor="text1"/>
        </w:rPr>
        <w:t>Paulo Henrique Fidêncio</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PRÓ-REITORIA DE EXTENSÃO E CULTURA</w:t>
      </w:r>
    </w:p>
    <w:p>
      <w:pPr>
        <w:pStyle w:val="Normal1"/>
        <w:jc w:val="both"/>
        <w:rPr>
          <w:rFonts w:ascii="Arial" w:hAnsi="Arial" w:cs="Arial"/>
          <w:bCs/>
          <w:color w:val="000000" w:themeColor="text1"/>
        </w:rPr>
      </w:pPr>
      <w:r>
        <w:rPr>
          <w:rFonts w:cs="Arial"/>
          <w:bCs/>
          <w:color w:val="000000" w:themeColor="text1"/>
        </w:rPr>
        <w:t>Pró-Reitor</w:t>
      </w:r>
    </w:p>
    <w:p>
      <w:pPr>
        <w:pStyle w:val="Normal1"/>
        <w:jc w:val="both"/>
        <w:rPr>
          <w:rFonts w:ascii="Arial" w:hAnsi="Arial" w:cs="Arial"/>
          <w:bCs/>
          <w:color w:val="000000" w:themeColor="text1"/>
        </w:rPr>
      </w:pPr>
      <w:r>
        <w:rPr>
          <w:rFonts w:cs="Arial"/>
          <w:bCs/>
          <w:color w:val="000000" w:themeColor="text1"/>
        </w:rPr>
        <w:t>Joerley Moreira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PRÓ-REITORIA DE GESTÃO DE PESSOAS – PROGEP</w:t>
      </w:r>
    </w:p>
    <w:p>
      <w:pPr>
        <w:pStyle w:val="Normal1"/>
        <w:jc w:val="both"/>
        <w:rPr>
          <w:rFonts w:ascii="Arial" w:hAnsi="Arial" w:cs="Arial"/>
          <w:bCs/>
          <w:color w:val="000000" w:themeColor="text1"/>
        </w:rPr>
      </w:pPr>
      <w:r>
        <w:rPr>
          <w:rFonts w:cs="Arial"/>
          <w:bCs/>
          <w:color w:val="000000" w:themeColor="text1"/>
        </w:rPr>
        <w:t>Pró-Reitora</w:t>
      </w:r>
    </w:p>
    <w:p>
      <w:pPr>
        <w:pStyle w:val="Normal1"/>
        <w:jc w:val="both"/>
        <w:rPr>
          <w:rFonts w:ascii="Arial" w:hAnsi="Arial" w:cs="Arial"/>
          <w:bCs/>
          <w:color w:val="000000" w:themeColor="text1"/>
        </w:rPr>
      </w:pPr>
      <w:r>
        <w:rPr>
          <w:rFonts w:cs="Arial"/>
          <w:bCs/>
          <w:color w:val="000000" w:themeColor="text1"/>
        </w:rPr>
        <w:t>Rosângela Borborema Rodrigues</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PRÓ-REITORIA DE GRADUAÇÃO</w:t>
      </w:r>
    </w:p>
    <w:p>
      <w:pPr>
        <w:pStyle w:val="Normal1"/>
        <w:jc w:val="both"/>
        <w:rPr>
          <w:rFonts w:ascii="Arial" w:hAnsi="Arial" w:cs="Arial"/>
          <w:bCs/>
          <w:color w:val="000000" w:themeColor="text1"/>
        </w:rPr>
      </w:pPr>
      <w:r>
        <w:rPr>
          <w:rFonts w:cs="Arial"/>
          <w:bCs/>
          <w:color w:val="000000" w:themeColor="text1"/>
        </w:rPr>
        <w:t>Pró-Reitora</w:t>
      </w:r>
    </w:p>
    <w:p>
      <w:pPr>
        <w:pStyle w:val="Normal1"/>
        <w:jc w:val="both"/>
        <w:rPr>
          <w:rFonts w:ascii="Arial" w:hAnsi="Arial" w:cs="Arial"/>
          <w:bCs/>
          <w:color w:val="000000" w:themeColor="text1"/>
        </w:rPr>
      </w:pPr>
      <w:r>
        <w:rPr>
          <w:rFonts w:cs="Arial"/>
          <w:bCs/>
          <w:color w:val="000000" w:themeColor="text1"/>
        </w:rPr>
        <w:t>Leida Calegário de Oliveira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PRÓ-REITORIA DE PESQUISA E PÓS-GRADUAÇÃO</w:t>
      </w:r>
    </w:p>
    <w:p>
      <w:pPr>
        <w:pStyle w:val="Normal1"/>
        <w:jc w:val="both"/>
        <w:rPr>
          <w:rFonts w:ascii="Arial" w:hAnsi="Arial" w:cs="Arial"/>
          <w:bCs/>
          <w:color w:val="000000" w:themeColor="text1"/>
        </w:rPr>
      </w:pPr>
      <w:r>
        <w:rPr>
          <w:rFonts w:cs="Arial"/>
          <w:bCs/>
          <w:color w:val="000000" w:themeColor="text1"/>
        </w:rPr>
        <w:t>Pró-Reitor</w:t>
      </w:r>
    </w:p>
    <w:p>
      <w:pPr>
        <w:pStyle w:val="Normal1"/>
        <w:jc w:val="both"/>
        <w:rPr>
          <w:rFonts w:ascii="Arial" w:hAnsi="Arial" w:cs="Arial"/>
          <w:bCs/>
          <w:color w:val="000000" w:themeColor="text1"/>
        </w:rPr>
      </w:pPr>
      <w:r>
        <w:rPr>
          <w:rFonts w:cs="Arial"/>
          <w:bCs/>
          <w:color w:val="000000" w:themeColor="text1"/>
        </w:rPr>
        <w:t>Leandro Silva Marques</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PRÓ-REITORIA DE PLANEJAMENTO E ORÇAMENTO</w:t>
      </w:r>
    </w:p>
    <w:p>
      <w:pPr>
        <w:pStyle w:val="Normal1"/>
        <w:jc w:val="both"/>
        <w:rPr>
          <w:rFonts w:ascii="Arial" w:hAnsi="Arial" w:cs="Arial"/>
          <w:bCs/>
          <w:color w:val="000000" w:themeColor="text1"/>
        </w:rPr>
      </w:pPr>
      <w:r>
        <w:rPr>
          <w:rFonts w:cs="Arial"/>
          <w:bCs/>
          <w:color w:val="000000" w:themeColor="text1"/>
        </w:rPr>
        <w:t>Pró-Reitor</w:t>
      </w:r>
    </w:p>
    <w:p>
      <w:pPr>
        <w:pStyle w:val="Normal1"/>
        <w:jc w:val="both"/>
        <w:rPr>
          <w:rFonts w:ascii="Arial" w:hAnsi="Arial" w:cs="Arial"/>
          <w:bCs/>
          <w:color w:val="000000" w:themeColor="text1"/>
        </w:rPr>
      </w:pPr>
      <w:r>
        <w:rPr>
          <w:rFonts w:cs="Arial"/>
          <w:bCs/>
          <w:color w:val="000000" w:themeColor="text1"/>
        </w:rPr>
        <w:t>José Geraldo das Graças</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SUPERINTENDÊNCIA DE BIBLIOTECA</w:t>
      </w:r>
    </w:p>
    <w:p>
      <w:pPr>
        <w:pStyle w:val="Normal1"/>
        <w:jc w:val="both"/>
        <w:rPr>
          <w:rFonts w:ascii="Arial" w:hAnsi="Arial" w:cs="Arial"/>
          <w:bCs/>
          <w:color w:val="000000" w:themeColor="text1"/>
        </w:rPr>
      </w:pPr>
      <w:r>
        <w:rPr>
          <w:rFonts w:cs="Arial"/>
          <w:bCs/>
          <w:color w:val="000000" w:themeColor="text1"/>
        </w:rPr>
        <w:t>Superintendente</w:t>
      </w:r>
    </w:p>
    <w:p>
      <w:pPr>
        <w:pStyle w:val="Normal1"/>
        <w:jc w:val="both"/>
        <w:rPr>
          <w:rFonts w:ascii="Arial" w:hAnsi="Arial" w:cs="Arial"/>
          <w:bCs/>
          <w:color w:val="000000" w:themeColor="text1"/>
        </w:rPr>
      </w:pPr>
      <w:r>
        <w:rPr>
          <w:rFonts w:cs="Arial"/>
          <w:bCs/>
          <w:color w:val="000000" w:themeColor="text1"/>
        </w:rPr>
        <w:t>Viviane Pedrosa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FACULDADE DE CIÊNCIAS AGRÁRIAS–FCA</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Wellington Willian Rocha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FACULDADE DE CIÊNCIAS BIOLÓGICAS E DA SAÚDE - FCBS</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Cláudio Heitor Baltazar</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FACULDADE DE CIÊNCIAS EXATAS FACET</w:t>
      </w:r>
    </w:p>
    <w:p>
      <w:pPr>
        <w:pStyle w:val="Normal1"/>
        <w:jc w:val="both"/>
        <w:rPr>
          <w:rFonts w:ascii="Arial" w:hAnsi="Arial" w:cs="Arial"/>
          <w:bCs/>
          <w:color w:val="000000" w:themeColor="text1"/>
        </w:rPr>
      </w:pPr>
      <w:r>
        <w:rPr>
          <w:rFonts w:cs="Arial"/>
          <w:bCs/>
          <w:color w:val="000000" w:themeColor="text1"/>
        </w:rPr>
        <w:t>Diretora</w:t>
      </w:r>
    </w:p>
    <w:p>
      <w:pPr>
        <w:pStyle w:val="Normal1"/>
        <w:jc w:val="both"/>
        <w:rPr>
          <w:rFonts w:ascii="Arial" w:hAnsi="Arial" w:cs="Arial"/>
          <w:bCs/>
          <w:color w:val="000000" w:themeColor="text1"/>
        </w:rPr>
      </w:pPr>
      <w:r>
        <w:rPr>
          <w:rFonts w:cs="Arial"/>
          <w:bCs/>
          <w:color w:val="000000" w:themeColor="text1"/>
        </w:rPr>
        <w:t>Josiane Magalhães Teixeira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FACULDADE INTERDISCIPLINAR EM HUMANIDADES - FIH</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Lúcio do Carmo Moura</w:t>
      </w:r>
    </w:p>
    <w:p>
      <w:pPr>
        <w:pStyle w:val="Normal1"/>
        <w:jc w:val="both"/>
        <w:rPr>
          <w:rFonts w:ascii="Arial" w:hAnsi="Arial" w:cs="Arial"/>
          <w:bCs/>
          <w:color w:val="000000" w:themeColor="text1"/>
        </w:rPr>
      </w:pPr>
      <w:r>
        <w:rPr>
          <w:rFonts w:cs="Arial"/>
          <w:bCs/>
          <w:color w:val="000000" w:themeColor="text1"/>
        </w:rPr>
        <w:t>FACULDADE DE MEDICINA</w:t>
      </w:r>
    </w:p>
    <w:p>
      <w:pPr>
        <w:pStyle w:val="Normal1"/>
        <w:jc w:val="both"/>
        <w:rPr>
          <w:rFonts w:ascii="Arial" w:hAnsi="Arial" w:cs="Arial"/>
          <w:bCs/>
          <w:color w:val="000000" w:themeColor="text1"/>
        </w:rPr>
      </w:pPr>
      <w:r>
        <w:rPr>
          <w:rFonts w:cs="Arial"/>
          <w:bCs/>
          <w:color w:val="000000" w:themeColor="text1"/>
        </w:rPr>
        <w:t>Diretora</w:t>
      </w:r>
    </w:p>
    <w:p>
      <w:pPr>
        <w:pStyle w:val="Normal1"/>
        <w:jc w:val="both"/>
        <w:rPr>
          <w:rFonts w:ascii="Arial" w:hAnsi="Arial" w:cs="Arial"/>
          <w:bCs/>
          <w:color w:val="000000" w:themeColor="text1"/>
        </w:rPr>
      </w:pPr>
      <w:r>
        <w:rPr>
          <w:rFonts w:cs="Arial"/>
          <w:bCs/>
          <w:color w:val="000000" w:themeColor="text1"/>
        </w:rPr>
        <w:t xml:space="preserve">Cynthia Fernandes Ferreira Santos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INSTITUTO DE CIÊNCIA E TECNOLOGIA - ICT</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Lucas Franco Ferreira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FACULDADE DE CIÊNCIAS SOCIAIS APLICADAS E EXATAS – FACSAE</w:t>
      </w:r>
    </w:p>
    <w:p>
      <w:pPr>
        <w:pStyle w:val="Normal1"/>
        <w:jc w:val="both"/>
        <w:rPr>
          <w:rFonts w:ascii="Arial" w:hAnsi="Arial" w:cs="Arial"/>
          <w:bCs/>
          <w:color w:val="000000" w:themeColor="text1"/>
        </w:rPr>
      </w:pPr>
      <w:r>
        <w:rPr>
          <w:rFonts w:cs="Arial"/>
          <w:bCs/>
          <w:color w:val="000000" w:themeColor="text1"/>
        </w:rPr>
        <w:t>Diretora</w:t>
      </w:r>
    </w:p>
    <w:p>
      <w:pPr>
        <w:pStyle w:val="Normal1"/>
        <w:jc w:val="both"/>
        <w:rPr>
          <w:rFonts w:ascii="Arial" w:hAnsi="Arial" w:cs="Arial"/>
          <w:bCs/>
          <w:color w:val="000000" w:themeColor="text1"/>
        </w:rPr>
      </w:pPr>
      <w:r>
        <w:rPr>
          <w:rFonts w:cs="Arial"/>
          <w:bCs/>
          <w:color w:val="000000" w:themeColor="text1"/>
        </w:rPr>
        <w:t xml:space="preserve">Ivana Carneiro Almeida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FACULDADE DE MEDICINA – FAMMUC</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 xml:space="preserve">Patrick Wander Endlich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INSTITUTO DE CIÊNCIAS ENGENHARIA E TECNOLOGIA - ICET</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 xml:space="preserve">Carlos Henrique Alexandrino </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INSTITUTO DE ENGENHARIA, CIÊNCIA E TECNOLOGIA – IECT</w:t>
      </w:r>
    </w:p>
    <w:p>
      <w:pPr>
        <w:pStyle w:val="Normal1"/>
        <w:jc w:val="both"/>
        <w:rPr>
          <w:rFonts w:ascii="Arial" w:hAnsi="Arial" w:cs="Arial"/>
          <w:bCs/>
          <w:color w:val="000000" w:themeColor="text1"/>
        </w:rPr>
      </w:pPr>
      <w:r>
        <w:rPr>
          <w:rFonts w:cs="Arial"/>
          <w:bCs/>
          <w:color w:val="000000" w:themeColor="text1"/>
        </w:rPr>
        <w:t>Diretora</w:t>
      </w:r>
    </w:p>
    <w:p>
      <w:pPr>
        <w:pStyle w:val="Normal1"/>
        <w:jc w:val="both"/>
        <w:rPr>
          <w:rFonts w:ascii="Arial" w:hAnsi="Arial" w:cs="Arial"/>
          <w:bCs/>
          <w:color w:val="000000" w:themeColor="text1"/>
        </w:rPr>
      </w:pPr>
      <w:r>
        <w:rPr>
          <w:rFonts w:cs="Arial"/>
          <w:bCs/>
          <w:color w:val="000000" w:themeColor="text1"/>
        </w:rPr>
        <w:t>Renata de Oliveira Gama</w:t>
      </w:r>
    </w:p>
    <w:p>
      <w:pPr>
        <w:pStyle w:val="Normal1"/>
        <w:jc w:val="both"/>
        <w:rPr>
          <w:rFonts w:ascii="Arial" w:hAnsi="Arial" w:cs="Arial"/>
          <w:bCs/>
          <w:color w:val="000000" w:themeColor="text1"/>
        </w:rPr>
      </w:pPr>
      <w:r>
        <w:rPr>
          <w:rFonts w:cs="Arial"/>
          <w:bCs/>
          <w:color w:val="000000" w:themeColor="text1"/>
        </w:rPr>
      </w:r>
    </w:p>
    <w:p>
      <w:pPr>
        <w:pStyle w:val="Normal1"/>
        <w:jc w:val="both"/>
        <w:rPr>
          <w:rFonts w:ascii="Arial" w:hAnsi="Arial" w:cs="Arial"/>
          <w:bCs/>
          <w:color w:val="000000" w:themeColor="text1"/>
        </w:rPr>
      </w:pPr>
      <w:r>
        <w:rPr>
          <w:rFonts w:cs="Arial"/>
          <w:bCs/>
          <w:color w:val="000000" w:themeColor="text1"/>
        </w:rPr>
        <w:t>INSTITUTO DE CIÊNCIAS AGRÁRIAS – ICA</w:t>
      </w:r>
    </w:p>
    <w:p>
      <w:pPr>
        <w:pStyle w:val="Normal1"/>
        <w:jc w:val="both"/>
        <w:rPr>
          <w:rFonts w:ascii="Arial" w:hAnsi="Arial" w:cs="Arial"/>
          <w:bCs/>
          <w:color w:val="000000" w:themeColor="text1"/>
        </w:rPr>
      </w:pPr>
      <w:r>
        <w:rPr>
          <w:rFonts w:cs="Arial"/>
          <w:bCs/>
          <w:color w:val="000000" w:themeColor="text1"/>
        </w:rPr>
        <w:t>Diretor</w:t>
      </w:r>
    </w:p>
    <w:p>
      <w:pPr>
        <w:pStyle w:val="Normal1"/>
        <w:jc w:val="both"/>
        <w:rPr>
          <w:rFonts w:ascii="Arial" w:hAnsi="Arial" w:cs="Arial"/>
          <w:bCs/>
          <w:color w:val="000000" w:themeColor="text1"/>
        </w:rPr>
      </w:pPr>
      <w:r>
        <w:rPr>
          <w:rFonts w:cs="Arial"/>
          <w:bCs/>
          <w:color w:val="000000" w:themeColor="text1"/>
        </w:rPr>
        <w:t>Saulo Alberto do Carmo Araújo</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
        <w:rPr>
          <w:rFonts w:ascii="Arial" w:hAnsi="Arial" w:eastAsia="Times New Roman" w:cs="Arial"/>
          <w:b/>
          <w:b/>
          <w:bCs/>
          <w:color w:val="000000" w:themeColor="text1"/>
          <w:sz w:val="24"/>
          <w:szCs w:val="24"/>
          <w:lang w:eastAsia="zh-CN"/>
        </w:rPr>
      </w:pPr>
      <w:r>
        <w:rPr>
          <w:rFonts w:eastAsia="Times New Roman" w:cs="Arial" w:ascii="Arial" w:hAnsi="Arial"/>
          <w:b/>
          <w:bCs/>
          <w:color w:val="000000" w:themeColor="text1"/>
          <w:sz w:val="24"/>
          <w:szCs w:val="24"/>
          <w:lang w:eastAsia="zh-CN"/>
        </w:rPr>
      </w:r>
      <w:r>
        <w:br w:type="page"/>
      </w:r>
    </w:p>
    <w:p>
      <w:pPr>
        <w:pStyle w:val="Normal1"/>
        <w:spacing w:lineRule="auto" w:line="360"/>
        <w:jc w:val="center"/>
        <w:rPr>
          <w:rFonts w:ascii="Arial" w:hAnsi="Arial" w:cs="Arial"/>
          <w:b/>
          <w:b/>
          <w:bCs/>
          <w:color w:val="000000" w:themeColor="text1"/>
        </w:rPr>
      </w:pPr>
      <w:r>
        <w:rPr>
          <w:rFonts w:cs="Arial"/>
          <w:b/>
          <w:bCs/>
          <w:color w:val="000000" w:themeColor="text1"/>
        </w:rPr>
        <w:t>Comissão de Elaboração do PDI</w:t>
      </w:r>
    </w:p>
    <w:p>
      <w:pPr>
        <w:pStyle w:val="Normal1"/>
        <w:spacing w:lineRule="auto" w:line="360"/>
        <w:jc w:val="center"/>
        <w:rPr>
          <w:rFonts w:ascii="Arial" w:hAnsi="Arial" w:cs="Arial"/>
          <w:b/>
          <w:b/>
          <w:bCs/>
          <w:color w:val="000000" w:themeColor="text1"/>
        </w:rPr>
      </w:pPr>
      <w:r>
        <w:rPr>
          <w:rFonts w:cs="Arial"/>
          <w:b/>
          <w:bCs/>
          <w:color w:val="000000" w:themeColor="text1"/>
        </w:rPr>
        <w:t>Portaria n. 2438, 23 de setembro de 2016</w:t>
      </w:r>
    </w:p>
    <w:p>
      <w:pPr>
        <w:pStyle w:val="Normal1"/>
        <w:spacing w:lineRule="auto" w:line="360"/>
        <w:jc w:val="center"/>
        <w:rPr>
          <w:rFonts w:ascii="Arial" w:hAnsi="Arial" w:cs="Arial"/>
          <w:b/>
          <w:b/>
          <w:bCs/>
          <w:color w:val="000000" w:themeColor="text1"/>
          <w:shd w:fill="FFFF00" w:val="clear"/>
        </w:rPr>
      </w:pPr>
      <w:r>
        <w:rPr>
          <w:rFonts w:cs="Arial"/>
          <w:b/>
          <w:bCs/>
          <w:color w:val="000000" w:themeColor="text1"/>
          <w:shd w:fill="FFFF00" w:val="clear"/>
        </w:rPr>
      </w:r>
    </w:p>
    <w:p>
      <w:pPr>
        <w:pStyle w:val="Normal1"/>
        <w:spacing w:lineRule="auto" w:line="360"/>
        <w:jc w:val="center"/>
        <w:rPr>
          <w:rFonts w:ascii="Arial" w:hAnsi="Arial" w:cs="Arial"/>
          <w:bCs/>
          <w:color w:val="000000" w:themeColor="text1"/>
        </w:rPr>
      </w:pPr>
      <w:r>
        <w:rPr>
          <w:rFonts w:cs="Arial"/>
          <w:bCs/>
          <w:color w:val="000000" w:themeColor="text1"/>
        </w:rPr>
        <w:t xml:space="preserve">André Luiz Covre (Presidente) </w:t>
      </w:r>
    </w:p>
    <w:p>
      <w:pPr>
        <w:pStyle w:val="Normal1"/>
        <w:spacing w:lineRule="auto" w:line="360"/>
        <w:jc w:val="center"/>
        <w:rPr>
          <w:rFonts w:ascii="Arial" w:hAnsi="Arial" w:cs="Arial"/>
          <w:bCs/>
          <w:color w:val="000000" w:themeColor="text1"/>
        </w:rPr>
      </w:pPr>
      <w:r>
        <w:rPr>
          <w:rFonts w:cs="Arial"/>
          <w:bCs/>
          <w:color w:val="000000" w:themeColor="text1"/>
        </w:rPr>
        <w:t xml:space="preserve">Alberto Pereira de Souza </w:t>
      </w:r>
    </w:p>
    <w:p>
      <w:pPr>
        <w:pStyle w:val="Normal1"/>
        <w:spacing w:lineRule="auto" w:line="360"/>
        <w:jc w:val="center"/>
        <w:rPr>
          <w:rFonts w:ascii="Arial" w:hAnsi="Arial" w:cs="Arial"/>
          <w:bCs/>
          <w:color w:val="000000" w:themeColor="text1"/>
        </w:rPr>
      </w:pPr>
      <w:r>
        <w:rPr>
          <w:rFonts w:cs="Arial"/>
          <w:bCs/>
          <w:color w:val="000000" w:themeColor="text1"/>
        </w:rPr>
        <w:t>Ana Paula de Figueiredo Conte Vanzela</w:t>
      </w:r>
    </w:p>
    <w:p>
      <w:pPr>
        <w:pStyle w:val="Normal1"/>
        <w:spacing w:lineRule="auto" w:line="360"/>
        <w:jc w:val="center"/>
        <w:rPr>
          <w:rFonts w:ascii="Arial" w:hAnsi="Arial" w:cs="Arial"/>
          <w:bCs/>
          <w:color w:val="000000" w:themeColor="text1"/>
        </w:rPr>
      </w:pPr>
      <w:r>
        <w:rPr>
          <w:rFonts w:cs="Arial"/>
          <w:bCs/>
          <w:color w:val="000000" w:themeColor="text1"/>
        </w:rPr>
        <w:t xml:space="preserve">Anielli Fabiula Gavioli Lemes </w:t>
      </w:r>
    </w:p>
    <w:p>
      <w:pPr>
        <w:pStyle w:val="Normal1"/>
        <w:spacing w:lineRule="auto" w:line="360"/>
        <w:jc w:val="center"/>
        <w:rPr>
          <w:rFonts w:ascii="Arial" w:hAnsi="Arial" w:cs="Arial"/>
          <w:bCs/>
          <w:color w:val="000000" w:themeColor="text1"/>
        </w:rPr>
      </w:pPr>
      <w:r>
        <w:rPr>
          <w:rFonts w:cs="Arial"/>
          <w:bCs/>
          <w:color w:val="000000" w:themeColor="text1"/>
        </w:rPr>
        <w:t xml:space="preserve">Carlos Henrique Silva de Castro </w:t>
      </w:r>
    </w:p>
    <w:p>
      <w:pPr>
        <w:pStyle w:val="Normal1"/>
        <w:spacing w:lineRule="auto" w:line="360"/>
        <w:jc w:val="center"/>
        <w:rPr>
          <w:rFonts w:ascii="Arial" w:hAnsi="Arial" w:cs="Arial"/>
          <w:bCs/>
          <w:color w:val="000000" w:themeColor="text1"/>
        </w:rPr>
      </w:pPr>
      <w:r>
        <w:rPr>
          <w:rFonts w:cs="Arial"/>
          <w:bCs/>
          <w:color w:val="000000" w:themeColor="text1"/>
        </w:rPr>
        <w:t xml:space="preserve">Ednício Oliveira Lima </w:t>
      </w:r>
    </w:p>
    <w:p>
      <w:pPr>
        <w:pStyle w:val="Normal1"/>
        <w:spacing w:lineRule="auto" w:line="360"/>
        <w:jc w:val="center"/>
        <w:rPr>
          <w:rFonts w:ascii="Arial" w:hAnsi="Arial" w:cs="Arial"/>
          <w:bCs/>
          <w:color w:val="000000" w:themeColor="text1"/>
        </w:rPr>
      </w:pPr>
      <w:r>
        <w:rPr>
          <w:rFonts w:cs="Arial"/>
          <w:bCs/>
          <w:color w:val="000000" w:themeColor="text1"/>
        </w:rPr>
        <w:t>Fabiano Kenji Aoki</w:t>
      </w:r>
    </w:p>
    <w:p>
      <w:pPr>
        <w:pStyle w:val="Normal1"/>
        <w:spacing w:lineRule="auto" w:line="360"/>
        <w:jc w:val="center"/>
        <w:rPr>
          <w:rFonts w:ascii="Arial" w:hAnsi="Arial" w:cs="Arial"/>
          <w:bCs/>
          <w:color w:val="000000" w:themeColor="text1"/>
        </w:rPr>
      </w:pPr>
      <w:r>
        <w:rPr>
          <w:rFonts w:cs="Arial"/>
          <w:bCs/>
          <w:color w:val="000000" w:themeColor="text1"/>
        </w:rPr>
        <w:t xml:space="preserve">Fernando Costa Archanjo </w:t>
      </w:r>
    </w:p>
    <w:p>
      <w:pPr>
        <w:pStyle w:val="Normal1"/>
        <w:spacing w:lineRule="auto" w:line="360"/>
        <w:jc w:val="center"/>
        <w:rPr>
          <w:rFonts w:ascii="Arial" w:hAnsi="Arial" w:cs="Arial"/>
          <w:bCs/>
          <w:color w:val="000000" w:themeColor="text1"/>
        </w:rPr>
      </w:pPr>
      <w:r>
        <w:rPr>
          <w:rFonts w:cs="Arial"/>
          <w:bCs/>
          <w:color w:val="000000" w:themeColor="text1"/>
        </w:rPr>
        <w:t xml:space="preserve">Helen Rose de Castro Andrade </w:t>
      </w:r>
    </w:p>
    <w:p>
      <w:pPr>
        <w:pStyle w:val="Normal1"/>
        <w:spacing w:lineRule="auto" w:line="360"/>
        <w:jc w:val="center"/>
        <w:rPr>
          <w:rFonts w:ascii="Arial" w:hAnsi="Arial" w:cs="Arial"/>
          <w:bCs/>
          <w:color w:val="000000" w:themeColor="text1"/>
        </w:rPr>
      </w:pPr>
      <w:r>
        <w:rPr>
          <w:rFonts w:cs="Arial"/>
          <w:bCs/>
          <w:color w:val="000000" w:themeColor="text1"/>
        </w:rPr>
        <w:t xml:space="preserve">Henrique Ferreira Maciel </w:t>
      </w:r>
    </w:p>
    <w:p>
      <w:pPr>
        <w:pStyle w:val="Normal1"/>
        <w:spacing w:lineRule="auto" w:line="360"/>
        <w:jc w:val="center"/>
        <w:rPr>
          <w:rFonts w:ascii="Arial" w:hAnsi="Arial" w:cs="Arial"/>
          <w:bCs/>
          <w:color w:val="000000" w:themeColor="text1"/>
        </w:rPr>
      </w:pPr>
      <w:r>
        <w:rPr>
          <w:rFonts w:cs="Arial"/>
          <w:bCs/>
          <w:color w:val="000000" w:themeColor="text1"/>
        </w:rPr>
        <w:t xml:space="preserve">Paulo Ângelo Oliveira Veloso  </w:t>
      </w:r>
    </w:p>
    <w:p>
      <w:pPr>
        <w:pStyle w:val="Normal1"/>
        <w:spacing w:lineRule="auto" w:line="360"/>
        <w:jc w:val="center"/>
        <w:rPr>
          <w:rFonts w:ascii="Arial" w:hAnsi="Arial" w:cs="Arial"/>
          <w:bCs/>
          <w:color w:val="000000" w:themeColor="text1"/>
        </w:rPr>
      </w:pPr>
      <w:r>
        <w:rPr>
          <w:rFonts w:cs="Arial"/>
          <w:bCs/>
          <w:color w:val="000000" w:themeColor="text1"/>
        </w:rPr>
        <w:t xml:space="preserve">Ricardo de Oliveira Brasil Costa  </w:t>
      </w:r>
    </w:p>
    <w:p>
      <w:pPr>
        <w:pStyle w:val="Normal1"/>
        <w:spacing w:lineRule="auto" w:line="360"/>
        <w:jc w:val="center"/>
        <w:rPr>
          <w:rFonts w:ascii="Arial" w:hAnsi="Arial" w:cs="Arial"/>
          <w:bCs/>
          <w:color w:val="000000" w:themeColor="text1"/>
        </w:rPr>
      </w:pPr>
      <w:r>
        <w:rPr>
          <w:rFonts w:cs="Arial"/>
          <w:bCs/>
          <w:color w:val="000000" w:themeColor="text1"/>
        </w:rPr>
        <w:t xml:space="preserve">Simone de Paula dos Santos </w:t>
      </w:r>
    </w:p>
    <w:p>
      <w:pPr>
        <w:pStyle w:val="Normal1"/>
        <w:spacing w:lineRule="auto" w:line="360"/>
        <w:jc w:val="center"/>
        <w:rPr>
          <w:rFonts w:ascii="Arial" w:hAnsi="Arial" w:cs="Arial"/>
          <w:bCs/>
          <w:color w:val="000000" w:themeColor="text1"/>
        </w:rPr>
      </w:pPr>
      <w:r>
        <w:rPr>
          <w:rFonts w:cs="Arial"/>
          <w:bCs/>
          <w:color w:val="000000" w:themeColor="text1"/>
        </w:rPr>
        <w:t xml:space="preserve">Wallans Torres Pio dos Santos </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center"/>
        <w:rPr>
          <w:rFonts w:ascii="Arial" w:hAnsi="Arial" w:cs="Arial"/>
          <w:b/>
          <w:b/>
          <w:bCs/>
          <w:color w:val="000000" w:themeColor="text1"/>
        </w:rPr>
      </w:pPr>
      <w:r>
        <w:rPr>
          <w:rFonts w:cs="Arial"/>
          <w:b/>
          <w:bCs/>
          <w:color w:val="000000" w:themeColor="text1"/>
        </w:rPr>
        <w:t>Apresentação</w:t>
      </w:r>
    </w:p>
    <w:p>
      <w:pPr>
        <w:pStyle w:val="Normal1"/>
        <w:spacing w:lineRule="auto" w:line="360"/>
        <w:rPr>
          <w:rFonts w:ascii="Arial" w:hAnsi="Arial" w:cs="Arial"/>
          <w:bCs/>
          <w:color w:val="000000" w:themeColor="text1"/>
        </w:rPr>
      </w:pPr>
      <w:r>
        <w:rPr>
          <w:rFonts w:cs="Arial"/>
          <w:bCs/>
          <w:color w:val="000000" w:themeColor="text1"/>
        </w:rPr>
        <w:t>Reitoria</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bCs/>
          <w:color w:val="000000" w:themeColor="text1"/>
        </w:rPr>
      </w:pPr>
      <w:r>
        <w:rPr>
          <w:rFonts w:cs="Arial"/>
          <w:b/>
          <w:bCs/>
          <w:color w:val="000000" w:themeColor="text1"/>
        </w:rPr>
      </w:r>
      <w:r>
        <w:br w:type="page"/>
      </w:r>
    </w:p>
    <w:p>
      <w:pPr>
        <w:pStyle w:val="Normal"/>
        <w:rPr>
          <w:rFonts w:ascii="Arial" w:hAnsi="Arial" w:eastAsia="Times New Roman" w:cs="Arial"/>
          <w:b/>
          <w:b/>
          <w:bCs/>
          <w:color w:val="000000" w:themeColor="text1"/>
          <w:sz w:val="24"/>
          <w:szCs w:val="24"/>
          <w:lang w:eastAsia="zh-CN"/>
        </w:rPr>
      </w:pPr>
      <w:r>
        <w:rPr>
          <w:rFonts w:cs="Arial" w:ascii="Arial" w:hAnsi="Arial"/>
          <w:b/>
          <w:bCs/>
          <w:color w:val="000000" w:themeColor="text1"/>
          <w:sz w:val="24"/>
          <w:szCs w:val="24"/>
        </w:rPr>
        <w:t xml:space="preserve">Nota Explicativa </w:t>
      </w:r>
    </w:p>
    <w:p>
      <w:pPr>
        <w:pStyle w:val="Normal1"/>
        <w:spacing w:lineRule="auto" w:line="360"/>
        <w:rPr>
          <w:rFonts w:ascii="Arial" w:hAnsi="Arial" w:cs="Arial"/>
        </w:rPr>
      </w:pPr>
      <w:r>
        <w:rPr>
          <w:rFonts w:cs="Arial"/>
        </w:rPr>
      </w:r>
    </w:p>
    <w:p>
      <w:pPr>
        <w:pStyle w:val="Normal1"/>
        <w:spacing w:lineRule="auto" w:line="360"/>
        <w:rPr>
          <w:rFonts w:ascii="Arial" w:hAnsi="Arial" w:cs="Arial"/>
        </w:rPr>
      </w:pPr>
      <w:r>
        <w:rPr>
          <w:rFonts w:cs="Arial"/>
        </w:rPr>
      </w:r>
    </w:p>
    <w:p>
      <w:pPr>
        <w:pStyle w:val="Normal1"/>
        <w:spacing w:lineRule="auto" w:line="360"/>
        <w:rPr>
          <w:rFonts w:ascii="Arial" w:hAnsi="Arial" w:cs="Arial"/>
          <w:b/>
          <w:b/>
          <w:bCs/>
          <w:color w:val="000000" w:themeColor="text1"/>
        </w:rPr>
      </w:pPr>
      <w:r>
        <w:rPr>
          <w:rFonts w:cs="Arial"/>
          <w:b/>
          <w:bCs/>
          <w:color w:val="000000" w:themeColor="text1"/>
        </w:rPr>
      </w:r>
      <w:r>
        <w:br w:type="page"/>
      </w:r>
    </w:p>
    <w:p>
      <w:pPr>
        <w:pStyle w:val="Normal1"/>
        <w:spacing w:lineRule="auto" w:line="360"/>
        <w:jc w:val="both"/>
        <w:rPr>
          <w:rFonts w:ascii="Arial" w:hAnsi="Arial" w:cs="Arial"/>
          <w:b/>
          <w:b/>
          <w:bCs/>
          <w:color w:val="000000" w:themeColor="text1"/>
        </w:rPr>
      </w:pPr>
      <w:r>
        <w:rPr>
          <w:rFonts w:cs="Arial"/>
          <w:b/>
          <w:bCs/>
          <w:color w:val="000000" w:themeColor="text1"/>
        </w:rPr>
        <w:t>Sumário</w:t>
      </w:r>
    </w:p>
    <w:p>
      <w:pPr>
        <w:pStyle w:val="Normal1"/>
        <w:spacing w:lineRule="auto" w:line="360"/>
        <w:rPr>
          <w:rFonts w:ascii="Arial" w:hAnsi="Arial" w:cs="Arial"/>
          <w:b/>
          <w:b/>
          <w:bCs/>
          <w:color w:val="000000" w:themeColor="text1"/>
        </w:rPr>
      </w:pPr>
      <w:r>
        <w:rPr>
          <w:rFonts w:cs="Arial"/>
          <w:b/>
          <w:bCs/>
          <w:color w:val="000000" w:themeColor="text1"/>
        </w:rPr>
      </w:r>
      <w:r>
        <w:br w:type="page"/>
      </w:r>
    </w:p>
    <w:p>
      <w:pPr>
        <w:pStyle w:val="NormalWeb"/>
        <w:spacing w:lineRule="auto" w:line="360" w:before="0" w:after="0"/>
        <w:ind w:firstLine="851"/>
        <w:jc w:val="both"/>
        <w:rPr>
          <w:rFonts w:ascii="Arial" w:hAnsi="Arial" w:cs="Arial"/>
          <w:b/>
          <w:b/>
          <w:color w:val="000000" w:themeColor="text1"/>
        </w:rPr>
      </w:pPr>
      <w:r>
        <w:rPr>
          <w:rFonts w:cs="Arial"/>
          <w:b/>
          <w:color w:val="000000" w:themeColor="text1"/>
        </w:rPr>
        <w:t xml:space="preserve">Capítulo 1 - Perfil Institucional </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1"/>
        </w:numPr>
        <w:spacing w:lineRule="auto" w:line="360" w:before="0" w:after="0"/>
        <w:jc w:val="both"/>
        <w:rPr>
          <w:rFonts w:ascii="Arial" w:hAnsi="Arial" w:cs="Arial"/>
          <w:b/>
          <w:b/>
          <w:color w:val="000000" w:themeColor="text1"/>
        </w:rPr>
      </w:pPr>
      <w:r>
        <w:rPr>
          <w:rFonts w:cs="Arial"/>
          <w:b/>
          <w:color w:val="000000" w:themeColor="text1"/>
        </w:rPr>
        <w:t>Finalidades</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Conforme o seu Estatuto, subtítulo III, artigo 5º, a UFVJM tem por finalidades:</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Gerar, desenvolver, disseminar e aplicar o conhecimento por meio do ensino, da pesquisa e da extensão, de forma indissociada entre si e integrados na educação do cidadão, na formação técnico-profissional, na difusão da cultura e na criação filosófica, artística, literária, científica e tecnológica.</w:t>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Estimular a criação cultural, o desenvolvimento do espírito científico e o pensamento reflexivo e crítico.</w:t>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Formar e qualificar continuamente profissionais nas diferentes áreas do conhecimento, aptos para a participação no desenvolvimento da sociedade brasileira, zelando pela sua formação humanista e ética, de modo a contribuir para o pleno exercício da cidadania, a promoção do bem público e a melhoria da qualidade de vida.</w:t>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Incentivar o trabalho de pesquisa e investigação filosófica, artística, literária, científica e tecnológica.</w:t>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Suscitar o desejo permanente de aperfeiçoamento cultural e profissional;</w:t>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Estimular o entendimento e o debate dos problemas do mundo moderno, em particular os regionais e nacionais.</w:t>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Prestar serviços à comunidade e estabelecer com ela uma relação de interatividade, por meio de ações de extensão.</w:t>
      </w:r>
    </w:p>
    <w:p>
      <w:pPr>
        <w:pStyle w:val="NormalWeb"/>
        <w:numPr>
          <w:ilvl w:val="0"/>
          <w:numId w:val="22"/>
        </w:numPr>
        <w:spacing w:lineRule="auto" w:line="360" w:before="0" w:after="0"/>
        <w:jc w:val="both"/>
        <w:rPr>
          <w:rFonts w:ascii="Arial" w:hAnsi="Arial" w:cs="Arial"/>
          <w:color w:val="000000" w:themeColor="text1"/>
        </w:rPr>
      </w:pPr>
      <w:r>
        <w:rPr>
          <w:rFonts w:cs="Arial"/>
          <w:color w:val="000000" w:themeColor="text1"/>
        </w:rPr>
        <w:t>Complementar a formação cultural, intelectual e ética de seu corpo docente, discente e técnico-administrativo.</w:t>
      </w:r>
    </w:p>
    <w:p>
      <w:pPr>
        <w:pStyle w:val="NormalWeb"/>
        <w:numPr>
          <w:ilvl w:val="0"/>
          <w:numId w:val="22"/>
        </w:numPr>
        <w:spacing w:lineRule="auto" w:line="360" w:before="0" w:after="0"/>
        <w:jc w:val="both"/>
        <w:rPr>
          <w:rFonts w:ascii="Arial" w:hAnsi="Arial" w:cs="Arial"/>
          <w:color w:val="000000" w:themeColor="text1"/>
          <w:highlight w:val="lightGray"/>
        </w:rPr>
      </w:pPr>
      <w:r>
        <w:rPr>
          <w:rFonts w:cs="Arial"/>
          <w:color w:val="000000" w:themeColor="text1"/>
          <w:highlight w:val="lightGray"/>
        </w:rPr>
        <w:t>Contribuir para o processo de desenvolvimento dos Vales do Jequitinhonha e Mucuri e do Brasil.</w:t>
      </w:r>
    </w:p>
    <w:p>
      <w:pPr>
        <w:pStyle w:val="NormalWeb"/>
        <w:spacing w:lineRule="auto" w:line="360" w:before="0" w:after="0"/>
        <w:ind w:left="360" w:hanging="0"/>
        <w:jc w:val="both"/>
        <w:rPr>
          <w:rFonts w:ascii="Arial" w:hAnsi="Arial" w:cs="Arial"/>
          <w:color w:val="000000" w:themeColor="text1"/>
        </w:rPr>
      </w:pPr>
      <w:r>
        <w:rPr>
          <w:rFonts w:cs="Arial"/>
          <w:color w:val="000000" w:themeColor="text1"/>
          <w:highlight w:val="cyan"/>
        </w:rPr>
        <w:t>(SOLICITANTE: TAs CAMPUS JANAÚBA)</w:t>
      </w:r>
    </w:p>
    <w:p>
      <w:pPr>
        <w:pStyle w:val="NormalWeb"/>
        <w:numPr>
          <w:ilvl w:val="0"/>
          <w:numId w:val="22"/>
        </w:numPr>
        <w:spacing w:lineRule="auto" w:line="360" w:before="0" w:after="0"/>
        <w:jc w:val="both"/>
        <w:rPr>
          <w:rFonts w:ascii="Arial" w:hAnsi="Arial" w:cs="Arial"/>
          <w:color w:val="0070C0"/>
        </w:rPr>
      </w:pPr>
      <w:r>
        <w:rPr>
          <w:rFonts w:cs="Arial"/>
          <w:color w:val="0070C0"/>
        </w:rPr>
        <w:t>Contribuir para o processo de desenvolvimento da sua região de atuação e do Brasil.</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1"/>
        </w:numPr>
        <w:spacing w:lineRule="auto" w:line="360" w:before="0" w:after="0"/>
        <w:jc w:val="both"/>
        <w:rPr>
          <w:rFonts w:ascii="Arial" w:hAnsi="Arial" w:cs="Arial"/>
          <w:b/>
          <w:b/>
          <w:color w:val="000000" w:themeColor="text1"/>
        </w:rPr>
      </w:pPr>
      <w:r>
        <w:rPr>
          <w:rFonts w:cs="Arial"/>
          <w:b/>
          <w:color w:val="000000" w:themeColor="text1"/>
        </w:rPr>
        <w:t>Missão da UFJVM</w:t>
      </w:r>
    </w:p>
    <w:p>
      <w:pPr>
        <w:pStyle w:val="NormalWeb"/>
        <w:spacing w:lineRule="auto" w:line="360" w:before="0" w:after="0"/>
        <w:ind w:firstLine="851"/>
        <w:jc w:val="both"/>
        <w:rPr>
          <w:rFonts w:ascii="Arial" w:hAnsi="Arial" w:cs="Arial"/>
          <w:b/>
          <w:b/>
          <w:color w:val="000000" w:themeColor="text1"/>
        </w:rPr>
      </w:pPr>
      <w:r>
        <w:rPr>
          <w:rFonts w:cs="Arial"/>
          <w:b/>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Promover o desenvolvimento científico, econômico e sóciocultural da sua região, assegurando o ensino de qualidade em diferentes áreas do conhecimento, respeitando a natureza, inspirado nos ideais da democracia, da liberdade e da solidariedade, visando produzir, integrar e divulgar conhecimento, por meio do ensino, da pesquisa e da extensão, indissociavelmente articulados, contribuindo para a formação de cidadãos comprometidos com a ética, a responsabilidade e o desenvolvimento sustentável da sua região.</w:t>
      </w:r>
    </w:p>
    <w:p>
      <w:pPr>
        <w:pStyle w:val="NormalWeb"/>
        <w:spacing w:lineRule="auto" w:line="360" w:before="0" w:after="0"/>
        <w:ind w:firstLine="851"/>
        <w:jc w:val="both"/>
        <w:rPr>
          <w:rFonts w:ascii="Arial" w:hAnsi="Arial" w:cs="Arial"/>
          <w:color w:val="000000" w:themeColor="text1"/>
        </w:rPr>
      </w:pPr>
      <w:r>
        <w:rPr>
          <w:rFonts w:cs="Arial"/>
          <w:color w:val="000000" w:themeColor="text1"/>
        </w:rPr>
        <w:t> </w:t>
      </w:r>
      <w:r>
        <w:rPr>
          <w:rFonts w:cs="Arial"/>
          <w:color w:val="000000" w:themeColor="text1"/>
        </w:rPr>
        <w:t xml:space="preserve">A universidade procura seu ajustamento às demandas da sociedade que gravita em seu entorno, criando uma base de reflexão sobre o seu perfil organizacional e a sua prática pedagógica. Toda a ação universitária está fundamentada na responsabilidade com o estudo e com a solução dos problemas comunitários, sendo o meio regional o principal foco de suas atividades. A UFVJM surge, então, como componente natural de uma vasta região em desenvolvimento e está pautada em critérios que buscam harmonizar as aspirações sociais com os padrões técnico-acadêmicos. A universidade busca emergir como a concretização do seu ideário de possibilitar igualdade na oferta de oportunidades educacionais. </w:t>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O compromisso principal da instituição é a formação de um profissional crítico, responsável e apto a atuar como agente multiplicador das ações de transformação social. Espera-se, desse modo, suprir a região de profissionais qualificados para o trabalho, preparados para o exercício consciente e pleno da cidadania. </w:t>
      </w:r>
    </w:p>
    <w:p>
      <w:pPr>
        <w:pStyle w:val="NormalWeb"/>
        <w:spacing w:lineRule="auto" w:line="360" w:before="0" w:after="0"/>
        <w:ind w:firstLine="851"/>
        <w:jc w:val="both"/>
        <w:rPr>
          <w:rFonts w:ascii="Arial" w:hAnsi="Arial" w:cs="Arial"/>
          <w:color w:val="000000" w:themeColor="text1"/>
        </w:rPr>
      </w:pPr>
      <w:r>
        <w:rPr>
          <w:rFonts w:cs="Arial"/>
          <w:color w:val="000000" w:themeColor="text1"/>
        </w:rPr>
        <w:t>No seu horizonte temporal futuro, a UFVJM vislumbra uma posição referencial no campo das ciências, no cenário nacional. Pretende ampliar o seu espaço de atuação, intensificar o exercício fundamentado no tripé ensino-pesquisa-extensão e assumir a liderança no âmbito regional em prol de um desenvolvimento equitativo e sustentável.</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1"/>
        </w:numPr>
        <w:spacing w:lineRule="auto" w:line="360" w:before="0" w:after="0"/>
        <w:jc w:val="both"/>
        <w:rPr>
          <w:rFonts w:ascii="Arial" w:hAnsi="Arial" w:cs="Arial"/>
          <w:b/>
          <w:b/>
          <w:color w:val="000000" w:themeColor="text1"/>
        </w:rPr>
      </w:pPr>
      <w:r>
        <w:rPr>
          <w:rFonts w:cs="Arial"/>
          <w:b/>
          <w:color w:val="000000" w:themeColor="text1"/>
        </w:rPr>
        <w:t xml:space="preserve">Breve Histórico </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Em setembro de 1953, visando o desenvolvimento da região, Juscelino Kubitschek de Oliveira fundou a Faculdade de Odontologia de Diamantina. Desenhada por Niemeyer, na época ainda uma promessa da arquitetura, a faculdade acabou tornando-se a semente da qual germinaria a Universidade Federal dos Vales do Jequitinhonha e Mucuri.  </w:t>
      </w:r>
    </w:p>
    <w:p>
      <w:pPr>
        <w:pStyle w:val="NormalWeb"/>
        <w:spacing w:lineRule="auto" w:line="360" w:before="0" w:after="0"/>
        <w:ind w:firstLine="851"/>
        <w:jc w:val="both"/>
        <w:rPr>
          <w:rFonts w:ascii="Arial" w:hAnsi="Arial" w:cs="Arial"/>
          <w:color w:val="000000" w:themeColor="text1"/>
        </w:rPr>
      </w:pPr>
      <w:r>
        <w:rPr>
          <w:rFonts w:cs="Arial"/>
          <w:color w:val="000000" w:themeColor="text1"/>
          <w:shd w:fill="FFFFFF" w:val="clear"/>
        </w:rPr>
        <w:t>No dia 17 de dezembro de 1960, foi transformada em Faculdade Federal de Odontologia (Fafeod) e, no dia 4 de outubro de 2002, pautada na busca pela excelência em ensino e apoio à comunidade regional, tornou-se Faculdades Federais Integradas de Diamantina (Fafeid). Passou a oferecer, além de Odontologia, os cursos de Enfermagem, Farmácia, Nutrição e Fisioterapia, na área de Ciências da Saúde, e de Agronomia, Engenharia Florestal e Zootecnia, nas Ciências Agrárias.</w:t>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Em 8 de setembro de 2005, foi publicada a Lei 11.173 no Diário Oficial da União, que transformou as Faculdades Federais Integradas de Diamantina em Universidade Federal dos Vales do Jequitinhonha e Mucuri – </w:t>
      </w:r>
      <w:r>
        <w:rPr>
          <w:rFonts w:cs="Arial"/>
          <w:color w:val="000000" w:themeColor="text1"/>
          <w:highlight w:val="lightGray"/>
        </w:rPr>
        <w:t>UFVJM</w:t>
      </w:r>
    </w:p>
    <w:p>
      <w:pPr>
        <w:pStyle w:val="NormalWeb"/>
        <w:spacing w:lineRule="auto" w:line="360" w:before="0" w:after="0"/>
        <w:jc w:val="both"/>
        <w:rPr>
          <w:rFonts w:ascii="Arial" w:hAnsi="Arial" w:cs="Arial"/>
          <w:color w:val="000000" w:themeColor="text1"/>
        </w:rPr>
      </w:pPr>
      <w:r>
        <w:rPr>
          <w:rFonts w:cs="Arial"/>
          <w:color w:val="000000" w:themeColor="text1"/>
          <w:highlight w:val="cyan"/>
        </w:rPr>
        <w:t>(SOLICITANTE: TAs JANAÚBA)</w:t>
      </w:r>
    </w:p>
    <w:p>
      <w:pPr>
        <w:pStyle w:val="NormalWeb"/>
        <w:spacing w:lineRule="auto" w:line="360" w:before="0" w:after="0"/>
        <w:ind w:firstLine="708"/>
        <w:jc w:val="both"/>
        <w:rPr>
          <w:rFonts w:ascii="Arial" w:hAnsi="Arial" w:cs="Arial"/>
          <w:color w:val="0070C0"/>
        </w:rPr>
      </w:pPr>
      <w:r>
        <w:rPr>
          <w:rFonts w:cs="Arial"/>
          <w:color w:val="0070C0"/>
        </w:rPr>
        <w:t>Inserir a criação de Teófilo Otoni.  O campus Mucuri não apareceu no histórico</w:t>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Na Ata da 69ª     sessão sendo a 50ª sessão ordinário do Conselho Universitário da UFVJM, realizada em 07/10/2011, foi decidido </w:t>
      </w:r>
      <w:r>
        <w:rPr>
          <w:rFonts w:cs="Arial"/>
          <w:color w:val="000000" w:themeColor="text1"/>
          <w:highlight w:val="lightGray"/>
        </w:rPr>
        <w:t>acolher</w:t>
      </w:r>
      <w:r>
        <w:rPr>
          <w:rFonts w:cs="Arial"/>
          <w:color w:val="000000" w:themeColor="text1"/>
        </w:rPr>
        <w:t xml:space="preserve"> os campi de Unai e Janaúba e ao mesmo tempo inclui no seu PDI para os próximos 5 anos a implantação de mais 3 campi no Vale do Jequitinhonha.</w:t>
      </w:r>
    </w:p>
    <w:p>
      <w:pPr>
        <w:pStyle w:val="NormalWeb"/>
        <w:spacing w:lineRule="auto" w:line="360" w:before="0" w:after="0"/>
        <w:jc w:val="both"/>
        <w:rPr>
          <w:rFonts w:ascii="Arial" w:hAnsi="Arial" w:cs="Arial"/>
          <w:color w:val="000000" w:themeColor="text1"/>
        </w:rPr>
      </w:pPr>
      <w:r>
        <w:rPr>
          <w:rFonts w:cs="Arial"/>
          <w:color w:val="000000" w:themeColor="text1"/>
          <w:highlight w:val="cyan"/>
        </w:rPr>
        <w:t>(SOLICITANTE: TAs JANAÚBA)</w:t>
      </w:r>
    </w:p>
    <w:p>
      <w:pPr>
        <w:pStyle w:val="NormalWeb"/>
        <w:spacing w:lineRule="auto" w:line="360" w:before="0" w:after="0"/>
        <w:ind w:firstLine="851"/>
        <w:jc w:val="both"/>
        <w:rPr>
          <w:rFonts w:ascii="Arial" w:hAnsi="Arial" w:cs="Arial"/>
          <w:color w:val="0070C0"/>
        </w:rPr>
      </w:pPr>
      <w:r>
        <w:rPr>
          <w:rFonts w:cs="Arial"/>
          <w:color w:val="0070C0"/>
        </w:rPr>
        <w:t>Este verbo dá ideia que eles já existiam e foram acolhidos, integrados a UFVJM. Poderia especificar “acolher a proposta de criação”</w:t>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Por meio da Resolução nº. 18 - CONSU, de 09 de novembro de 2012, foi aprovado a criação de cursos de graduação, modalidade presencial, a serem ofertados no Campus de Unaí – MG da UFVJM. </w:t>
      </w:r>
    </w:p>
    <w:p>
      <w:pPr>
        <w:pStyle w:val="NormalWeb"/>
        <w:spacing w:lineRule="auto" w:line="360" w:before="0" w:after="0"/>
        <w:ind w:firstLine="851"/>
        <w:jc w:val="both"/>
        <w:rPr>
          <w:rFonts w:ascii="Arial" w:hAnsi="Arial" w:cs="Arial"/>
          <w:color w:val="000000" w:themeColor="text1"/>
        </w:rPr>
      </w:pPr>
      <w:r>
        <w:rPr>
          <w:rFonts w:cs="Arial"/>
          <w:color w:val="000000" w:themeColor="text1"/>
        </w:rPr>
        <w:t>No mesmo sentido a Resolução nº. 010 - CONSU de 06 de setembro de 2013 foi aprovada a criação de cursos de graduação, modalidade presencial, a serem ofertados no Campus de Janaúba – MG da UFVJM.</w:t>
      </w:r>
      <w:r>
        <w:rPr>
          <w:rStyle w:val="Appletabspan"/>
          <w:rFonts w:cs="Arial"/>
          <w:color w:val="000000" w:themeColor="text1"/>
        </w:rPr>
        <w:tab/>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Neste sentido, o compromisso da UFVJM é o de atuar nos territórios da metade setentrional do Estado, através de sua inserção nas quatro mesorregiões do Estado de Minas gerais: Jequitinhonha, Mucuri, Noroeste e Norte de Minas. O desafio é estabelecer uma gestão </w:t>
      </w:r>
      <w:r>
        <w:rPr>
          <w:rFonts w:cs="Arial"/>
          <w:i/>
          <w:iCs/>
          <w:color w:val="000000" w:themeColor="text1"/>
        </w:rPr>
        <w:t>multicampi</w:t>
      </w:r>
      <w:r>
        <w:rPr>
          <w:rFonts w:cs="Arial"/>
          <w:color w:val="000000" w:themeColor="text1"/>
        </w:rPr>
        <w:t>orgânica eficiente, valorizando a autonomia no contexto de um sistema universitário integrado, tendo a disseminação do conhecimento com a capilaridade ao alcance do conjunto.</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1"/>
        </w:numPr>
        <w:spacing w:lineRule="auto" w:line="360" w:before="0" w:after="0"/>
        <w:jc w:val="both"/>
        <w:rPr>
          <w:rFonts w:ascii="Arial" w:hAnsi="Arial" w:cs="Arial"/>
          <w:b/>
          <w:b/>
          <w:color w:val="000000" w:themeColor="text1"/>
        </w:rPr>
      </w:pPr>
      <w:r>
        <w:rPr>
          <w:rFonts w:cs="Arial"/>
          <w:b/>
          <w:color w:val="000000" w:themeColor="text1"/>
        </w:rPr>
        <w:t>Princípios Institucionais</w:t>
      </w:r>
    </w:p>
    <w:p>
      <w:pPr>
        <w:pStyle w:val="NormalWeb"/>
        <w:spacing w:lineRule="auto" w:line="360" w:before="0" w:after="0"/>
        <w:jc w:val="both"/>
        <w:rPr>
          <w:rFonts w:ascii="Arial" w:hAnsi="Arial" w:cs="Arial"/>
          <w:color w:val="000000" w:themeColor="text1"/>
        </w:rPr>
      </w:pPr>
      <w:r>
        <w:rPr>
          <w:rFonts w:cs="Arial"/>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Conforme o Estatuto da UFVJM, subtítulo II, artigo 3º, são princípios institucionais:</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formação universitária obedecerá aos princípios fundados no respeito à dignidade e aos direitos fundamentais do ser humano.</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observância dos princípios da ética, da gestão democrática, transparência, participação, legalidade, legitimidade, economicidade, impessoalidade, moralidade, publicidade dos atos, planejamento, avaliação e sustentabilidade.</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O respeito à liberdade de pensamento e de expressão.</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universalização do conhecimento, com profissionalismo e competência técnica.</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O respeito à cidadania e à diversidade étnica e cultural.</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natureza pública e gratuita do ensino de graduação e pós-graduação stricto sensu, sob responsabilidade da União.</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indissociabilidade entre ensino, pesquisa e extensão.</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flexibilidade de métodos, critérios e procedimentos acadêmicos.</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excelência acadêmica.</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defesa dos direitos humanos, com tratamento justo e respeitoso ao ser humano e à vida.</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qualidade e desenvolvimento sustentável.</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preservação e incentivo aos valores culturais.</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integração sistêmica entre educação, trabalho e atuação social.</w:t>
      </w:r>
    </w:p>
    <w:p>
      <w:pPr>
        <w:pStyle w:val="NormalWeb"/>
        <w:numPr>
          <w:ilvl w:val="0"/>
          <w:numId w:val="23"/>
        </w:numPr>
        <w:spacing w:lineRule="auto" w:line="360" w:before="0" w:after="0"/>
        <w:jc w:val="both"/>
        <w:rPr>
          <w:rFonts w:ascii="Arial" w:hAnsi="Arial" w:cs="Arial"/>
          <w:color w:val="000000" w:themeColor="text1"/>
        </w:rPr>
      </w:pPr>
      <w:r>
        <w:rPr>
          <w:rFonts w:cs="Arial"/>
          <w:color w:val="000000" w:themeColor="text1"/>
        </w:rPr>
        <w:t>A democratização da educação no que concerne à gestão, à igualdade e à oportunidade de acesso e socialização de seus benefícios.</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1"/>
        </w:numPr>
        <w:spacing w:lineRule="auto" w:line="360" w:before="0" w:after="0"/>
        <w:jc w:val="both"/>
        <w:rPr>
          <w:rFonts w:ascii="Arial" w:hAnsi="Arial" w:cs="Arial"/>
          <w:b/>
          <w:b/>
          <w:color w:val="000000" w:themeColor="text1"/>
        </w:rPr>
      </w:pPr>
      <w:r>
        <w:rPr>
          <w:rFonts w:cs="Arial"/>
          <w:b/>
          <w:color w:val="000000" w:themeColor="text1"/>
        </w:rPr>
        <w:t>Objetivos</w:t>
      </w:r>
    </w:p>
    <w:p>
      <w:pPr>
        <w:pStyle w:val="NormalWeb"/>
        <w:spacing w:lineRule="auto" w:line="360" w:before="0" w:after="0"/>
        <w:jc w:val="both"/>
        <w:rPr>
          <w:rFonts w:ascii="Arial" w:hAnsi="Arial" w:cs="Arial"/>
          <w:b/>
          <w:b/>
          <w:color w:val="000000" w:themeColor="text1"/>
        </w:rPr>
      </w:pPr>
      <w:r>
        <w:rPr>
          <w:rFonts w:cs="Arial"/>
          <w:b/>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Conforme o Estatuto da UFVJM, subtítulo III, artigo 4º, são objetivos institucionais, da comunidade de docentes, discentes e pessoal técnico-administrativo, preservar, elaborar, desenvolver, cultivar e disseminar o saber em suas várias formas de conhecimento, puro e aplicado.</w:t>
      </w:r>
    </w:p>
    <w:p>
      <w:pPr>
        <w:pStyle w:val="NormalWeb"/>
        <w:spacing w:lineRule="auto" w:line="360" w:before="0" w:after="0"/>
        <w:ind w:firstLine="851"/>
        <w:jc w:val="both"/>
        <w:rPr>
          <w:rFonts w:ascii="Arial" w:hAnsi="Arial" w:cs="Arial"/>
          <w:color w:val="000000" w:themeColor="text1"/>
        </w:rPr>
      </w:pPr>
      <w:r>
        <w:rPr>
          <w:rFonts w:cs="Arial"/>
          <w:color w:val="000000" w:themeColor="text1"/>
        </w:rPr>
        <w:t>No artigo 6º, as atividades universitárias, em suas diversas modalidades, serão desenvolvidas tendo em vista a integração do ensino, da pesquisa e da extensão, assegurando a plena utilização de seus recursos materiais e humanos, de modo que se vede a duplicação de meios para fins idênticos ou similares.</w:t>
      </w:r>
    </w:p>
    <w:p>
      <w:pPr>
        <w:pStyle w:val="NormalWeb"/>
        <w:spacing w:lineRule="auto" w:line="360" w:before="0" w:after="0"/>
        <w:ind w:firstLine="851"/>
        <w:jc w:val="both"/>
        <w:rPr>
          <w:rFonts w:ascii="Arial" w:hAnsi="Arial" w:cs="Arial"/>
          <w:color w:val="000000" w:themeColor="text1"/>
        </w:rPr>
      </w:pPr>
      <w:r>
        <w:rPr>
          <w:rFonts w:cs="Arial"/>
          <w:color w:val="000000" w:themeColor="text1"/>
        </w:rPr>
        <w:t>No interesse de seus objetivos, a UFVJM procurará manter cooperação e integração com instituições nacionais e internacionais e buscará os meios necessários para garantir acesso e permanência de estudantes com necessidades especiais.</w:t>
      </w:r>
    </w:p>
    <w:p>
      <w:pPr>
        <w:pStyle w:val="NormalWeb"/>
        <w:spacing w:lineRule="auto" w:line="360" w:before="0" w:after="0"/>
        <w:ind w:firstLine="851"/>
        <w:jc w:val="both"/>
        <w:rPr>
          <w:rFonts w:ascii="Arial" w:hAnsi="Arial" w:cs="Arial"/>
          <w:color w:val="000000" w:themeColor="text1"/>
        </w:rPr>
      </w:pPr>
      <w:r>
        <w:rPr>
          <w:rFonts w:cs="Arial"/>
          <w:color w:val="000000" w:themeColor="text1"/>
          <w:highlight w:val="cyan"/>
        </w:rPr>
        <w:t>(SOLICITANTE: Reitoria)</w:t>
      </w:r>
    </w:p>
    <w:p>
      <w:pPr>
        <w:pStyle w:val="NormalWeb"/>
        <w:spacing w:lineRule="auto" w:line="360" w:before="0" w:after="0"/>
        <w:ind w:firstLine="851"/>
        <w:jc w:val="both"/>
        <w:rPr>
          <w:rFonts w:ascii="Arial" w:hAnsi="Arial" w:cs="Arial"/>
          <w:color w:val="0070C0"/>
        </w:rPr>
      </w:pPr>
      <w:r>
        <w:rPr>
          <w:rFonts w:cs="Arial"/>
          <w:color w:val="0070C0"/>
        </w:rPr>
        <w:t>Não obstante ao que consta no Estatuto da UFVJM como objetivo e como finalidades, a UFVJM procurará adotar medidas para a sistematização de práticas relacionadas à gestão de riscos, aos controles internos, e à governança, conforme prevê o artigo 1º da INSTRUÇÃO NORMATIVA CONJUNTA MP/CGU Nº 01, de de de 2016, a qual dispõe sobre controles internos, gestão de riscos e governança no âmbito do Poder Executivo federal.</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1"/>
        </w:numPr>
        <w:spacing w:lineRule="auto" w:line="360" w:before="0" w:after="0"/>
        <w:jc w:val="both"/>
        <w:rPr>
          <w:rFonts w:ascii="Arial" w:hAnsi="Arial" w:cs="Arial"/>
          <w:b/>
          <w:b/>
          <w:color w:val="000000" w:themeColor="text1"/>
        </w:rPr>
      </w:pPr>
      <w:r>
        <w:rPr>
          <w:rFonts w:cs="Arial"/>
          <w:b/>
          <w:color w:val="000000" w:themeColor="text1"/>
        </w:rPr>
        <w:t>Áreas de Atuação em Aspectos Sócioeconômicos</w:t>
      </w:r>
    </w:p>
    <w:p>
      <w:pPr>
        <w:pStyle w:val="NormalWeb"/>
        <w:spacing w:lineRule="auto" w:line="360" w:before="0" w:after="0"/>
        <w:ind w:left="851" w:hanging="0"/>
        <w:jc w:val="both"/>
        <w:rPr>
          <w:rFonts w:ascii="Arial" w:hAnsi="Arial" w:cs="Arial"/>
          <w:color w:val="000000" w:themeColor="text1"/>
        </w:rPr>
      </w:pPr>
      <w:r>
        <w:rPr>
          <w:rFonts w:cs="Arial"/>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Dentre as dimensões consignadas no cumprimento da missão da UFVJM, destacamos aquela que diz respeito ao estudo e busca de solução para os problemas regionais, ao ajustamento às demandas regionais e seu empenho em facilitar à população das regiões de sua área de abrangência, a saber: Vales do Jequitinhonha e Mucuri, Norte e Noroeste de Minas Gerais, o acesso ao nível superior de escolarização.</w:t>
      </w:r>
    </w:p>
    <w:p>
      <w:pPr>
        <w:pStyle w:val="NormalWeb"/>
        <w:spacing w:lineRule="auto" w:line="360" w:before="0" w:after="0"/>
        <w:ind w:firstLine="851"/>
        <w:jc w:val="both"/>
        <w:rPr>
          <w:rFonts w:ascii="Arial" w:hAnsi="Arial" w:cs="Arial"/>
          <w:color w:val="000000" w:themeColor="text1"/>
        </w:rPr>
      </w:pPr>
      <w:r>
        <w:rPr>
          <w:rFonts w:cs="Arial"/>
          <w:color w:val="000000" w:themeColor="text1"/>
        </w:rPr>
        <w:t>Desta forma, a instituição é, então, um importante instrumento de apoio ao desenvolvimento de uma vasta região na medida em que, ao longo de um curto espaço de tempo, ampliou seu raio regional de ação, aumentou consideravelmente a oferta de oportunidades educacionais com novos cursos de graduação, propiciando uma educação integral e de qualidade, capaz de formar agentes multiplicadores das ações de transformação da realidade social, econômica e ambiental dos Vales do Jequitinhonha e Mucuri, Norte e Noroeste de Minas Gerais.</w:t>
      </w:r>
    </w:p>
    <w:p>
      <w:pPr>
        <w:pStyle w:val="NormalWeb"/>
        <w:spacing w:lineRule="auto" w:line="360" w:before="0" w:after="0"/>
        <w:ind w:firstLine="851"/>
        <w:jc w:val="both"/>
        <w:rPr>
          <w:rFonts w:ascii="Arial" w:hAnsi="Arial" w:cs="Arial"/>
          <w:color w:val="000000" w:themeColor="text1"/>
        </w:rPr>
      </w:pPr>
      <w:r>
        <w:rPr>
          <w:rFonts w:cs="Arial"/>
          <w:color w:val="000000" w:themeColor="text1"/>
          <w:highlight w:val="cyan"/>
        </w:rPr>
        <w:t>(SOLICITANTE: LEIDA-PROGRAD)</w:t>
      </w:r>
    </w:p>
    <w:p>
      <w:pPr>
        <w:pStyle w:val="NormalWeb"/>
        <w:spacing w:lineRule="auto" w:line="360" w:before="0" w:after="0"/>
        <w:ind w:firstLine="851"/>
        <w:jc w:val="both"/>
        <w:rPr>
          <w:rFonts w:ascii="Arial" w:hAnsi="Arial" w:cs="Arial"/>
          <w:color w:val="000000" w:themeColor="text1"/>
        </w:rPr>
      </w:pPr>
      <w:r>
        <w:rPr>
          <w:rFonts w:cs="Arial"/>
          <w:color w:val="000000" w:themeColor="text1"/>
        </w:rPr>
        <w:t>A implantação da Universidade nos referidos Vales representou a interiorização do ensino público superior no estado de Minas Gerais, possibilitando a realização do sonho dos jovens aqui inseridos de prosseguir sua formação acadêmica. Além disso, a instituição destaca-se por sua importância para o desenvolvimento econômico e sociocultural da região, por meio da geração de emprego e renda e da redução da desigualdade social existente no país.</w:t>
      </w:r>
      <w:r>
        <w:rPr>
          <w:rFonts w:cs="Arial"/>
        </w:rPr>
        <w:t xml:space="preserve"> </w:t>
      </w:r>
      <w:r>
        <w:rPr>
          <w:rFonts w:cs="Arial"/>
          <w:color w:val="0070C0"/>
        </w:rPr>
        <w:t>Destaque deve ser dado ao seu compromisso com a formação inicial e continuada de professores para a educação básica.</w:t>
      </w:r>
    </w:p>
    <w:p>
      <w:pPr>
        <w:pStyle w:val="NormalWeb"/>
        <w:spacing w:lineRule="auto" w:line="360" w:before="0" w:after="0"/>
        <w:ind w:firstLine="851"/>
        <w:jc w:val="both"/>
        <w:rPr>
          <w:rFonts w:ascii="Arial" w:hAnsi="Arial" w:cs="Arial"/>
          <w:color w:val="000000" w:themeColor="text1"/>
        </w:rPr>
      </w:pPr>
      <w:r>
        <w:rPr>
          <w:rFonts w:cs="Arial"/>
          <w:color w:val="000000" w:themeColor="text1"/>
        </w:rPr>
        <w:t>A UFVJM é, ainda, a única IFES com sede na metade norte do Estado, região esta que carece de investimentos diversos de infraestrutura, incluindo a implantação de unidades universitárias em diversos dos seus municípios, de maneira a oportunizar o acesso ao ensino superior público e gratuito de qualidade, aos cidadãos desses territórios que, historicamente, têm sido preteridos em relação aos territórios da metade sul do Estado e mesmo de outras regiões do país.</w:t>
      </w:r>
    </w:p>
    <w:p>
      <w:pPr>
        <w:pStyle w:val="NormalWeb"/>
        <w:spacing w:lineRule="auto" w:line="360" w:before="0" w:after="0"/>
        <w:ind w:firstLine="851"/>
        <w:jc w:val="both"/>
        <w:rPr>
          <w:rFonts w:ascii="Arial" w:hAnsi="Arial" w:cs="Arial"/>
          <w:color w:val="000000" w:themeColor="text1"/>
        </w:rPr>
      </w:pPr>
      <w:r>
        <w:rPr>
          <w:rFonts w:cs="Arial"/>
          <w:color w:val="000000" w:themeColor="text1"/>
        </w:rPr>
        <w:t>Nesse sentido, desde os seus primeiros passos, a instituição vem primando por um crescimento gradual e sintonizado com as expectativas de seu ambiente e pela preocupação constante com a qualidade dos seus serviços. A presença pioneira na vasta região de sua abrangência tem sido marcada pelo esforço de harmonizar-se com essa trajetória, na medida em que se constata uma preocupação permanente de adequação aos tempos atuais.</w:t>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Com esse ânimo, a UFVJM procura estabelecer as premissas de referência básica que balizarão a sua atuação no próximo ciclo de desenvolvimento, para fazer emergir uma universidade revisada em termos institucionais, sintonizada com as diretrizes do Ministério da Educação e voltada para uma atuação efetiva nas atividades de ensino, pesquisa e extensão. </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1"/>
        </w:numPr>
        <w:spacing w:lineRule="auto" w:line="360" w:before="0" w:after="0"/>
        <w:jc w:val="both"/>
        <w:rPr>
          <w:rFonts w:ascii="Arial" w:hAnsi="Arial" w:cs="Arial"/>
          <w:b/>
          <w:b/>
          <w:color w:val="000000" w:themeColor="text1"/>
        </w:rPr>
      </w:pPr>
      <w:r>
        <w:rPr>
          <w:rFonts w:cs="Arial"/>
          <w:b/>
          <w:color w:val="000000" w:themeColor="text1"/>
        </w:rPr>
        <w:t>Estrutura Organizacional e Instâncias de Decisão</w:t>
      </w:r>
    </w:p>
    <w:p>
      <w:pPr>
        <w:pStyle w:val="NormalWeb"/>
        <w:spacing w:lineRule="auto" w:line="360" w:before="0" w:after="0"/>
        <w:ind w:firstLine="851"/>
        <w:jc w:val="both"/>
        <w:rPr>
          <w:rFonts w:ascii="Arial" w:hAnsi="Arial" w:cs="Arial"/>
          <w:b/>
          <w:b/>
          <w:color w:val="000000" w:themeColor="text1"/>
        </w:rPr>
      </w:pPr>
      <w:r>
        <w:rPr>
          <w:rFonts w:cs="Arial"/>
          <w:b/>
          <w:color w:val="000000" w:themeColor="text1"/>
        </w:rPr>
      </w:r>
    </w:p>
    <w:p>
      <w:pPr>
        <w:pStyle w:val="NormalWeb"/>
        <w:numPr>
          <w:ilvl w:val="2"/>
          <w:numId w:val="1"/>
        </w:numPr>
        <w:spacing w:lineRule="auto" w:line="360" w:before="0" w:after="0"/>
        <w:ind w:left="1276" w:hanging="425"/>
        <w:jc w:val="both"/>
        <w:rPr>
          <w:rFonts w:ascii="Arial" w:hAnsi="Arial" w:cs="Arial"/>
          <w:b/>
          <w:b/>
          <w:color w:val="000000" w:themeColor="text1"/>
        </w:rPr>
      </w:pPr>
      <w:r>
        <w:rPr>
          <w:rFonts w:cs="Arial"/>
          <w:b/>
          <w:color w:val="000000" w:themeColor="text1"/>
        </w:rPr>
        <w:t>Organização Administrativa</w:t>
      </w:r>
    </w:p>
    <w:p>
      <w:pPr>
        <w:pStyle w:val="NormalWeb"/>
        <w:spacing w:lineRule="auto" w:line="360" w:before="0" w:after="0"/>
        <w:jc w:val="both"/>
        <w:rPr>
          <w:rFonts w:ascii="Arial" w:hAnsi="Arial" w:cs="Arial"/>
          <w:b/>
          <w:b/>
          <w:color w:val="000000" w:themeColor="text1"/>
        </w:rPr>
      </w:pPr>
      <w:r>
        <w:rPr>
          <w:rFonts w:cs="Arial"/>
          <w:b/>
          <w:color w:val="000000" w:themeColor="text1"/>
          <w:highlight w:val="cyan"/>
        </w:rPr>
        <w:t>(SOLICITANTE: TAs JANAÚBA)</w:t>
      </w:r>
    </w:p>
    <w:p>
      <w:pPr>
        <w:pStyle w:val="Annotationtext"/>
        <w:ind w:firstLine="708"/>
        <w:rPr>
          <w:rFonts w:ascii="Arial" w:hAnsi="Arial" w:eastAsia="Times New Roman" w:cs="Arial"/>
          <w:color w:val="0070C0"/>
          <w:sz w:val="24"/>
          <w:szCs w:val="24"/>
          <w:lang w:eastAsia="zh-CN"/>
        </w:rPr>
      </w:pPr>
      <w:r>
        <w:rPr>
          <w:rFonts w:eastAsia="Times New Roman" w:cs="Arial" w:ascii="Arial" w:hAnsi="Arial"/>
          <w:color w:val="0070C0"/>
          <w:sz w:val="24"/>
          <w:szCs w:val="24"/>
          <w:lang w:eastAsia="zh-CN"/>
        </w:rPr>
        <w:t xml:space="preserve">Como no corpo do PDI consta os objetivos ações e metas por assuntos e diz quem são os responsáveis, seria interessante acrescentar quais as pro- reitorias, diretorias existentes </w:t>
      </w:r>
    </w:p>
    <w:p>
      <w:pPr>
        <w:pStyle w:val="NormalWeb"/>
        <w:spacing w:lineRule="auto" w:line="360" w:before="0" w:after="0"/>
        <w:ind w:firstLine="708"/>
        <w:jc w:val="both"/>
        <w:rPr>
          <w:rFonts w:ascii="Arial" w:hAnsi="Arial" w:cs="Arial"/>
          <w:color w:val="0070C0"/>
        </w:rPr>
      </w:pPr>
      <w:r>
        <w:rPr>
          <w:rFonts w:cs="Arial"/>
          <w:color w:val="0070C0"/>
        </w:rPr>
        <w:t>Se possível inserir o organograma da UFVJM. Tem 3 anos de implantação dos novos campi e até o momento não houve alteração do organograma da UFVJM.  Seria um excelente momento para apresentar a comunidade o organograma</w:t>
      </w:r>
    </w:p>
    <w:p>
      <w:pPr>
        <w:pStyle w:val="NormalWeb"/>
        <w:spacing w:lineRule="auto" w:line="360" w:before="0" w:after="0"/>
        <w:ind w:firstLine="851"/>
        <w:jc w:val="both"/>
        <w:rPr>
          <w:rFonts w:ascii="Arial" w:hAnsi="Arial" w:cs="Arial"/>
          <w:color w:val="000000" w:themeColor="text1"/>
        </w:rPr>
      </w:pPr>
      <w:r>
        <w:rPr>
          <w:rFonts w:cs="Arial"/>
          <w:color w:val="000000" w:themeColor="text1"/>
        </w:rPr>
        <w:t>De acordo com o seu Estatuto, Título II, artigo 7º, a UFVJM estrutura-se da seguinte forma:</w:t>
      </w:r>
    </w:p>
    <w:p>
      <w:pPr>
        <w:pStyle w:val="NormalWeb"/>
        <w:spacing w:lineRule="auto" w:line="360" w:before="0" w:after="0"/>
        <w:ind w:firstLine="851"/>
        <w:jc w:val="both"/>
        <w:rPr>
          <w:rFonts w:ascii="Arial" w:hAnsi="Arial" w:cs="Arial"/>
          <w:color w:val="000000" w:themeColor="text1"/>
        </w:rPr>
      </w:pPr>
      <w:r>
        <w:rPr>
          <w:rFonts w:cs="Arial"/>
          <w:b/>
          <w:color w:val="000000" w:themeColor="text1"/>
        </w:rPr>
        <w:t>Administração universitária:</w:t>
      </w:r>
      <w:r>
        <w:rPr>
          <w:rFonts w:cs="Arial"/>
          <w:color w:val="000000" w:themeColor="text1"/>
        </w:rPr>
        <w:t xml:space="preserve"> Órgãos de Deliberação Superior; Conselho de Curadores; Reitoria; Órgão Consultivo.</w:t>
      </w:r>
    </w:p>
    <w:p>
      <w:pPr>
        <w:pStyle w:val="NormalWeb"/>
        <w:spacing w:lineRule="auto" w:line="360" w:before="0" w:after="0"/>
        <w:ind w:firstLine="851"/>
        <w:jc w:val="both"/>
        <w:rPr>
          <w:rFonts w:ascii="Arial" w:hAnsi="Arial" w:cs="Arial"/>
          <w:color w:val="000000" w:themeColor="text1"/>
        </w:rPr>
      </w:pPr>
      <w:r>
        <w:rPr>
          <w:rFonts w:cs="Arial"/>
          <w:b/>
          <w:color w:val="000000" w:themeColor="text1"/>
        </w:rPr>
        <w:t>Unidade Acadêmica</w:t>
      </w:r>
      <w:r>
        <w:rPr>
          <w:rFonts w:cs="Arial"/>
          <w:color w:val="000000" w:themeColor="text1"/>
        </w:rPr>
        <w:t>: Congregação; Diretoria; Colegiados de cursos; Órgãos Complementares.</w:t>
      </w:r>
    </w:p>
    <w:p>
      <w:pPr>
        <w:pStyle w:val="NormalWeb"/>
        <w:spacing w:lineRule="auto" w:line="360" w:before="0" w:after="0"/>
        <w:ind w:firstLine="851"/>
        <w:jc w:val="both"/>
        <w:rPr>
          <w:rFonts w:ascii="Arial" w:hAnsi="Arial" w:cs="Arial"/>
          <w:color w:val="000000" w:themeColor="text1"/>
        </w:rPr>
      </w:pPr>
      <w:r>
        <w:rPr>
          <w:rFonts w:cs="Arial"/>
          <w:color w:val="000000" w:themeColor="text1"/>
        </w:rPr>
        <w:t>Órgãos suplementares</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ListParagraph"/>
        <w:numPr>
          <w:ilvl w:val="0"/>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2"/>
          <w:numId w:val="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NormalWeb"/>
        <w:numPr>
          <w:ilvl w:val="3"/>
          <w:numId w:val="2"/>
        </w:numPr>
        <w:spacing w:lineRule="auto" w:line="360" w:before="0" w:after="0"/>
        <w:ind w:left="1418" w:hanging="567"/>
        <w:jc w:val="both"/>
        <w:rPr>
          <w:rFonts w:ascii="Arial" w:hAnsi="Arial" w:cs="Arial"/>
          <w:b/>
          <w:b/>
          <w:color w:val="000000" w:themeColor="text1"/>
        </w:rPr>
      </w:pPr>
      <w:r>
        <w:rPr>
          <w:rFonts w:cs="Arial"/>
          <w:b/>
          <w:color w:val="000000" w:themeColor="text1"/>
        </w:rPr>
        <w:t>CONSU</w:t>
      </w:r>
    </w:p>
    <w:p>
      <w:pPr>
        <w:pStyle w:val="NormalWeb"/>
        <w:spacing w:lineRule="auto" w:line="360" w:before="0" w:after="0"/>
        <w:jc w:val="both"/>
        <w:rPr>
          <w:rFonts w:ascii="Arial" w:hAnsi="Arial" w:cs="Arial"/>
          <w:color w:val="000000" w:themeColor="text1"/>
        </w:rPr>
      </w:pPr>
      <w:r>
        <w:rPr>
          <w:rFonts w:cs="Arial"/>
          <w:color w:val="000000" w:themeColor="text1"/>
          <w:highlight w:val="cyan"/>
        </w:rPr>
        <w:t>(SOLICITANTE: TAs JANAÚBA)</w:t>
      </w:r>
    </w:p>
    <w:p>
      <w:pPr>
        <w:pStyle w:val="NormalWeb"/>
        <w:spacing w:lineRule="auto" w:line="360" w:before="0" w:after="0"/>
        <w:ind w:firstLine="851"/>
        <w:jc w:val="both"/>
        <w:rPr>
          <w:rFonts w:ascii="Arial" w:hAnsi="Arial" w:cs="Arial"/>
          <w:color w:val="0070C0"/>
        </w:rPr>
      </w:pPr>
      <w:r>
        <w:rPr>
          <w:rFonts w:cs="Arial"/>
          <w:color w:val="0070C0"/>
        </w:rPr>
        <w:t>Inserir um parágrafo introdutório pra falar do Consu e consepe são órgãos colegiados ....</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Conforme o seu Estatuto, Título II, o Conselho Universitário - CONSU é o órgão máximo de deliberação da UFVJM, de caráter consultivo, deliberativo e normativo, em matéria de política universitária e de administração, integrado pelos seguintes membros: reitor, como presidente, com voto comum e de qualidade; vice-reitor; pró-reitor de graduação; pró-reitor de pesquisa e pós-graduação; pró-reitor de extensão e cultura; diretores das Unidades Acadêmicas; dois professores lotados em cada Unidade Acadêmica, em exercício na UFVJM.eeleitos pela respectiva Assembleia; um representante da comunidade não universitária indicado pelo Conselho deIntegração Comunitária (Consic), de acordo com seu regimento interno; representantes discentes e técnico-administrativos, em número equitativo, atendida a participação mínima de 70% de docentes e considerado o representante da comunidade não universitária.</w:t>
      </w:r>
    </w:p>
    <w:p>
      <w:pPr>
        <w:pStyle w:val="NormalWeb"/>
        <w:spacing w:lineRule="auto" w:line="360" w:before="0" w:after="0"/>
        <w:ind w:firstLine="851"/>
        <w:jc w:val="both"/>
        <w:rPr>
          <w:rFonts w:ascii="Arial" w:hAnsi="Arial" w:cs="Arial"/>
          <w:color w:val="000000" w:themeColor="text1"/>
        </w:rPr>
      </w:pPr>
      <w:r>
        <w:rPr>
          <w:rFonts w:cs="Arial"/>
          <w:color w:val="000000" w:themeColor="text1"/>
        </w:rPr>
        <w:t>São órgãos do CONSU: a presidência, exercida pelo reitor e, nas suas faltas ou impedimentos eventuais, pelo vice-reitor; o plenário, constituído pelos conselheiros presentes às reuniões, regularmente convocadas e instaladas;</w:t>
      </w:r>
    </w:p>
    <w:p>
      <w:pPr>
        <w:pStyle w:val="NormalWeb"/>
        <w:spacing w:lineRule="auto" w:line="360" w:before="0" w:after="0"/>
        <w:ind w:firstLine="851"/>
        <w:jc w:val="both"/>
        <w:rPr>
          <w:rFonts w:ascii="Arial" w:hAnsi="Arial" w:cs="Arial"/>
          <w:color w:val="000000" w:themeColor="text1"/>
        </w:rPr>
      </w:pPr>
      <w:r>
        <w:rPr>
          <w:rFonts w:cs="Arial"/>
          <w:color w:val="000000" w:themeColor="text1"/>
        </w:rPr>
        <w:t>O CONSU poderá instituir ou extinguir comissões permanentes ou especiais, constituídas por seus membros, e que funcionarão de acordo com normas estabelecidas pelo plenário.</w:t>
      </w:r>
    </w:p>
    <w:p>
      <w:pPr>
        <w:pStyle w:val="NormalWeb"/>
        <w:spacing w:lineRule="auto" w:line="360" w:before="0" w:after="0"/>
        <w:ind w:firstLine="851"/>
        <w:jc w:val="both"/>
        <w:rPr>
          <w:rFonts w:ascii="Arial" w:hAnsi="Arial" w:cs="Arial"/>
          <w:color w:val="000000" w:themeColor="text1"/>
        </w:rPr>
      </w:pPr>
      <w:r>
        <w:rPr>
          <w:rFonts w:cs="Arial"/>
          <w:color w:val="000000" w:themeColor="text1"/>
        </w:rPr>
        <w:t>Compete ao CONSU:</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Propor e aprovar modificações neste Estatuto, submetendo-o à apreciação do Conselho Nacional de Educação, nos termos da Lei.</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Elaborar, aprovar e alterar o Regimento Geral da UFVJM.</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Elaborar e aprovar seu regimento interno, bem como resoluções específicas de sua competência.</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Homologar os regimentos internos do CONSEPE, da Reitoria, do Conselho de Curadores e das Congregações.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Aprovar o Plano de Desenvolvimento Institucional (PDI).</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Criar, desmembrar, fundir e extinguir Pró-Reitorias e Unidades Acadêmicas, assim como outras estruturas ou órgãos da UFVJM, mediante parecer do Conselho de Ensino, Pesquisa e Extensão, quando couber.</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Propor a política de pessoal, para encaminhamento aos órgãos competentes.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Aprovar os orçamentos plurianual e anual da UFVJM, baseando-se em parecer do Conselho de Curadores.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Aprovar a forma de ingresso e o processo de seleção de candidatos aos cursos de graduação, estabelecidos pelo CONSEPE, respeitada a legislação vigente.</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Autorizar o funcionamento e a extinção de cursos de graduação e de pós-graduação e outros cursos que conduzam a diploma, mediante parecer do CONSEPE.</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Deliberar sobre a suspensão temporária, total ou parcial do funcionamento de qualquer órgão da UFVJM.</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Autorizar a alienação, transferência, aquisição, locação, gravação e permuta de bens imóveis pela UFVJM, bem como a aceitação de subvenções, doações e legados.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Fixar taxas de serviços, emolumentos, contribuições e multas a serem cobrados.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Analisar e homologar a prestação de contas da gestão do reitor, após pronunciamento do Conselho de Curadores e, quando for o caso, as contas da gestão dos diretores de Unidades Acadêmicas e de órgãos suplementares.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Deliberar sobre concessão de dignidades universitárias e de títulos honoríficos;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Criar e conceder prêmios, bem como instituir símbolos, respeitadas as normas institucionais e a legislação vigente.</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Julgar, quando for o caso, as contas do Diretório Central dos Estudantes, relativas a transferências orçamentárias concedidas pela UFVJM.</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Determinar as providências que lhe couber, nos termos deste Estatuto e do Regimento Geral, no plano disciplinar.</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Instituir a Comissão Eleitoral para escolha do Reitor e do Vice-Reitor, para promover a consulta à comunidade acadêmica, por sufrágio secreto e universal.</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Aprovar os relatórios e os planos de trabalho apresentados pelo reitor.</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Deliberar e propor ao Ministério da Educação, com aprovação de, no mínimo, dois terços de seus membros, em parecer fundamentado, a destituição do reitor e/ou do vice-reitor, antes de findar o prazo de seu(s) mandato(s).</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Homologar, com parecer fundamentado, a destituição de diretor e/ou de vice-diretor de Unidade Acadêmica, antes de findar o prazo de seu(s) mandato(s), proposta pela respectiva Congregação.</w:t>
      </w:r>
    </w:p>
    <w:p>
      <w:pPr>
        <w:pStyle w:val="NormalWeb"/>
        <w:numPr>
          <w:ilvl w:val="0"/>
          <w:numId w:val="24"/>
        </w:numPr>
        <w:spacing w:lineRule="auto" w:line="360" w:before="0" w:after="0"/>
        <w:jc w:val="both"/>
        <w:rPr>
          <w:rFonts w:ascii="Arial" w:hAnsi="Arial" w:cs="Arial"/>
          <w:color w:val="000000" w:themeColor="text1"/>
        </w:rPr>
      </w:pPr>
      <w:r>
        <w:rPr>
          <w:rFonts w:cs="Arial"/>
          <w:color w:val="000000" w:themeColor="text1"/>
        </w:rPr>
        <w:t>Deliberar como instância superior sobre matéria de recursos, na forma do Estatuto e do Regimento Geral.</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3"/>
          <w:numId w:val="2"/>
        </w:numPr>
        <w:spacing w:lineRule="auto" w:line="360" w:before="0" w:after="0"/>
        <w:ind w:left="1276" w:hanging="425"/>
        <w:jc w:val="both"/>
        <w:rPr>
          <w:rFonts w:ascii="Arial" w:hAnsi="Arial" w:cs="Arial"/>
          <w:b/>
          <w:b/>
          <w:color w:val="000000" w:themeColor="text1"/>
        </w:rPr>
      </w:pPr>
      <w:r>
        <w:rPr>
          <w:rFonts w:cs="Arial"/>
          <w:b/>
          <w:color w:val="000000" w:themeColor="text1"/>
        </w:rPr>
        <w:t>CONSEPE</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De acordo com a seção II do Estatuto da UFJVM, o Conselho de Ensino, Pesquisa e Extensão - CONSEPE é o órgão deliberativo, normativo e consultivo em matéria de ensino, pesquisa e extensão, sendo integrado por: reitor, seu presidente, com voto comum e de qualidade; vice-reitor; pró-reitor de graduação; pró-reitor de pesquisa e pós-graduação; pró-reitor de extensão e cultura; diretores das Unidades Acadêmicas; um representante de cada um dos conselhos de graduação, pesquisa e pós-graduação </w:t>
      </w:r>
      <w:r>
        <w:rPr>
          <w:rFonts w:cs="Arial"/>
          <w:i/>
          <w:iCs/>
          <w:color w:val="000000" w:themeColor="text1"/>
        </w:rPr>
        <w:t>stricto sensu</w:t>
      </w:r>
      <w:r>
        <w:rPr>
          <w:rFonts w:cs="Arial"/>
          <w:color w:val="000000" w:themeColor="text1"/>
        </w:rPr>
        <w:t>, e um de extensão; um representante docente de cada Unidade Acadêmica, eleito por seus pares; um representante da comunidade não universitária, indicado pelo Conselho deIntegração Comunitária (Consic), de acordo com seu regimento interno; representantes discentes e técnico-administrativos, em número equitativo, atendida a participação mínima de 70% de docentes e considerado o representante da comunidade não universitária.</w:t>
      </w:r>
    </w:p>
    <w:p>
      <w:pPr>
        <w:pStyle w:val="NormalWeb"/>
        <w:spacing w:lineRule="auto" w:line="360" w:before="0" w:after="0"/>
        <w:ind w:firstLine="851"/>
        <w:jc w:val="both"/>
        <w:rPr>
          <w:rFonts w:ascii="Arial" w:hAnsi="Arial" w:cs="Arial"/>
          <w:color w:val="000000" w:themeColor="text1"/>
        </w:rPr>
      </w:pPr>
      <w:r>
        <w:rPr>
          <w:rFonts w:cs="Arial"/>
          <w:color w:val="000000" w:themeColor="text1"/>
        </w:rPr>
        <w:t>São órgãos do CONSEPE: a presidência, exercida pelo reitor e, nas suas faltas ou impedimentos eventuais, pelo vice-reitor; o plenário, constituído pelos conselheiros presentes às reuniões, regularmente convocadas e instaladas; a câmara de ensino, a de pesquisa e a de extensão, constituídas e estabelecidas de acordo com o regimento interno do CONSEPE; as comissões para estudo de matérias específicas, constituídas por iniciativa da presidência ou por deliberação do plenário.</w:t>
      </w:r>
    </w:p>
    <w:p>
      <w:pPr>
        <w:pStyle w:val="NormalWeb"/>
        <w:spacing w:lineRule="auto" w:line="360" w:before="0" w:after="0"/>
        <w:ind w:firstLine="851"/>
        <w:jc w:val="both"/>
        <w:rPr>
          <w:rFonts w:ascii="Arial" w:hAnsi="Arial" w:cs="Arial"/>
          <w:color w:val="000000" w:themeColor="text1"/>
        </w:rPr>
      </w:pPr>
      <w:r>
        <w:rPr>
          <w:rFonts w:cs="Arial"/>
          <w:color w:val="000000" w:themeColor="text1"/>
        </w:rPr>
        <w:t>Compete ao CONSEPE:</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Elaborar e aprovar seu regimento interno, bem como resoluções específicas de sua competência.</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Definir a composição e o funcionamento de suas câmaras e comissões.</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Estabelecer as diretrizes do ensino, da pesquisa e da extensão na UFVJM.</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Emitir parecer ao CONSU sobre a criação, desmembramento, fusão e extinção de Unidades Acadêmicas ou outros órgão.</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Estabelecer as condições para a criação e atribuição de atividades acadêmicas curriculares, aprovar o número de vagas, aprovar o projeto pedagógico, a forma de funcionamento e o regulamento dos cursos de graduação e pós-graduação, bem como de outros cursos que conduzam a diploma.</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Manifestar-se sobre a criação, a reformulação, a suspensão e a extinção de cursos de graduação e pós-graduação, bem como de outros cursos que conduzam a diploma e encaminhar ao CONSU para homologação.</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Estabelecer diretrizes para criação, funcionamento e avaliação, pelas suas respectivas Câmaras, de cursos de extensão, de especialização, de atualização, de aperfeiçoamento, sequenciais e outros cursos que conduzam a certificado.</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Estabelecer diretrizes sobre formas de ingresso, processo seletivo de candidatos aos cursos de graduação e pós-graduação, regime escolar, currículos, programas de disciplinas, planos de ensino, matrícula, transferência, verificação do rendimento escolar, revalidação de diplomas, aproveitamento de estudos, além de outras que se incluam no âmbito de sua competência, respeitando-se a legislação vigente.</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Aprovar o calendário escolar da UFVJM e encaminhá-lo ao CONSU para homologação.</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Estabelecer as normas de afastamento de docentes, para fins de capacitação e cooperação.</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Avaliar e aprovar contratos, acordos e convênios, de iniciativa própria ou alheia, destinados ao ensino, à pesquisa e à extensão, com entidades locais, nacionais ou internacionais, ouvidas as pró-reitorias pertinentes nos assuntos de sua competência e atendidas as determinações do Estatuto, do Regimento Geral e da legislação vigente.</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Deliberar sobre questões relativas à avaliação acadêmica, em todos os níveis, e à avaliação institucional de cursos, mediante pronunciamento da Comissão Própria de Avaliação – CPA, respeitando a legislação vigente.</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Propor ao CONSU a criação de colegiados especiais.</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Deliberar sobre matéria de ensino, pesquisa e extensão não incluída na competência de outro órgão, e encaminhar ao CONSU para homologação.</w:t>
      </w:r>
    </w:p>
    <w:p>
      <w:pPr>
        <w:pStyle w:val="NormalWeb"/>
        <w:numPr>
          <w:ilvl w:val="0"/>
          <w:numId w:val="60"/>
        </w:numPr>
        <w:spacing w:lineRule="auto" w:line="360" w:before="0" w:after="0"/>
        <w:jc w:val="both"/>
        <w:rPr>
          <w:rFonts w:ascii="Arial" w:hAnsi="Arial" w:cs="Arial"/>
          <w:color w:val="000000" w:themeColor="text1"/>
        </w:rPr>
      </w:pPr>
      <w:r>
        <w:rPr>
          <w:rFonts w:cs="Arial"/>
          <w:color w:val="000000" w:themeColor="text1"/>
        </w:rPr>
        <w:t>Decidir sobre recursos ou representações contra matéria de ensino, pesquisa e extensão submetidos à sua apreciação.</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Web"/>
        <w:numPr>
          <w:ilvl w:val="1"/>
          <w:numId w:val="2"/>
        </w:numPr>
        <w:spacing w:lineRule="auto" w:line="360" w:before="0" w:after="0"/>
        <w:jc w:val="both"/>
        <w:rPr>
          <w:rFonts w:ascii="Arial" w:hAnsi="Arial" w:cs="Arial"/>
          <w:b/>
          <w:b/>
          <w:color w:val="000000" w:themeColor="text1"/>
        </w:rPr>
      </w:pPr>
      <w:r>
        <w:rPr>
          <w:rFonts w:cs="Arial"/>
          <w:b/>
          <w:color w:val="000000" w:themeColor="text1"/>
        </w:rPr>
        <w:t xml:space="preserve">Inserção Regional e Nacional </w:t>
      </w:r>
    </w:p>
    <w:p>
      <w:pPr>
        <w:pStyle w:val="NormalWeb"/>
        <w:spacing w:lineRule="auto" w:line="360" w:before="0" w:after="0"/>
        <w:jc w:val="both"/>
        <w:rPr>
          <w:rFonts w:ascii="Arial" w:hAnsi="Arial" w:cs="Arial"/>
          <w:color w:val="000000" w:themeColor="text1"/>
        </w:rPr>
      </w:pPr>
      <w:r>
        <w:rPr>
          <w:rFonts w:cs="Arial"/>
          <w:color w:val="000000" w:themeColor="text1"/>
        </w:rPr>
      </w:r>
    </w:p>
    <w:p>
      <w:pPr>
        <w:pStyle w:val="Normal"/>
        <w:spacing w:lineRule="auto" w:line="360"/>
        <w:ind w:firstLine="851"/>
        <w:jc w:val="both"/>
        <w:rPr>
          <w:rFonts w:ascii="Arial" w:hAnsi="Arial" w:cs="Arial"/>
          <w:bCs/>
          <w:color w:val="000000"/>
          <w:sz w:val="24"/>
          <w:szCs w:val="24"/>
        </w:rPr>
      </w:pPr>
      <w:r>
        <w:rPr>
          <w:rFonts w:cs="Arial" w:ascii="Arial" w:hAnsi="Arial"/>
          <w:bCs/>
          <w:color w:val="000000"/>
          <w:sz w:val="24"/>
          <w:szCs w:val="24"/>
          <w:highlight w:val="cyan"/>
        </w:rPr>
        <w:t>(SOLICITANTE: COMISSÃO PDI 2017-2021)</w:t>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A UFVJM caracteriza-se como uma universidade </w:t>
      </w:r>
      <w:r>
        <w:rPr>
          <w:rFonts w:cs="Arial"/>
          <w:i/>
          <w:color w:val="000000" w:themeColor="text1"/>
        </w:rPr>
        <w:t>multicampi</w:t>
      </w:r>
      <w:r>
        <w:rPr>
          <w:rFonts w:cs="Arial"/>
          <w:color w:val="000000" w:themeColor="text1"/>
        </w:rPr>
        <w:t xml:space="preserve">, com ênfase de atuação nos Vales do Jequitinhonha e Mucuri. Porém, desde a sua criação em 2005 pela Lei nº 11.173, ampliou o seu espaço de atuação - que antes abrangia os municípios de Diamantina e Teófilo Otoni e as fazendas experimentais localizadas em Curvelo, Couto de Magalhães de Minas e Serro - para as regiões Norte, com a </w:t>
      </w:r>
      <w:r>
        <w:rPr>
          <w:rFonts w:cs="Arial"/>
          <w:color w:val="000000" w:themeColor="text1"/>
          <w:highlight w:val="lightGray"/>
        </w:rPr>
        <w:t>criação</w:t>
      </w:r>
      <w:r>
        <w:rPr>
          <w:rFonts w:cs="Arial"/>
          <w:color w:val="000000" w:themeColor="text1"/>
        </w:rPr>
        <w:t xml:space="preserve"> do </w:t>
      </w:r>
      <w:r>
        <w:rPr>
          <w:rFonts w:cs="Arial"/>
          <w:i/>
          <w:color w:val="000000" w:themeColor="text1"/>
        </w:rPr>
        <w:t>Campus</w:t>
      </w:r>
      <w:r>
        <w:rPr>
          <w:rFonts w:cs="Arial"/>
          <w:color w:val="000000" w:themeColor="text1"/>
        </w:rPr>
        <w:t xml:space="preserve"> Janaúba, e o Noroeste de Minas, com a criação do </w:t>
      </w:r>
      <w:r>
        <w:rPr>
          <w:rFonts w:cs="Arial"/>
          <w:i/>
          <w:color w:val="000000" w:themeColor="text1"/>
        </w:rPr>
        <w:t>Campus</w:t>
      </w:r>
      <w:r>
        <w:rPr>
          <w:rFonts w:cs="Arial"/>
          <w:color w:val="000000" w:themeColor="text1"/>
        </w:rPr>
        <w:t xml:space="preserve"> Unaí em 2013, intensificando o exercício fundamentado no tripé ensino-pesquisa-extensão. A expansão da UFVJM para Janaúba e Unaí permitiu que a Universidade assumisse a liderança no âmbito regional em prol de um desenvolvimento equitativo e sustentável. </w:t>
      </w:r>
      <w:r>
        <w:rPr>
          <w:rFonts w:cs="Arial"/>
          <w:color w:val="4F81BD" w:themeColor="accent1"/>
        </w:rPr>
        <w:t>Faz-se necessária a consolidação de suas implementações, considerando as pactuações realizadas com o Ministério da Educação.</w:t>
      </w:r>
    </w:p>
    <w:p>
      <w:pPr>
        <w:pStyle w:val="NormalWeb"/>
        <w:spacing w:lineRule="auto" w:line="360" w:before="0" w:after="0"/>
        <w:ind w:firstLine="851"/>
        <w:jc w:val="both"/>
        <w:rPr>
          <w:rFonts w:ascii="Arial" w:hAnsi="Arial" w:cs="Arial"/>
          <w:color w:val="000000" w:themeColor="text1"/>
        </w:rPr>
      </w:pPr>
      <w:r>
        <w:rPr>
          <w:rFonts w:cs="Arial"/>
          <w:color w:val="000000" w:themeColor="text1"/>
          <w:highlight w:val="cyan"/>
        </w:rPr>
        <w:t>(SOLICITANTE: TAs JANAÚBA)</w:t>
      </w:r>
    </w:p>
    <w:p>
      <w:pPr>
        <w:pStyle w:val="NormalWeb"/>
        <w:spacing w:lineRule="auto" w:line="360" w:before="0" w:after="0"/>
        <w:ind w:firstLine="851"/>
        <w:jc w:val="both"/>
        <w:rPr>
          <w:rFonts w:ascii="Arial" w:hAnsi="Arial" w:cs="Arial"/>
          <w:color w:val="0070C0"/>
        </w:rPr>
      </w:pPr>
      <w:r>
        <w:rPr>
          <w:rFonts w:cs="Arial"/>
          <w:color w:val="0070C0"/>
        </w:rPr>
        <w:t>Criação em 2012 ou em 2013?  Acho que está confuso criação e implantação</w:t>
      </w:r>
    </w:p>
    <w:p>
      <w:pPr>
        <w:pStyle w:val="NormalWeb"/>
        <w:spacing w:lineRule="auto" w:line="360" w:before="0" w:after="0"/>
        <w:ind w:firstLine="851"/>
        <w:jc w:val="both"/>
        <w:rPr>
          <w:rFonts w:ascii="Arial" w:hAnsi="Arial" w:cs="Arial"/>
          <w:color w:val="000000" w:themeColor="text1"/>
        </w:rPr>
      </w:pPr>
      <w:r>
        <w:rPr>
          <w:rFonts w:cs="Arial"/>
          <w:color w:val="000000" w:themeColor="text1"/>
        </w:rPr>
      </w:r>
    </w:p>
    <w:p>
      <w:pPr>
        <w:pStyle w:val="Normal"/>
        <w:spacing w:lineRule="auto" w:line="360"/>
        <w:ind w:firstLine="851"/>
        <w:jc w:val="both"/>
        <w:rPr>
          <w:rFonts w:ascii="Arial" w:hAnsi="Arial" w:cs="Arial"/>
          <w:bCs/>
          <w:color w:val="000000"/>
          <w:sz w:val="24"/>
          <w:szCs w:val="24"/>
        </w:rPr>
      </w:pPr>
      <w:r>
        <w:rPr>
          <w:rFonts w:cs="Arial" w:ascii="Arial" w:hAnsi="Arial"/>
          <w:bCs/>
          <w:color w:val="000000"/>
          <w:sz w:val="24"/>
          <w:szCs w:val="24"/>
          <w:highlight w:val="cyan"/>
        </w:rPr>
        <w:t>(SOLICITANTE das duas próximas inserções: COMISSÃO PDI 2017-2021)</w:t>
      </w:r>
    </w:p>
    <w:p>
      <w:pPr>
        <w:pStyle w:val="Normal"/>
        <w:spacing w:lineRule="auto" w:line="360"/>
        <w:ind w:firstLine="851"/>
        <w:jc w:val="both"/>
        <w:rPr>
          <w:rFonts w:ascii="Arial" w:hAnsi="Arial" w:cs="Arial"/>
          <w:bCs/>
          <w:color w:val="4F81BD" w:themeColor="accent1"/>
          <w:sz w:val="24"/>
          <w:szCs w:val="24"/>
        </w:rPr>
      </w:pPr>
      <w:r>
        <w:rPr>
          <w:rFonts w:cs="Arial" w:ascii="Arial" w:hAnsi="Arial"/>
          <w:bCs/>
          <w:color w:val="4F81BD" w:themeColor="accent1"/>
          <w:sz w:val="24"/>
          <w:szCs w:val="24"/>
        </w:rPr>
        <w:t>A implantação de cursos da UFVJM no campus avançado do Moura, em Curvelo, poderá suprir carências regionais por ensino superior bem como atender aos objetivos do convênio e cessão real de uso da fazenda  feita  pelo  Município  de  Curvelo  à  UFVJM  há aproximadamente 17 anos.</w:t>
      </w:r>
    </w:p>
    <w:p>
      <w:pPr>
        <w:pStyle w:val="NormalWeb"/>
        <w:spacing w:lineRule="auto" w:line="360" w:before="0" w:after="0"/>
        <w:ind w:firstLine="851"/>
        <w:jc w:val="both"/>
        <w:rPr>
          <w:rFonts w:ascii="Arial" w:hAnsi="Arial" w:cs="Arial"/>
          <w:color w:val="000000" w:themeColor="text1"/>
        </w:rPr>
      </w:pPr>
      <w:r>
        <w:rPr>
          <w:rFonts w:cs="Arial"/>
          <w:color w:val="000000" w:themeColor="text1"/>
        </w:rPr>
        <w:t xml:space="preserve">A inclusão das cidades de Almenara, Araçuaí, Capelinha, Nanuque e Januária no Plano de Desenvolvimento Institucional 2012-2016 como possíveis localidades para instalação de novos </w:t>
      </w:r>
      <w:r>
        <w:rPr>
          <w:rFonts w:cs="Arial"/>
          <w:i/>
          <w:color w:val="000000" w:themeColor="text1"/>
        </w:rPr>
        <w:t>campi</w:t>
      </w:r>
      <w:r>
        <w:rPr>
          <w:rFonts w:cs="Arial"/>
          <w:color w:val="000000" w:themeColor="text1"/>
        </w:rPr>
        <w:t xml:space="preserve"> da UFVJM, consolida ainda mais seu caráter de instituição de ensino superior, que visa contribuir para o desenvolvimento nacional, em especial dos Vales do Jequitinhonha e do Mucuri, Norte e Noroeste de Minas Gerais. </w:t>
      </w:r>
      <w:r>
        <w:rPr>
          <w:rFonts w:cs="Arial"/>
          <w:color w:val="4F81BD" w:themeColor="accent1"/>
        </w:rPr>
        <w:t>Por isso, tais cidades permanecem neste plano de desenvolvimento.</w:t>
      </w:r>
    </w:p>
    <w:p>
      <w:pPr>
        <w:pStyle w:val="Normal1"/>
        <w:spacing w:lineRule="auto" w:line="360"/>
        <w:rPr>
          <w:rFonts w:ascii="Arial" w:hAnsi="Arial" w:cs="Arial"/>
          <w:color w:val="000000" w:themeColor="text1"/>
        </w:rPr>
      </w:pPr>
      <w:r>
        <w:rPr>
          <w:rFonts w:cs="Arial"/>
          <w:color w:val="000000" w:themeColor="text1"/>
        </w:rPr>
      </w:r>
    </w:p>
    <w:p>
      <w:pPr>
        <w:pStyle w:val="Normal1"/>
        <w:numPr>
          <w:ilvl w:val="2"/>
          <w:numId w:val="2"/>
        </w:numPr>
        <w:spacing w:lineRule="auto" w:line="360"/>
        <w:ind w:left="1560" w:hanging="720"/>
        <w:jc w:val="both"/>
        <w:rPr>
          <w:rFonts w:ascii="Arial" w:hAnsi="Arial" w:cs="Arial"/>
          <w:b/>
          <w:b/>
          <w:color w:val="000000" w:themeColor="text1"/>
        </w:rPr>
      </w:pPr>
      <w:r>
        <w:rPr>
          <w:rFonts w:cs="Arial"/>
          <w:b/>
          <w:bCs/>
          <w:color w:val="000000" w:themeColor="text1"/>
        </w:rPr>
        <w:t xml:space="preserve">FAMED </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A Direção da Faculdade de Medicina – Famed/UFVJM, informa que foram celebrados Termos de reciprocidade nº 146/2013 e nº 147/2013 entre a Universidade Federal dos Vales do Jequitinhonha e Mucuri – UFVJM, e o Hospital Nossa Senhora da Saúde – HNSS, e a Santa Casa de Caridade de Diamantina – SCCD, respectivamente, para práticas de Residências Médicas da UFVJM.</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Assinado o Termo de Cooperação Técnico Científica nº 115/2012, entre a UFVJM e o Município de Diamantina, para realização de práticas de Residências Médicas da UFVJM em instalações de saúde do Município de Diamantina. Entre a UFVJM e o Consórcio Intermunicipal de Saúde do Alto do Jequitinhonha – CISAJE, foi assinado o Termo de Reciprocidade nº 001/2015, com o mesmo objetivo dos convênios citados anteriormente.</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Também foi assinado o Termo de Credenciamento entre a Polícia Civil do Estado de Minas Gerais e a UFVJM, especificamente para o curso de graduação em Medicina, para o recebimento de cadáver não reclamado, para fins de estudo, ensino e pesquisa científica em cumprimento n. 6.737, de 13 de maio de 2004, da Polícia Civil do Estado de Minas Gerais e com a Lei nº 8.501, de 30 de novembro de 1992.</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 xml:space="preserve">Foram firmados os Convênios nº 035/2012 e 038/2012 com as Casas de Saúde de Diamantina objetivando o fomento e a execução de acordo operacional estabelecendo programa de trabalho, de forma a viabilizar a realização de estágio curricular obrigatório e práticas médicas, de estudantes do curso de graduação em Medicina e outros cursos de graduação da UFVJM. </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Em 19/08/2013 foi assinado o Termo de Adesão ao Programa Mais Médicos – Ministério da Educação/Secretaria de Educação Superior, para viabilizar a tutoria e supervisão presencial e a distância de médicos formados em instituições de educação superior brasileira ou com diploma revalidado no Brasil e médicos formados em instituições de educação superior estrangeiras.</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 xml:space="preserve">A Secretaria Executiva da Comissão Nacional de Residência Médica - CNRM, recebeu solicitação para credenciamento dos Programas de Residência Médica -PRM, em Clínica Médica, Ginecologia e Obstetrícia e Pediatria. Como consequência, foi realizada visita de avaliação </w:t>
      </w:r>
      <w:r>
        <w:rPr>
          <w:rFonts w:eastAsia="Calibri" w:cs="Arial"/>
          <w:i/>
          <w:iCs/>
          <w:color w:val="000000" w:themeColor="text1"/>
        </w:rPr>
        <w:t>in loco</w:t>
      </w:r>
      <w:r>
        <w:rPr>
          <w:rFonts w:eastAsia="Calibri" w:cs="Arial"/>
          <w:color w:val="000000" w:themeColor="text1"/>
        </w:rPr>
        <w:t>. Após análise da documentação, a relatoria da CNRM manifestou-se da seguinte forma: favorável ao Credenciamento Provisório do PRM de Clínica Médica para R1 – 4 vagas e R2 – 4 vagas; de Ginecologia e Obstetrícia R1 – 2 vagas e R2 – 2 vagas; Pediatria R1 – 2 vagas e R2 – 2 vagas. Em 13 de fevereiro de 2013 a Secretaria Executiva da CNRM, também credenciou o Programa de Residência em Neurocirurgia para R1 – 1 vaga e R2 – 1 vaga.</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No ano de 2015, a Comissão de Residência Médica da UFVJM – COREME, encaminhou a proposta para credenciamento do Programa de Residência Médica em Ortopedia. Entretanto, ainda não foi disponibilizado nenhum relatório pela referida Comissão Nacional. Em relação aos Programas de Residência Médica em Cirurgia e em Medicina da Família não foi submetida nenhuma solicitação para credenciamento à CNRM, haja vista número insuficiente de docentes com formação médica na área.</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 xml:space="preserve">Tendo em vista que: 1) não há previsão para a conclusão da liberação das vagas docentes para a primeira fase I (faltam ainda 5 vagas) e para vagas de docentes e técnicos para a fase II da implantação do curso de Medicina; 2) não há estrutura física adequada, ou seja, não foi autorizado recurso para o início das obras referentes ao prédio que abrigará o curso de graduação em Medicina; foi autorizado pelo CONSEPE a não expansão da oferta de vagas até que as questões apontadas sejam sanadas. </w:t>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r>
    </w:p>
    <w:p>
      <w:pPr>
        <w:pStyle w:val="Normal1"/>
        <w:spacing w:lineRule="auto" w:line="360"/>
        <w:jc w:val="both"/>
        <w:rPr>
          <w:rFonts w:ascii="Arial" w:hAnsi="Arial" w:cs="Arial"/>
          <w:color w:val="000000" w:themeColor="text1"/>
        </w:rPr>
      </w:pPr>
      <w:r>
        <w:rPr>
          <w:rFonts w:cs="Arial"/>
          <w:color w:val="000000" w:themeColor="text1"/>
          <w:highlight w:val="cyan"/>
        </w:rPr>
        <w:t>(SOLICITANTE: FAMMUC)</w:t>
      </w:r>
    </w:p>
    <w:p>
      <w:pPr>
        <w:pStyle w:val="Normal1"/>
        <w:numPr>
          <w:ilvl w:val="2"/>
          <w:numId w:val="2"/>
        </w:numPr>
        <w:tabs>
          <w:tab w:val="left" w:pos="1418" w:leader="none"/>
        </w:tabs>
        <w:spacing w:lineRule="auto" w:line="360"/>
        <w:ind w:left="1418" w:hanging="720"/>
        <w:jc w:val="both"/>
        <w:rPr>
          <w:rFonts w:ascii="Arial" w:hAnsi="Arial" w:cs="Arial"/>
          <w:b/>
          <w:b/>
          <w:bCs/>
          <w:color w:val="0070C0"/>
        </w:rPr>
      </w:pPr>
      <w:r>
        <w:rPr>
          <w:rFonts w:cs="Arial"/>
          <w:b/>
          <w:bCs/>
          <w:color w:val="0070C0"/>
        </w:rPr>
        <w:t xml:space="preserve">FAMMUC </w:t>
      </w:r>
    </w:p>
    <w:p>
      <w:pPr>
        <w:pStyle w:val="Normal1"/>
        <w:spacing w:lineRule="auto" w:line="360"/>
        <w:jc w:val="both"/>
        <w:rPr>
          <w:rFonts w:ascii="Arial" w:hAnsi="Arial" w:cs="Arial"/>
          <w:b/>
          <w:b/>
          <w:bCs/>
          <w:color w:val="0070C0"/>
        </w:rPr>
      </w:pPr>
      <w:r>
        <w:rPr>
          <w:rFonts w:cs="Arial"/>
          <w:b/>
          <w:bCs/>
          <w:color w:val="0070C0"/>
        </w:rPr>
      </w:r>
    </w:p>
    <w:p>
      <w:pPr>
        <w:pStyle w:val="Normal1"/>
        <w:spacing w:lineRule="auto" w:line="360"/>
        <w:jc w:val="both"/>
        <w:rPr>
          <w:rFonts w:ascii="Arial" w:hAnsi="Arial" w:cs="Arial"/>
          <w:bCs/>
          <w:color w:val="0070C0"/>
        </w:rPr>
      </w:pPr>
      <w:r>
        <w:rPr>
          <w:rFonts w:cs="Arial"/>
          <w:b/>
          <w:bCs/>
          <w:color w:val="0070C0"/>
        </w:rPr>
        <w:tab/>
      </w:r>
      <w:r>
        <w:rPr>
          <w:rFonts w:cs="Arial"/>
          <w:bCs/>
          <w:color w:val="0070C0"/>
        </w:rPr>
        <w:t>A UFVJM iniciou as atividades do curso de graduação em medicina, nos campi de Diamantina e Teófilo Otoni, ambos sediados em Minas Gerais, este último sendo o único curso de Instituição Pública do Nordeste de Minas Gerais. Cabe ressaltar que este curso, visa melhoria da saúde da região, uma vez que o interior de Minas Gerais apresenta um dos piores indicadores de relação médico/habitante do país (sendo 1 médico para 762 pessoas, Conselho Federal de Medicina 2012; IBGE 2010); além de ter um papel fundamental na transformação social da região.</w:t>
      </w:r>
    </w:p>
    <w:p>
      <w:pPr>
        <w:pStyle w:val="Normal1"/>
        <w:spacing w:lineRule="auto" w:line="360"/>
        <w:jc w:val="both"/>
        <w:rPr>
          <w:rFonts w:ascii="Arial" w:hAnsi="Arial" w:cs="Arial"/>
          <w:bCs/>
          <w:color w:val="0070C0"/>
        </w:rPr>
      </w:pPr>
      <w:r>
        <w:rPr>
          <w:rFonts w:cs="Arial"/>
          <w:bCs/>
          <w:color w:val="0070C0"/>
        </w:rPr>
        <w:tab/>
        <w:t>A expansão de vagas na graduação do curso de medicina no período entre 2012-2016 não puderam ser ampliadas em decorrência do não cumprimento da liberação do número de vagas e funções gratificadas de diferentes servidores e da deficiente estrutura física necessária para o bom andamento do curso de medicina.</w:t>
      </w:r>
    </w:p>
    <w:p>
      <w:pPr>
        <w:pStyle w:val="Normal1"/>
        <w:spacing w:lineRule="auto" w:line="360"/>
        <w:jc w:val="both"/>
        <w:rPr>
          <w:rFonts w:ascii="Arial" w:hAnsi="Arial" w:cs="Arial"/>
          <w:bCs/>
          <w:color w:val="0070C0"/>
        </w:rPr>
      </w:pPr>
      <w:r>
        <w:rPr>
          <w:rFonts w:cs="Arial"/>
          <w:bCs/>
          <w:color w:val="0070C0"/>
        </w:rPr>
        <w:tab/>
        <w:t>Em caráter regional, A FAMMUC, como Unidade Acadêmica da UFVJM, teve um papel imprescindível no desenvolvimento regional da cidade de Teófilo Otoni-MG, principalmente no que tange à melhoria da saúde coletiva. Toma-se como referência módulos e disciplinas que visando atender as Diretrizes Curriculares da Graduação em Medicina (Resolução 3 de 20 de junho de 2014) provém os alunos de atividades nas Unidades Básicas de Saúde da região e na rede conveniada, desde o início do curso; acompanhando suas ações e propondo melhorias na qualidade do serviço, principalmente pro levarem em consideração os aspectos sócio-econômico-culturais no tratamento dos pacientes residentes na região. Além destas atividades, espera-se que futuramente,  estas Instituições e outras sirvam como campo de componentes práticos e estágio obrigatório, de disciplinas, módulos e internato. Assim, foram celebrados os seguintes contratos: (1) Convênio de Estágio Nº159/2012 com a Prefeitura Municipal de Teófilo Otoni-MG; (3) Termo de Credenciamento com a Polícia Civil de Minas Gerais, credenciando a FAMMUC a receber cadáver não reclamado, para fins de estudo, extensão e pesquisa científica.</w:t>
      </w:r>
    </w:p>
    <w:p>
      <w:pPr>
        <w:pStyle w:val="Normal1"/>
        <w:spacing w:lineRule="auto" w:line="360"/>
        <w:jc w:val="both"/>
        <w:rPr>
          <w:rFonts w:ascii="Arial" w:hAnsi="Arial" w:cs="Arial"/>
          <w:bCs/>
          <w:color w:val="0070C0"/>
        </w:rPr>
      </w:pPr>
      <w:r>
        <w:rPr>
          <w:rFonts w:cs="Arial"/>
          <w:bCs/>
          <w:color w:val="0070C0"/>
        </w:rPr>
        <w:tab/>
        <w:t>Além disso, a FAMMUC, embora sendo uma jovem Unidade Acadêmica, já conta com docentes credenciados em Programas de Pós-Graduação; isso se reverte em formação de professores qualificados para lecionar nos mais diferentes níveis de Educação, ainda cabe ressaltar que a qualificação pode se reverter para a qualificação de docentes da própria Instituição.</w:t>
      </w:r>
    </w:p>
    <w:p>
      <w:pPr>
        <w:pStyle w:val="Normal"/>
        <w:rPr/>
      </w:pPr>
      <w:r>
        <w:rPr/>
      </w:r>
    </w:p>
    <w:p>
      <w:pPr>
        <w:pStyle w:val="Normal"/>
        <w:spacing w:lineRule="auto" w:line="360"/>
        <w:jc w:val="both"/>
        <w:rPr>
          <w:rFonts w:ascii="Arial" w:hAnsi="Arial" w:cs="Arial"/>
          <w:b/>
          <w:b/>
          <w:bCs/>
          <w:color w:val="000000"/>
          <w:sz w:val="24"/>
          <w:szCs w:val="24"/>
        </w:rPr>
      </w:pPr>
      <w:r>
        <w:rPr>
          <w:rFonts w:cs="Arial" w:ascii="Arial" w:hAnsi="Arial"/>
          <w:b/>
          <w:bCs/>
          <w:color w:val="000000"/>
          <w:sz w:val="24"/>
          <w:szCs w:val="24"/>
        </w:rPr>
      </w:r>
      <w:r>
        <w:br w:type="page"/>
      </w:r>
    </w:p>
    <w:p>
      <w:pPr>
        <w:pStyle w:val="Normal1"/>
        <w:spacing w:lineRule="auto" w:line="360"/>
        <w:jc w:val="both"/>
        <w:rPr>
          <w:rFonts w:ascii="Arial" w:hAnsi="Arial" w:cs="Arial"/>
        </w:rPr>
      </w:pPr>
      <w:r>
        <w:rPr>
          <w:rFonts w:cs="Arial"/>
          <w:b/>
          <w:bCs/>
          <w:color w:val="000000"/>
        </w:rPr>
        <w:t>Capítulo 2 –Ensino, Pesquisa e Extensão</w:t>
      </w:r>
    </w:p>
    <w:p>
      <w:pPr>
        <w:pStyle w:val="Normal1"/>
        <w:spacing w:lineRule="auto" w:line="360"/>
        <w:jc w:val="both"/>
        <w:rPr>
          <w:rFonts w:ascii="Arial" w:hAnsi="Arial" w:cs="Arial"/>
        </w:rPr>
      </w:pPr>
      <w:r>
        <w:rPr>
          <w:rFonts w:cs="Arial"/>
        </w:rPr>
      </w:r>
    </w:p>
    <w:p>
      <w:pPr>
        <w:pStyle w:val="Normal1"/>
        <w:spacing w:lineRule="auto" w:line="360"/>
        <w:jc w:val="both"/>
        <w:rPr>
          <w:rFonts w:ascii="Arial" w:hAnsi="Arial" w:cs="Arial"/>
        </w:rPr>
      </w:pPr>
      <w:r>
        <w:rPr>
          <w:rFonts w:cs="Arial"/>
          <w:b/>
        </w:rPr>
        <w:t xml:space="preserve">Projeto Pedagógico Institucional </w:t>
      </w:r>
    </w:p>
    <w:p>
      <w:pPr>
        <w:pStyle w:val="Normal1"/>
        <w:spacing w:lineRule="auto" w:line="360"/>
        <w:jc w:val="both"/>
        <w:rPr>
          <w:rFonts w:ascii="Arial" w:hAnsi="Arial" w:cs="Arial"/>
          <w:highlight w:val="cyan"/>
        </w:rPr>
      </w:pPr>
      <w:r>
        <w:rPr>
          <w:rFonts w:cs="Arial"/>
          <w:highlight w:val="cyan"/>
          <w:shd w:fill="FFFF00" w:val="clear"/>
        </w:rPr>
        <w:t>(DE 2.1 ATÉ 2.7 - INSERIDO APÓS APROVAÇÃO NO CONSEPE)</w:t>
      </w:r>
    </w:p>
    <w:p>
      <w:pPr>
        <w:pStyle w:val="Normal1"/>
        <w:spacing w:lineRule="auto" w:line="360"/>
        <w:jc w:val="both"/>
        <w:rPr>
          <w:rFonts w:ascii="Arial" w:hAnsi="Arial" w:cs="Arial"/>
        </w:rPr>
      </w:pPr>
      <w:r>
        <w:rPr>
          <w:rFonts w:cs="Arial"/>
          <w:highlight w:val="cyan"/>
          <w:shd w:fill="FFFF00" w:val="clear"/>
        </w:rPr>
        <w:t>(SOLICITANTE: PROGRAD)</w:t>
      </w:r>
    </w:p>
    <w:p>
      <w:pPr>
        <w:pStyle w:val="Normal1"/>
        <w:spacing w:lineRule="auto" w:line="360"/>
        <w:jc w:val="both"/>
        <w:rPr>
          <w:rFonts w:ascii="Arial" w:hAnsi="Arial" w:cs="Arial"/>
        </w:rPr>
      </w:pPr>
      <w:r>
        <w:rPr>
          <w:rFonts w:cs="Arial"/>
        </w:rPr>
      </w:r>
    </w:p>
    <w:p>
      <w:pPr>
        <w:pStyle w:val="Normal1"/>
        <w:spacing w:lineRule="auto" w:line="360"/>
        <w:jc w:val="both"/>
        <w:rPr>
          <w:rFonts w:ascii="Arial" w:hAnsi="Arial" w:cs="Arial"/>
        </w:rPr>
      </w:pPr>
      <w:r>
        <w:rPr>
          <w:rFonts w:cs="Arial"/>
          <w:b/>
        </w:rPr>
        <w:t>2.1. Princípios Pedagógicos</w:t>
      </w:r>
    </w:p>
    <w:p>
      <w:pPr>
        <w:pStyle w:val="Normal1"/>
        <w:spacing w:lineRule="auto" w:line="360"/>
        <w:ind w:firstLine="709"/>
        <w:jc w:val="both"/>
        <w:rPr>
          <w:color w:val="00000A"/>
        </w:rPr>
      </w:pPr>
      <w:r>
        <w:rPr>
          <w:color w:val="00000A"/>
        </w:rPr>
      </w:r>
    </w:p>
    <w:p>
      <w:pPr>
        <w:pStyle w:val="Normal1"/>
        <w:spacing w:lineRule="auto" w:line="360"/>
        <w:ind w:firstLine="709"/>
        <w:jc w:val="both"/>
        <w:rPr>
          <w:color w:val="00000A"/>
        </w:rPr>
      </w:pPr>
      <w:r>
        <w:rPr>
          <w:color w:val="00000A"/>
        </w:rPr>
        <w:t xml:space="preserve">A Universidade Federal dos Vales do Jequitinhonha e Mucuri está profundamente comprometida com a transformação da realidade socioeconômica e com a redução das desigualdades que permeiam as regiões nas quais se insere, em consonância com sua missão institucional. Nesse sentido, orienta sua ação pedagógica para a formação de pessoas habilitadas e comprometidas com os interesses e os desafios que emanam da sociedade, sem perder de vista as particularidades regionais e locais. </w:t>
      </w:r>
    </w:p>
    <w:p>
      <w:pPr>
        <w:pStyle w:val="Normal1"/>
        <w:shd w:val="clear" w:color="auto" w:fill="FFFFFF"/>
        <w:spacing w:lineRule="auto" w:line="360"/>
        <w:ind w:firstLine="709"/>
        <w:jc w:val="both"/>
        <w:rPr>
          <w:color w:val="00000A"/>
        </w:rPr>
      </w:pPr>
      <w:r>
        <w:rPr>
          <w:color w:val="00000A"/>
        </w:rPr>
        <w:t>O ensino deve estar integrado ao mundo do trabalho, articulando-se à realidade da prática profissional nos campos de atuação dos seus egressos, tornando-os aptos a acompanhar as contínuas mudanças do exercício profissional, bem como deve estimular a investigação, o conhecimento e a resolução de problemas, em particular os nacionais e regionais. Dessa forma, deve pautar-se por uma estrutura curricular flexível, de maneira que possa atender tanto às demandas da sociedade tecnológica moderna, quanto àquelas que direcionam a uma dimensão criativa e libertária para a cidadania.</w:t>
      </w:r>
    </w:p>
    <w:p>
      <w:pPr>
        <w:pStyle w:val="Normal1"/>
        <w:spacing w:lineRule="auto" w:line="360"/>
        <w:ind w:firstLine="709"/>
        <w:jc w:val="both"/>
        <w:rPr>
          <w:color w:val="00000A"/>
        </w:rPr>
      </w:pPr>
      <w:r>
        <w:rPr>
          <w:color w:val="00000A"/>
        </w:rPr>
        <w:t>A UFVJM reconhece a necessidade imperativa de capacitar profissionais nas mais diversificadas áreas do conhecimento, com formação básica adequada à solução de problemas, buscando dotá-los de uma postura reflexiva e da capacidade de ajustamento às novas exigências geradas pelo avanço científico e tecnológico e às exigências conjunturais em permanente evolução. Também não se abstém de repensar o modelo de ensino que há muitas gerações vem formando profissionais para um sistema bastante diversificado, em que a era tecnológica e digital exige mais do que o que é concedido aos estudantes durante a sua formação.</w:t>
      </w:r>
    </w:p>
    <w:p>
      <w:pPr>
        <w:pStyle w:val="Normal1"/>
        <w:spacing w:lineRule="auto" w:line="360"/>
        <w:ind w:firstLine="709"/>
        <w:jc w:val="both"/>
        <w:rPr>
          <w:color w:val="00000A"/>
        </w:rPr>
      </w:pPr>
      <w:r>
        <w:rPr>
          <w:color w:val="00000A"/>
        </w:rPr>
        <w:t xml:space="preserve">Nesse sentido, a UFVJM não se furtará a discriminar </w:t>
      </w:r>
      <w:r>
        <w:rPr>
          <w:b/>
          <w:color w:val="00000A"/>
        </w:rPr>
        <w:t>diretrizes pedagógicas</w:t>
      </w:r>
      <w:r>
        <w:rPr>
          <w:color w:val="00000A"/>
        </w:rPr>
        <w:t xml:space="preserve"> mais específicas, capazes de traduzir no cotidiano os </w:t>
      </w:r>
      <w:r>
        <w:rPr>
          <w:b/>
          <w:color w:val="00000A"/>
        </w:rPr>
        <w:t>princípios</w:t>
      </w:r>
      <w:r>
        <w:rPr>
          <w:color w:val="00000A"/>
        </w:rPr>
        <w:t xml:space="preserve"> a seguir, </w:t>
      </w:r>
      <w:r>
        <w:rPr>
          <w:b/>
          <w:color w:val="00000A"/>
        </w:rPr>
        <w:t>norteadores</w:t>
      </w:r>
      <w:r>
        <w:rPr>
          <w:color w:val="00000A"/>
        </w:rPr>
        <w:t xml:space="preserve"> da Instituição:</w:t>
      </w:r>
    </w:p>
    <w:p>
      <w:pPr>
        <w:pStyle w:val="Normal1"/>
        <w:spacing w:lineRule="auto" w:line="360"/>
        <w:ind w:left="709" w:hanging="0"/>
        <w:jc w:val="both"/>
        <w:rPr>
          <w:color w:val="00000A"/>
        </w:rPr>
      </w:pPr>
      <w:r>
        <w:rPr>
          <w:color w:val="00000A"/>
        </w:rPr>
        <w:t>I- gerar, desenvolver, disseminar e aplicar o conhecimento por meio do ensino, da pesquisa e da extensão, de forma indissociada e integrados na educação do cidadão, na formação técnico-profissional, na difusão da cultura e na criação filosófica, artística, literária, científica e tecnológica;</w:t>
      </w:r>
    </w:p>
    <w:p>
      <w:pPr>
        <w:pStyle w:val="Normal1"/>
        <w:spacing w:lineRule="auto" w:line="360"/>
        <w:ind w:left="709" w:hanging="0"/>
        <w:jc w:val="both"/>
        <w:rPr>
          <w:color w:val="00000A"/>
        </w:rPr>
      </w:pPr>
      <w:r>
        <w:rPr>
          <w:color w:val="00000A"/>
        </w:rPr>
        <w:t>II- estimular a criação cultural, o desenvolvimento do espírito científico e o pensamento reflexivo e crítico;</w:t>
      </w:r>
    </w:p>
    <w:p>
      <w:pPr>
        <w:pStyle w:val="Normal1"/>
        <w:spacing w:lineRule="auto" w:line="360"/>
        <w:ind w:left="709" w:hanging="0"/>
        <w:jc w:val="both"/>
        <w:rPr>
          <w:color w:val="00000A"/>
        </w:rPr>
      </w:pPr>
      <w:r>
        <w:rPr>
          <w:color w:val="00000A"/>
        </w:rPr>
        <w:t>III- formar e qualificar continuamente profissionais nas diferentes áreas do conhecimento, aptos para a participação no desenvolvimento da sociedade brasileira, zelando pela sua formação humanista e ética, de modo a contribuir para o pleno exercício da cidadania, a promoção do bem público e a melhoria da qualidade de vida;</w:t>
      </w:r>
    </w:p>
    <w:p>
      <w:pPr>
        <w:pStyle w:val="Normal1"/>
        <w:spacing w:lineRule="auto" w:line="360"/>
        <w:ind w:left="709" w:hanging="0"/>
        <w:jc w:val="both"/>
        <w:rPr>
          <w:color w:val="00000A"/>
        </w:rPr>
      </w:pPr>
      <w:r>
        <w:rPr>
          <w:color w:val="00000A"/>
        </w:rPr>
        <w:t>IV- incentivar o trabalho de pesquisa e investigação filosófica, artística, literária, científica e tecnológica nos cursos presenciais, semipresenciais e a distância;</w:t>
      </w:r>
    </w:p>
    <w:p>
      <w:pPr>
        <w:pStyle w:val="Normal1"/>
        <w:spacing w:lineRule="auto" w:line="360"/>
        <w:ind w:left="709" w:hanging="0"/>
        <w:jc w:val="both"/>
        <w:rPr>
          <w:color w:val="00000A"/>
        </w:rPr>
      </w:pPr>
      <w:r>
        <w:rPr>
          <w:color w:val="00000A"/>
        </w:rPr>
        <w:t>V- suscitar o desejo permanente de aperfeiçoamento cultural e profissional;</w:t>
      </w:r>
    </w:p>
    <w:p>
      <w:pPr>
        <w:pStyle w:val="Normal1"/>
        <w:spacing w:lineRule="auto" w:line="360"/>
        <w:ind w:left="709" w:hanging="0"/>
        <w:jc w:val="both"/>
        <w:rPr>
          <w:color w:val="00000A"/>
        </w:rPr>
      </w:pPr>
      <w:r>
        <w:rPr>
          <w:color w:val="00000A"/>
        </w:rPr>
        <w:t>VI- estimular o entendimento e o debate dos problemas do mundo moderno, em particular os regionais e nacionais;</w:t>
      </w:r>
    </w:p>
    <w:p>
      <w:pPr>
        <w:pStyle w:val="Normal1"/>
        <w:spacing w:lineRule="auto" w:line="360"/>
        <w:ind w:left="709" w:hanging="0"/>
        <w:jc w:val="both"/>
        <w:rPr>
          <w:color w:val="00000A"/>
        </w:rPr>
      </w:pPr>
      <w:r>
        <w:rPr>
          <w:color w:val="00000A"/>
        </w:rPr>
        <w:t>VII- prestar serviços à comunidade e estabelecer com esta uma relação de interatividade, por meio de ações de extensão;</w:t>
      </w:r>
    </w:p>
    <w:p>
      <w:pPr>
        <w:pStyle w:val="Normal1"/>
        <w:spacing w:lineRule="auto" w:line="360"/>
        <w:ind w:left="709" w:hanging="0"/>
        <w:jc w:val="both"/>
        <w:rPr>
          <w:color w:val="00000A"/>
        </w:rPr>
      </w:pPr>
      <w:r>
        <w:rPr>
          <w:color w:val="00000A"/>
        </w:rPr>
        <w:t>VIII- complementar a formação cultural, intelectual e ética de seu corpo docente, discente e técnico-administrativo;</w:t>
      </w:r>
    </w:p>
    <w:p>
      <w:pPr>
        <w:pStyle w:val="Normal1"/>
        <w:spacing w:lineRule="auto" w:line="360"/>
        <w:ind w:left="709" w:hanging="0"/>
        <w:jc w:val="both"/>
        <w:rPr>
          <w:color w:val="00000A"/>
        </w:rPr>
      </w:pPr>
      <w:r>
        <w:rPr>
          <w:color w:val="00000A"/>
        </w:rPr>
        <w:t>IX- contribuir para o processo de desenvolvimento das regiões dos Vales do Jequitinhonha e Mucuri, Norte e Noroeste de Minas Gerais e do Brasil.</w:t>
      </w:r>
    </w:p>
    <w:p>
      <w:pPr>
        <w:pStyle w:val="Normal1"/>
        <w:spacing w:lineRule="auto" w:line="360"/>
        <w:ind w:firstLine="709"/>
        <w:jc w:val="both"/>
        <w:rPr>
          <w:color w:val="00000A"/>
        </w:rPr>
      </w:pPr>
      <w:r>
        <w:rPr>
          <w:rFonts w:eastAsia="ArialMT"/>
          <w:color w:val="00000A"/>
        </w:rPr>
        <w:t>Os princípios que regem a educação na UFVJM constituem o eixo do planejamento das atividades acadêmicas, articuladas à pesquisa e à extensão. Pretende-se que a educação, alicerçada nesses princípios, venha consolidar e concretizar a Missão Institucional, a qual está comprometida com as demandas das comunidades contempladas por esta Instituição.</w:t>
      </w:r>
    </w:p>
    <w:p>
      <w:pPr>
        <w:pStyle w:val="Normal1"/>
        <w:spacing w:lineRule="auto" w:line="360"/>
        <w:ind w:firstLine="709"/>
        <w:jc w:val="both"/>
        <w:rPr>
          <w:color w:val="00000A"/>
        </w:rPr>
      </w:pPr>
      <w:r>
        <w:rPr>
          <w:color w:val="00000A"/>
        </w:rPr>
      </w:r>
    </w:p>
    <w:p>
      <w:pPr>
        <w:pStyle w:val="Normal1"/>
        <w:numPr>
          <w:ilvl w:val="0"/>
          <w:numId w:val="0"/>
        </w:numPr>
        <w:spacing w:lineRule="auto" w:line="360"/>
        <w:jc w:val="both"/>
        <w:outlineLvl w:val="0"/>
        <w:rPr>
          <w:color w:val="00000A"/>
        </w:rPr>
      </w:pPr>
      <w:r>
        <w:rPr>
          <w:b/>
          <w:color w:val="00000A"/>
        </w:rPr>
        <w:t xml:space="preserve">2.2. Perfil do Egresso </w:t>
      </w:r>
    </w:p>
    <w:p>
      <w:pPr>
        <w:pStyle w:val="Normal1"/>
        <w:spacing w:lineRule="auto" w:line="360"/>
        <w:ind w:firstLine="709"/>
        <w:jc w:val="both"/>
        <w:rPr>
          <w:color w:val="00000A"/>
        </w:rPr>
      </w:pPr>
      <w:r>
        <w:rPr>
          <w:color w:val="00000A"/>
        </w:rPr>
        <w:t>A orientação pedagógica da UFVJM encerra o entendimento de que a escola é responsável não apenas pelo desenvolvimento das habilidades cognitivas básicas do educando, mas também pela expansão da dimensão ética de sua personalidade,</w:t>
      </w:r>
    </w:p>
    <w:p>
      <w:pPr>
        <w:pStyle w:val="Normal1"/>
        <w:spacing w:lineRule="auto" w:line="360"/>
        <w:jc w:val="both"/>
        <w:rPr>
          <w:color w:val="00000A"/>
        </w:rPr>
      </w:pPr>
      <w:r>
        <w:rPr>
          <w:color w:val="00000A"/>
        </w:rPr>
        <w:t>de modo a formar pessoas aptas a serem sujeitos ativos e comprometidos com as transformações sociais.</w:t>
      </w:r>
    </w:p>
    <w:p>
      <w:pPr>
        <w:pStyle w:val="Normal1"/>
        <w:spacing w:lineRule="auto" w:line="360"/>
        <w:ind w:firstLine="709"/>
        <w:jc w:val="both"/>
        <w:rPr>
          <w:color w:val="00000A"/>
        </w:rPr>
      </w:pPr>
      <w:r>
        <w:rPr>
          <w:color w:val="00000A"/>
        </w:rPr>
        <w:t>Espera-se, portanto, familiarizar o estudante com o que a sociedade espera dele e não limitar a condução do mesmo às teorias ou fórmulas definitivas, mas equipá-lo com instrumentos de reflexão dentro de um contexto de investigação e de autocrítica contínuas</w:t>
      </w:r>
      <w:r>
        <w:rPr>
          <w:rFonts w:eastAsia="Times New Roman"/>
          <w:color w:val="00000A"/>
          <w:lang w:eastAsia="pt-BR"/>
        </w:rPr>
        <w:t>. A formação crítica e reflexiva do estudante da UFVJM deverá incorporar o desenvolvimento de atitudes empreendedoras que promovam o desenvolvimento regional e nacional.</w:t>
      </w:r>
    </w:p>
    <w:p>
      <w:pPr>
        <w:pStyle w:val="Normal1"/>
        <w:spacing w:lineRule="auto" w:line="360"/>
        <w:ind w:firstLine="709"/>
        <w:jc w:val="both"/>
        <w:rPr>
          <w:color w:val="00000A"/>
        </w:rPr>
      </w:pPr>
      <w:r>
        <w:rPr>
          <w:color w:val="00000A"/>
        </w:rPr>
        <w:t>Cabe à UFVJM, portanto, criar ambiente escolar favorável ao exercício intelectual, cooperativo e propício ao diálogo, onde a qualidade das relações tenha lugar importante nos processos de ensino/aprendizagem e nas situações problematizadas. Por conseguinte, que essas relações estimulem o estudante a elaborar e rever atitudes, além de construir o saber intencional e sistematizado.</w:t>
      </w:r>
    </w:p>
    <w:p>
      <w:pPr>
        <w:pStyle w:val="Normal1"/>
        <w:spacing w:lineRule="auto" w:line="360"/>
        <w:ind w:firstLine="709"/>
        <w:jc w:val="both"/>
        <w:rPr>
          <w:color w:val="00000A"/>
        </w:rPr>
      </w:pPr>
      <w:r>
        <w:rPr>
          <w:color w:val="00000A"/>
        </w:rPr>
        <w:t>Assim, os cursos da Universidade devem ter como finalidade a formação de pessoas com senso crítico, responsabilidade, comprometimento social e capacidade de compreender o seu meio, bem como, com a formação técnica e científica que os habilite a conhecer e intervir na sua realidade, por meio do desenvolvimento de um conjunto de habilidades e de conhecimentos específicos. O caminho para a construção do perfil de egresso da UFVJM deve incluir:</w:t>
      </w:r>
    </w:p>
    <w:p>
      <w:pPr>
        <w:pStyle w:val="Normal1"/>
        <w:spacing w:lineRule="auto" w:line="360"/>
        <w:ind w:left="709" w:hanging="0"/>
        <w:jc w:val="both"/>
        <w:rPr>
          <w:color w:val="00000A"/>
        </w:rPr>
      </w:pPr>
      <w:r>
        <w:rPr>
          <w:color w:val="00000A"/>
        </w:rPr>
        <w:t>a) A formação de profissionais de nível superior, habilitados técnica e humanisticamente, para enfrentar os desafios atuais e futuros da sua profissão;</w:t>
      </w:r>
    </w:p>
    <w:p>
      <w:pPr>
        <w:pStyle w:val="Normal1"/>
        <w:spacing w:lineRule="auto" w:line="360"/>
        <w:ind w:left="709" w:hanging="0"/>
        <w:jc w:val="both"/>
        <w:rPr>
          <w:color w:val="00000A"/>
        </w:rPr>
      </w:pPr>
      <w:r>
        <w:rPr>
          <w:color w:val="00000A"/>
        </w:rPr>
        <w:t>b) O estímulo ao desenvolvimento de competências para o exercício profissional consciente e integrado à busca de solução dos problemas sociais e organizacionais, qualquer que seja o nível de complexidade.</w:t>
      </w:r>
    </w:p>
    <w:p>
      <w:pPr>
        <w:pStyle w:val="Normal1"/>
        <w:spacing w:lineRule="auto" w:line="360"/>
        <w:jc w:val="both"/>
        <w:rPr>
          <w:color w:val="00000A"/>
        </w:rPr>
      </w:pPr>
      <w:r>
        <w:rPr>
          <w:color w:val="00000A"/>
        </w:rPr>
      </w:r>
    </w:p>
    <w:p>
      <w:pPr>
        <w:pStyle w:val="Normal1"/>
        <w:spacing w:lineRule="auto" w:line="360"/>
        <w:jc w:val="both"/>
        <w:rPr>
          <w:color w:val="00000A"/>
        </w:rPr>
      </w:pPr>
      <w:r>
        <w:rPr>
          <w:rFonts w:eastAsia="ArialMT"/>
          <w:b/>
          <w:bCs/>
          <w:color w:val="00000A"/>
        </w:rPr>
        <w:t>2.3. Políticas para o Ensino</w:t>
      </w:r>
    </w:p>
    <w:p>
      <w:pPr>
        <w:pStyle w:val="Normal1"/>
        <w:spacing w:lineRule="auto" w:line="360"/>
        <w:ind w:firstLine="708"/>
        <w:jc w:val="both"/>
        <w:rPr>
          <w:color w:val="00000A"/>
        </w:rPr>
      </w:pPr>
      <w:r>
        <w:rPr>
          <w:rFonts w:eastAsia="ArialMT"/>
          <w:color w:val="00000A"/>
        </w:rPr>
        <w:t>As políticas desenvolvidas pela UFVJM devem pautar-se na busca de consolidação desta universidade como uma instituição integradora dos campos acadêmico e administrativo, da teoria e prática, do ensino, pesquisa e extensão, de uma instituição que se preocupa com a formação inicial, mas também continuada e permanente dos profissionais que atuam em sua área de abrangência. Desta forma, a UFVJM contribuirá para a formação de um profissional habilitado, capacitado, responsável e solidário que poderá intervir na realidade local e regional, podendo, inclusive, gerar mudanças com grandes impactos para a nação.</w:t>
      </w:r>
    </w:p>
    <w:p>
      <w:pPr>
        <w:pStyle w:val="Normal1"/>
        <w:spacing w:lineRule="auto" w:line="360"/>
        <w:ind w:firstLine="709"/>
        <w:jc w:val="both"/>
        <w:rPr>
          <w:color w:val="00000A"/>
        </w:rPr>
      </w:pPr>
      <w:r>
        <w:rPr>
          <w:color w:val="00000A"/>
        </w:rPr>
        <w:t xml:space="preserve">A construção do </w:t>
      </w:r>
      <w:r>
        <w:rPr>
          <w:b/>
          <w:color w:val="00000A"/>
        </w:rPr>
        <w:t>projeto pedagógico dos cursos</w:t>
      </w:r>
      <w:r>
        <w:rPr>
          <w:color w:val="00000A"/>
        </w:rPr>
        <w:t xml:space="preserve"> da Universidade deve assumir, portanto, caráter interdisciplinar, considerando as especificidades, singularidades e generalidades requeridas na formação dos seus discentes. O compromisso, neste sentido, é buscar desenvolver um </w:t>
      </w:r>
      <w:r>
        <w:rPr>
          <w:b/>
          <w:color w:val="00000A"/>
        </w:rPr>
        <w:t>perfil de egresso,</w:t>
      </w:r>
      <w:r>
        <w:rPr>
          <w:color w:val="00000A"/>
        </w:rPr>
        <w:t xml:space="preserve"> cuja formação assegure a internalização de valores e convicções fundamentadas no exercício da responsabilidade social, da solidariedade e no senso crítico e ético; uma formação humanística e geral, que assegure a compreensão de seu meio social, político, econômico e cultural; uma sólida formação teórica e técnica, voltada para uma atuação crítica e reflexiva na solução dos problemas do campo profissional; e a capacidade de compreensão da necessidade contínua de aperfeiçoamento profissional e pessoal.</w:t>
      </w:r>
    </w:p>
    <w:p>
      <w:pPr>
        <w:pStyle w:val="Normal1"/>
        <w:spacing w:lineRule="auto" w:line="360"/>
        <w:ind w:firstLine="709"/>
        <w:jc w:val="both"/>
        <w:rPr>
          <w:color w:val="00000A"/>
        </w:rPr>
      </w:pPr>
      <w:r>
        <w:rPr>
          <w:color w:val="00000A"/>
        </w:rPr>
        <w:t xml:space="preserve">A </w:t>
      </w:r>
      <w:r>
        <w:rPr>
          <w:b/>
          <w:color w:val="00000A"/>
        </w:rPr>
        <w:t>organização didático-pedagógica dos cursos</w:t>
      </w:r>
      <w:r>
        <w:rPr>
          <w:color w:val="00000A"/>
        </w:rPr>
        <w:t xml:space="preserve"> da UFVJM procura seguir as tendências, recomendações e exigências atuais, sem prejuízo das orientações contidas nas Diretrizes Curriculares Nacionais. Pretende-se que os cursos da UFVJM evoluam para um modelo consoante com os novos tempos, apoiado nos princípios da interdisciplinaridade, da flexibilidade, e na busca contínua de melhoria e atualização</w:t>
      </w:r>
      <w:r>
        <w:rPr>
          <w:rFonts w:eastAsia="Times New Roman"/>
          <w:color w:val="00000A"/>
          <w:lang w:eastAsia="pt-BR"/>
        </w:rPr>
        <w:t>, proporcionando também uma educação empreendedora</w:t>
      </w:r>
      <w:r>
        <w:rPr>
          <w:rStyle w:val="Ncoradanotaderodap"/>
          <w:rFonts w:eastAsia="Times New Roman"/>
          <w:color w:val="00000A"/>
          <w:lang w:eastAsia="pt-BR"/>
        </w:rPr>
        <w:footnoteReference w:id="2"/>
      </w:r>
      <w:r>
        <w:rPr>
          <w:color w:val="00000A"/>
        </w:rPr>
        <w:t>. Sabe-se, contudo, que essa transição não é simples, tampouco rápida, e requer o comprometimento de todos os atores envolvidos.</w:t>
      </w:r>
    </w:p>
    <w:p>
      <w:pPr>
        <w:pStyle w:val="Normal1"/>
        <w:spacing w:lineRule="auto" w:line="360"/>
        <w:ind w:firstLine="709"/>
        <w:jc w:val="both"/>
        <w:rPr>
          <w:color w:val="00000A"/>
        </w:rPr>
      </w:pPr>
      <w:r>
        <w:rPr>
          <w:rFonts w:eastAsia="ArialMT"/>
          <w:color w:val="00000A"/>
        </w:rPr>
        <w:t>Na revisão dos currículos, deve-se buscar a integração e o diálogo entre áreas do conhecimento, a fim de superar a fragmentação das unidades curriculares e contribuir para uma formação mais sólida e abrangente. Nessa perspectiva,Cunha (1998, p.31) afirma que são necessárias mudanças curriculares,</w:t>
      </w:r>
    </w:p>
    <w:p>
      <w:pPr>
        <w:pStyle w:val="Normal1"/>
        <w:spacing w:lineRule="auto" w:line="360"/>
        <w:ind w:left="2268" w:hanging="0"/>
        <w:jc w:val="both"/>
        <w:rPr>
          <w:color w:val="00000A"/>
        </w:rPr>
      </w:pPr>
      <w:r>
        <w:rPr>
          <w:color w:val="00000A"/>
        </w:rPr>
      </w:r>
    </w:p>
    <w:p>
      <w:pPr>
        <w:pStyle w:val="Normal1"/>
        <w:spacing w:lineRule="auto" w:line="360"/>
        <w:ind w:left="2268" w:hanging="0"/>
        <w:jc w:val="both"/>
        <w:rPr>
          <w:color w:val="00000A"/>
        </w:rPr>
      </w:pPr>
      <w:r>
        <w:rPr>
          <w:rFonts w:eastAsia="ArialMT"/>
          <w:iCs/>
          <w:color w:val="00000A"/>
        </w:rPr>
        <w:t>que promovam ampliação e aprofundamento nos campos da ciência, da arte e da técnica, sem desconhecer que é fundamental tratar, também, dos aspectos epistemometodológicos das relações entre prática e teoria, da introdução de perspectivas interdisciplinares, de promover o pensamento crítico, a criatividade, a capacidade de resolver problemas, de unir ensino e pesquisa como indicadores de melhoria da qualidade do ensino universitário</w:t>
      </w:r>
      <w:r>
        <w:rPr>
          <w:rFonts w:eastAsia="ArialMT"/>
          <w:color w:val="00000A"/>
        </w:rPr>
        <w:t>.</w:t>
      </w:r>
    </w:p>
    <w:p>
      <w:pPr>
        <w:pStyle w:val="Normal1"/>
        <w:spacing w:lineRule="auto" w:line="360"/>
        <w:ind w:left="2268" w:hanging="0"/>
        <w:jc w:val="both"/>
        <w:rPr>
          <w:color w:val="00000A"/>
        </w:rPr>
      </w:pPr>
      <w:r>
        <w:rPr>
          <w:color w:val="00000A"/>
        </w:rPr>
      </w:r>
    </w:p>
    <w:p>
      <w:pPr>
        <w:pStyle w:val="Normal1"/>
        <w:spacing w:lineRule="auto" w:line="360"/>
        <w:ind w:firstLine="711"/>
        <w:jc w:val="both"/>
        <w:rPr>
          <w:color w:val="00000A"/>
        </w:rPr>
      </w:pPr>
      <w:r>
        <w:rPr>
          <w:rFonts w:eastAsia="Times-Roman"/>
          <w:color w:val="00000A"/>
        </w:rPr>
        <w:t>A organização curricular e o desenvolvimento das unidades curriculares devem priorizar a</w:t>
      </w:r>
      <w:r>
        <w:rPr>
          <w:color w:val="00000A"/>
        </w:rPr>
        <w:t xml:space="preserve"> articulação da teoria com a prática, a valorização da pesquisa individual e coletiva, assim como a inserção de estágios e a participação em atividades de extensão, as quais deverão ser incluídas como parte da carga horária </w:t>
      </w:r>
      <w:r>
        <w:rPr>
          <w:rFonts w:eastAsia="Times-Roman"/>
          <w:color w:val="00000A"/>
        </w:rPr>
        <w:t xml:space="preserve">curricular. </w:t>
      </w:r>
    </w:p>
    <w:p>
      <w:pPr>
        <w:pStyle w:val="Normal1"/>
        <w:spacing w:lineRule="auto" w:line="360"/>
        <w:ind w:firstLine="711"/>
        <w:jc w:val="both"/>
        <w:rPr>
          <w:color w:val="00000A"/>
        </w:rPr>
      </w:pPr>
      <w:r>
        <w:rPr>
          <w:rFonts w:eastAsia="Times-Roman"/>
          <w:color w:val="00000A"/>
        </w:rPr>
        <w:t xml:space="preserve">Assume-se também como importante eixo do processo formativo, a flexibilização curricular, agregando-se aos currículos dos cursos componentes que possibilitem ao estudante graus de autonomia para experimentar outros campos do saber e direcionar sua aprendizagem para área de maior interesse ou afinidade. Além disso, ênfase deve ser dada ao reconhecimento e valorização de </w:t>
      </w:r>
      <w:r>
        <w:rPr>
          <w:color w:val="00000A"/>
        </w:rPr>
        <w:t>conhecimentos, habilidades e competências adquiridas fora do ambiente acadêmico, advindas inclusive da experiência profissional julgada relevante para a área de formação considerada</w:t>
      </w:r>
      <w:r>
        <w:rPr>
          <w:rFonts w:eastAsia="Times-Roman"/>
          <w:color w:val="00000A"/>
        </w:rPr>
        <w:t xml:space="preserve">. </w:t>
      </w:r>
    </w:p>
    <w:p>
      <w:pPr>
        <w:pStyle w:val="Normal1"/>
        <w:spacing w:lineRule="auto" w:line="360"/>
        <w:ind w:firstLine="711"/>
        <w:jc w:val="both"/>
        <w:rPr>
          <w:color w:val="00000A"/>
        </w:rPr>
      </w:pPr>
      <w:r>
        <w:rPr>
          <w:rFonts w:eastAsia="ArialMT"/>
          <w:color w:val="00000A"/>
        </w:rPr>
        <w:t xml:space="preserve">A função institucional do ensino deve ser interpretada numa perspectiva dinâmica e participativa de construção do conhecimento e não na transmissão passiva de conteúdos por disciplinas isoladas. Nesse processo, o estudante assume a posição de sujeito, tendo o professor como um aliado, um mediador para a sua formação. </w:t>
      </w:r>
      <w:r>
        <w:rPr>
          <w:rFonts w:eastAsia="Times-Roman"/>
          <w:color w:val="00000A"/>
        </w:rPr>
        <w:t>O enfoque interdisciplinar abre espaço para que se introduzam metodologias inovadoras, especialmente as metodologias ativas e alternativas, nas práticas de ensino da Instituição.</w:t>
      </w:r>
    </w:p>
    <w:p>
      <w:pPr>
        <w:pStyle w:val="Normal1"/>
        <w:spacing w:lineRule="auto" w:line="360"/>
        <w:ind w:firstLine="711"/>
        <w:jc w:val="both"/>
        <w:rPr>
          <w:color w:val="00000A"/>
        </w:rPr>
      </w:pPr>
      <w:r>
        <w:rPr>
          <w:color w:val="00000A"/>
        </w:rPr>
      </w:r>
    </w:p>
    <w:p>
      <w:pPr>
        <w:pStyle w:val="Normal1"/>
        <w:spacing w:lineRule="auto" w:line="360"/>
        <w:jc w:val="both"/>
        <w:rPr>
          <w:color w:val="00000A"/>
        </w:rPr>
      </w:pPr>
      <w:r>
        <w:rPr>
          <w:rFonts w:eastAsia="ArialMT"/>
          <w:b/>
          <w:bCs/>
          <w:color w:val="00000A"/>
        </w:rPr>
        <w:t>2.3.1 Metodologias de Ensino e Inovações Pedagógicas</w:t>
      </w:r>
    </w:p>
    <w:p>
      <w:pPr>
        <w:pStyle w:val="Normal1"/>
        <w:spacing w:lineRule="auto" w:line="360"/>
        <w:ind w:firstLine="711"/>
        <w:jc w:val="both"/>
        <w:rPr>
          <w:color w:val="00000A"/>
        </w:rPr>
      </w:pPr>
      <w:r>
        <w:rPr>
          <w:rFonts w:eastAsia="ArialMT"/>
          <w:color w:val="00000A"/>
        </w:rPr>
        <w:t>A abordagem metodológica adotada no desenvolvimento curricular dos cursos desta Universidade deve privilegiar o processo de autoaprendizagem, num contexto de aprendizagem significativa e colaborativa, visando objetivos educacionais mais amplos do que apenas a aquisição de informações e técnicas para o exercício de uma profissão. Para que ocorra a aprendizagem significativa, é essencial que haja maior envolvimento do estudante com a comunidade onde a universidade está inserida, o aprender sobre as questões que assolam aqueles indivíduos traz significado para as situações trabalhadas, além de gerar um vínculo que pode, inclusive, contribuir para a fixação do profissional futuramente. Desta forma, reforça-se a importância do estabelecido na meta 12.7 do Plano Nacional de Educação.</w:t>
      </w:r>
    </w:p>
    <w:p>
      <w:pPr>
        <w:pStyle w:val="Normal1"/>
        <w:spacing w:lineRule="auto" w:line="360"/>
        <w:ind w:firstLine="711"/>
        <w:jc w:val="both"/>
        <w:rPr>
          <w:color w:val="00000A"/>
        </w:rPr>
      </w:pPr>
      <w:r>
        <w:rPr>
          <w:rFonts w:eastAsia="ArialMT"/>
          <w:color w:val="00000A"/>
        </w:rPr>
        <w:t>A fim de que a formação seja efetivamente pautada na realidade onde se insere a universidade, uma ampla modificação nos projetos pedagógicos está em curso, no sentido de integrar universidade e comunidades por meio das práticas extensionistas. A valoração das atividades de extensão na formação acadêmica se dará pela inserção de créditos de extensão nos currículos de graduação, peloincentivo à realização de programas, projetos, eventos, cursos e prestação de serviços, modalidades construídas a partir das discussões dos fóruns de extensão. As práticas de extensão e cultura desenvolvidas na UFVJM são normatizadas por meio das respectivas políticas institucionais, que são a base referencial para sua inserção curricular.</w:t>
      </w:r>
    </w:p>
    <w:p>
      <w:pPr>
        <w:pStyle w:val="Normal1"/>
        <w:spacing w:lineRule="auto" w:line="360"/>
        <w:ind w:firstLine="711"/>
        <w:jc w:val="both"/>
        <w:rPr>
          <w:color w:val="00000A"/>
        </w:rPr>
      </w:pPr>
      <w:r>
        <w:rPr>
          <w:rFonts w:eastAsia="ArialMT"/>
          <w:color w:val="00000A"/>
        </w:rPr>
        <w:t>As tecnologias educacionais são instrumentos importantes para o ensino, possibilitando flexibilizar o tempo que o estudante passa em sala de aula, bem como um maior respeito às individualidades, além de estimular sua capacidade para buscar informações, analisá-las e construir o conhecimento, em um processo de descobertas dirigidas e de incentivo à aprendizagem interativa em pequenos grupos. Nessa perspectiva, a organização pedagógica e curricular dos cursos de graduação presenciais poderá prever a oferta integral ou parcial de unidades curriculares na modalidade a distância, em consonância com a legislação vigente. Essa forma de oferta deve incorporar a inclusão e o uso integrado de tecnologias de informação e comunicação no desenvolvimento de métodos e práticas de ensino-aprendizagem, visando a realização dos objetivos pedagógicos, bem como prever encontros presenciais e atividades de tutoria.</w:t>
      </w:r>
    </w:p>
    <w:p>
      <w:pPr>
        <w:pStyle w:val="Normal1"/>
        <w:spacing w:lineRule="auto" w:line="360"/>
        <w:ind w:firstLine="711"/>
        <w:jc w:val="both"/>
        <w:rPr>
          <w:color w:val="00000A"/>
        </w:rPr>
      </w:pPr>
      <w:r>
        <w:rPr>
          <w:rFonts w:eastAsia="ArialMT"/>
          <w:color w:val="00000A"/>
        </w:rPr>
        <w:t>A Educação a Distância com suas estruturas e metodologias tem muito a contribuir para o ensino presencial, a partir da utilização dos instrumentos necessários ao desenvolvimento de práticas pedagógicas complementares que se servem das tecnologias digitais de comunicação e informação. Os cursos presenciais da UFVJM devem se apropriar desses instrumentos em conformidade com a legislação vigente.</w:t>
      </w:r>
    </w:p>
    <w:p>
      <w:pPr>
        <w:pStyle w:val="Normal1"/>
        <w:spacing w:lineRule="auto" w:line="360"/>
        <w:ind w:firstLine="711"/>
        <w:jc w:val="both"/>
        <w:rPr>
          <w:color w:val="00000A"/>
        </w:rPr>
      </w:pPr>
      <w:r>
        <w:rPr>
          <w:rFonts w:eastAsia="ArialMT"/>
          <w:color w:val="00000A"/>
        </w:rPr>
        <w:t>Atualmente existem alternativas que contribuem para a alteração de paradigmas em relação aos instrumentos que podem auxiliar o processo pedagógico. Dentre elas podem ser destacadas as plataformas e ambientes virtuais de aprendizagem de uso massivo e disponíveis à sociedade em geral. Esses ambientes são desenvolvidos e mantidos por Organizações Não Governamentais, bem como por Instituições de Ensino e têm o apoio institucional para o uso e desenvolvimento desses recursos. A UFVJM pretende ampliar o uso dessas alternativas por meio do incentivo ao desenvolvimento de conteúdos para ambientes virtuais de aprendizagem-AVA, bem como para sua aplicação como material de apoio e para a capacitação docente. Como contribuição à sociedade, a UFVJM apoiará as iniciativas voltadas ao desenvolvimento de conteúdo educativo destinado à comunidade externa.</w:t>
      </w:r>
    </w:p>
    <w:p>
      <w:pPr>
        <w:pStyle w:val="Normal1"/>
        <w:spacing w:lineRule="auto" w:line="360"/>
        <w:ind w:firstLine="709"/>
        <w:jc w:val="both"/>
        <w:rPr>
          <w:color w:val="00000A"/>
        </w:rPr>
      </w:pPr>
      <w:r>
        <w:rPr>
          <w:rFonts w:eastAsia="ArialMT"/>
          <w:color w:val="00000A"/>
        </w:rPr>
        <w:t xml:space="preserve">A UFVJM dispõe de laboratórios de informática, laboratórios de simulação de situações práticas, Laboratório Interdisciplinar de Formação de Educadores (LIFE) e lousas digitais, que balizam o desenvolvimento de objetos de aprendizagem e geração de conhecimento aplicável no ensino, por meio da integração da pesquisa na área de Educação. O LIFE atua através de três eixos temáticos: </w:t>
      </w:r>
      <w:r>
        <w:rPr>
          <w:color w:val="00000A"/>
        </w:rPr>
        <w:t>comunicação e linguagem; tecnologias da informação, comunicação e material didático; práticas pedagógicas e metodologias de ensino. Entre os objetivos que fundamentam as atividades do LIFE estão contempladas a socialização e o desenvolvimento coletivo de práticas e metodologias ligadas às licenciaturas nas modalidades presencial e a distância, além do estímulo ao diálogo entre os alunos e professores das escolas públicas de educação básica, os licenciandos e os professores da UFVJM. Constitui-se, portanto, em um espaço integrado para o ensino, a pesquisa e a extensão na área de Educação.</w:t>
      </w:r>
    </w:p>
    <w:p>
      <w:pPr>
        <w:pStyle w:val="Normal1"/>
        <w:spacing w:lineRule="auto" w:line="360"/>
        <w:ind w:firstLine="711"/>
        <w:jc w:val="both"/>
        <w:rPr>
          <w:color w:val="00000A"/>
        </w:rPr>
      </w:pPr>
      <w:r>
        <w:rPr>
          <w:rFonts w:eastAsia="Times-Roman"/>
          <w:color w:val="00000A"/>
        </w:rPr>
        <w:t>Diante dos constantes avanços tecnológicos que permeiam a sociedade atual, bem como a constante construção e (re)significação cultural, existe a necessidade de que a prática pedagógica esteja em consonância com as tendências sociais, em que os educandos e educadores estejam em contínuo diálogo e interação. Nesse sentido, o currículo deve ser concebido como um processo não linear e rotineiro, para tornar-se um espaço de produção coletiva e de ação crítica.</w:t>
      </w:r>
    </w:p>
    <w:p>
      <w:pPr>
        <w:pStyle w:val="Normal1"/>
        <w:spacing w:lineRule="auto" w:line="360"/>
        <w:ind w:firstLine="711"/>
        <w:jc w:val="both"/>
        <w:rPr>
          <w:color w:val="00000A"/>
        </w:rPr>
      </w:pPr>
      <w:r>
        <w:rPr>
          <w:color w:val="00000A"/>
        </w:rPr>
        <w:t xml:space="preserve">Esses são alguns sinalizadores que posicionam a linha pedagógica da UFVJM e orientam as iniciativas que devem ser formuladas e progressivamente implementadas nos próximos cinco anos. </w:t>
      </w:r>
    </w:p>
    <w:p>
      <w:pPr>
        <w:pStyle w:val="Normal1"/>
        <w:spacing w:lineRule="auto" w:line="360"/>
        <w:ind w:firstLine="711"/>
        <w:jc w:val="both"/>
        <w:rPr>
          <w:color w:val="00000A"/>
        </w:rPr>
      </w:pPr>
      <w:r>
        <w:rPr>
          <w:color w:val="00000A"/>
        </w:rPr>
      </w:r>
    </w:p>
    <w:p>
      <w:pPr>
        <w:pStyle w:val="Normal1"/>
        <w:spacing w:lineRule="auto" w:line="360"/>
        <w:ind w:firstLine="30"/>
        <w:jc w:val="both"/>
        <w:rPr>
          <w:color w:val="00000A"/>
        </w:rPr>
      </w:pPr>
      <w:r>
        <w:rPr>
          <w:b/>
          <w:bCs/>
          <w:color w:val="00000A"/>
        </w:rPr>
        <w:t>2.3.2. Diretrizes para construção dos currículos dos cursos de graduação</w:t>
      </w:r>
    </w:p>
    <w:p>
      <w:pPr>
        <w:pStyle w:val="Normal1"/>
        <w:spacing w:lineRule="auto" w:line="360"/>
        <w:ind w:left="660" w:firstLine="30"/>
        <w:jc w:val="both"/>
        <w:rPr>
          <w:color w:val="00000A"/>
        </w:rPr>
      </w:pPr>
      <w:r>
        <w:rPr>
          <w:color w:val="00000A"/>
        </w:rPr>
        <w:t>I. Atender às orientações contidas nas legislações relacionadas e demais legislações pertinentes ao ensino superior:</w:t>
      </w:r>
    </w:p>
    <w:p>
      <w:pPr>
        <w:pStyle w:val="Normal1"/>
        <w:spacing w:lineRule="auto" w:line="360"/>
        <w:ind w:left="993" w:hanging="0"/>
        <w:jc w:val="both"/>
        <w:rPr>
          <w:color w:val="00000A"/>
        </w:rPr>
      </w:pPr>
      <w:r>
        <w:rPr>
          <w:color w:val="00000A"/>
        </w:rPr>
        <w:t>a) Lei de Diretrizes e Bases da Educação Nacional;</w:t>
      </w:r>
    </w:p>
    <w:p>
      <w:pPr>
        <w:pStyle w:val="Normal1"/>
        <w:spacing w:lineRule="auto" w:line="360"/>
        <w:ind w:left="993" w:hanging="0"/>
        <w:jc w:val="both"/>
        <w:rPr>
          <w:color w:val="00000A"/>
        </w:rPr>
      </w:pPr>
      <w:r>
        <w:rPr>
          <w:color w:val="00000A"/>
        </w:rPr>
        <w:t>b) Plano Nacional de Educação;</w:t>
      </w:r>
    </w:p>
    <w:p>
      <w:pPr>
        <w:pStyle w:val="Normal1"/>
        <w:spacing w:lineRule="auto" w:line="360"/>
        <w:ind w:left="993" w:hanging="0"/>
        <w:jc w:val="both"/>
        <w:rPr>
          <w:color w:val="00000A"/>
        </w:rPr>
      </w:pPr>
      <w:r>
        <w:rPr>
          <w:color w:val="00000A"/>
        </w:rPr>
        <w:t>c) Diretrizes Curriculares Nacionais para a área de formação;</w:t>
      </w:r>
    </w:p>
    <w:p>
      <w:pPr>
        <w:pStyle w:val="Normal1"/>
        <w:spacing w:lineRule="auto" w:line="360"/>
        <w:ind w:left="993" w:hanging="0"/>
        <w:jc w:val="both"/>
        <w:rPr>
          <w:color w:val="00000A"/>
        </w:rPr>
      </w:pPr>
      <w:r>
        <w:rPr>
          <w:color w:val="00000A"/>
        </w:rPr>
        <w:t>d) Diretrizes Curriculares Nacionais para a Educação das Relações Étnico-Raciais e para o Ensino de História e Cultura Afro-Brasileira e Africana;</w:t>
      </w:r>
    </w:p>
    <w:p>
      <w:pPr>
        <w:pStyle w:val="Normal1"/>
        <w:spacing w:lineRule="auto" w:line="360"/>
        <w:ind w:left="993" w:hanging="0"/>
        <w:jc w:val="both"/>
        <w:rPr>
          <w:color w:val="00000A"/>
        </w:rPr>
      </w:pPr>
      <w:r>
        <w:rPr>
          <w:color w:val="00000A"/>
        </w:rPr>
        <w:t xml:space="preserve">e) Diretrizes Nacionais para a Educação em Direitos Humanos; </w:t>
      </w:r>
    </w:p>
    <w:p>
      <w:pPr>
        <w:pStyle w:val="Normal1"/>
        <w:spacing w:lineRule="auto" w:line="360"/>
        <w:ind w:left="993" w:hanging="0"/>
        <w:jc w:val="both"/>
        <w:rPr>
          <w:color w:val="00000A"/>
        </w:rPr>
      </w:pPr>
      <w:r>
        <w:rPr>
          <w:color w:val="00000A"/>
        </w:rPr>
        <w:t xml:space="preserve">f) Plano Nacional sobre promoção da educação ambiental; </w:t>
      </w:r>
    </w:p>
    <w:p>
      <w:pPr>
        <w:pStyle w:val="Normal1"/>
        <w:spacing w:lineRule="auto" w:line="360"/>
        <w:ind w:left="993" w:hanging="0"/>
        <w:jc w:val="both"/>
        <w:rPr>
          <w:color w:val="00000A"/>
        </w:rPr>
      </w:pPr>
      <w:r>
        <w:rPr>
          <w:color w:val="00000A"/>
        </w:rPr>
        <w:t xml:space="preserve">g) Diretrizes normativas para inclusão da Língua Brasileira de Sinais (LIBRAS) nos currículos da Educação Superior; </w:t>
      </w:r>
    </w:p>
    <w:p>
      <w:pPr>
        <w:pStyle w:val="Normal1"/>
        <w:spacing w:lineRule="auto" w:line="360"/>
        <w:ind w:left="993" w:hanging="0"/>
        <w:jc w:val="both"/>
        <w:rPr>
          <w:color w:val="00000A"/>
        </w:rPr>
      </w:pPr>
      <w:r>
        <w:rPr>
          <w:color w:val="00000A"/>
        </w:rPr>
        <w:t xml:space="preserve">h) Diretrizes sobre carga horária e duração dos cursos; </w:t>
      </w:r>
    </w:p>
    <w:p>
      <w:pPr>
        <w:pStyle w:val="Normal1"/>
        <w:spacing w:lineRule="auto" w:line="360"/>
        <w:ind w:left="993" w:hanging="0"/>
        <w:jc w:val="both"/>
        <w:rPr>
          <w:color w:val="00000A"/>
        </w:rPr>
      </w:pPr>
      <w:r>
        <w:rPr>
          <w:color w:val="00000A"/>
        </w:rPr>
        <w:t>i) Promover a inserção de créditos curriculares de extensão.</w:t>
      </w:r>
    </w:p>
    <w:p>
      <w:pPr>
        <w:pStyle w:val="Normal1"/>
        <w:spacing w:lineRule="auto" w:line="360"/>
        <w:ind w:left="709" w:hanging="0"/>
        <w:jc w:val="both"/>
        <w:rPr>
          <w:color w:val="00000A"/>
        </w:rPr>
      </w:pPr>
      <w:r>
        <w:rPr>
          <w:color w:val="00000A"/>
        </w:rPr>
        <w:t>II. Estimular uma sólida formação geral, fundamental para que o futuro graduado possa vir a suplantar os desafios de contínuas mudanças nas condições de exercício profissional e de produção do conhecimento;</w:t>
      </w:r>
    </w:p>
    <w:p>
      <w:pPr>
        <w:pStyle w:val="Normal1"/>
        <w:spacing w:lineRule="auto" w:line="360"/>
        <w:ind w:left="709" w:hanging="0"/>
        <w:jc w:val="both"/>
        <w:rPr>
          <w:color w:val="00000A"/>
        </w:rPr>
      </w:pPr>
      <w:r>
        <w:rPr>
          <w:color w:val="00000A"/>
        </w:rPr>
        <w:t>III. Fortalecer a articulação da teoria com a prática, buscando aproximar a formação do discente ao mundo do trabalho e às atividades do campo profissional;</w:t>
      </w:r>
    </w:p>
    <w:p>
      <w:pPr>
        <w:pStyle w:val="Normal1"/>
        <w:spacing w:lineRule="auto" w:line="360"/>
        <w:ind w:left="709" w:hanging="0"/>
        <w:jc w:val="both"/>
        <w:rPr>
          <w:color w:val="00000A"/>
        </w:rPr>
      </w:pPr>
      <w:r>
        <w:rPr>
          <w:color w:val="00000A"/>
        </w:rPr>
        <w:t>IV. Valorizar a pesquisa individual e coletiva, assim como os estágios e a participação em atividades de extensão, as quais deverão ser incluídas como parte da carga horária total dos cursos;</w:t>
      </w:r>
    </w:p>
    <w:p>
      <w:pPr>
        <w:pStyle w:val="Normal1"/>
        <w:spacing w:lineRule="auto" w:line="360"/>
        <w:ind w:left="709" w:hanging="0"/>
        <w:jc w:val="both"/>
        <w:rPr>
          <w:color w:val="00000A"/>
        </w:rPr>
      </w:pPr>
      <w:r>
        <w:rPr>
          <w:color w:val="00000A"/>
        </w:rPr>
        <w:t>V. Desenvolver metodologias pautadas na resolução de problemas e que estimulem a participação ativa dos discentes no processo ensino / aprendizagem, dinâmicas de trabalho em equipe, bem como práticas de estudos independentes, visando uma progressiva autonomia intelectual e profissional;</w:t>
      </w:r>
    </w:p>
    <w:p>
      <w:pPr>
        <w:pStyle w:val="Normal1"/>
        <w:spacing w:lineRule="auto" w:line="360"/>
        <w:ind w:left="709" w:hanging="0"/>
        <w:jc w:val="both"/>
        <w:rPr>
          <w:color w:val="00000A"/>
        </w:rPr>
      </w:pPr>
      <w:r>
        <w:rPr>
          <w:color w:val="00000A"/>
        </w:rPr>
        <w:t>VI. Propiciar o reconhecimento de conhecimentos, habilidades e competências adquiridas fora do ambiente escolar, inclusive aqueles que se refiram à experiência profissional julgada relevante para a área de formação considerada;</w:t>
      </w:r>
    </w:p>
    <w:p>
      <w:pPr>
        <w:pStyle w:val="Normal1"/>
        <w:spacing w:lineRule="auto" w:line="360"/>
        <w:ind w:left="709" w:hanging="0"/>
        <w:jc w:val="both"/>
        <w:rPr>
          <w:color w:val="00000A"/>
        </w:rPr>
      </w:pPr>
      <w:r>
        <w:rPr>
          <w:color w:val="00000A"/>
        </w:rPr>
        <w:t>VII. Promover o exercício da interdisciplinaridade buscando integrar os conhecimentos das áreas básicas e profissional, com vistas a favorecer uma abordagem integral e multidimensional de situações / problemas complexos a serem enfrentados no cotidiano da prática profissional;</w:t>
      </w:r>
    </w:p>
    <w:p>
      <w:pPr>
        <w:pStyle w:val="Normal1"/>
        <w:spacing w:lineRule="auto" w:line="360" w:before="0" w:after="0"/>
        <w:ind w:left="709" w:hanging="0"/>
        <w:contextualSpacing/>
        <w:jc w:val="both"/>
        <w:rPr>
          <w:color w:val="00000A"/>
        </w:rPr>
      </w:pPr>
      <w:r>
        <w:rPr>
          <w:color w:val="00000A"/>
        </w:rPr>
        <w:t>VIII. Incluir orientações para a realização de avaliações periódicas do processo de aprendizagem, que priorizem os aspectos qualitativos sobre os quantitativos, utilizem instrumentos variados e propiciem retorno ao discente sobre sua formação.</w:t>
      </w:r>
    </w:p>
    <w:p>
      <w:pPr>
        <w:pStyle w:val="Normal1"/>
        <w:spacing w:lineRule="auto" w:line="360"/>
        <w:ind w:left="709" w:hanging="0"/>
        <w:jc w:val="both"/>
        <w:rPr>
          <w:color w:val="00000A"/>
        </w:rPr>
      </w:pPr>
      <w:r>
        <w:rPr>
          <w:color w:val="00000A"/>
        </w:rPr>
        <w:t>IX. Intensificar o uso das Tecnologias Digitais de Informação e Comunicação no ensino, visando o aprimoramento da prática pedagógica e a ampliação da formação dos discentes;</w:t>
      </w:r>
    </w:p>
    <w:p>
      <w:pPr>
        <w:pStyle w:val="Normal1"/>
        <w:spacing w:lineRule="auto" w:line="360"/>
        <w:ind w:left="675" w:firstLine="30"/>
        <w:jc w:val="both"/>
        <w:rPr>
          <w:color w:val="00000A"/>
        </w:rPr>
      </w:pPr>
      <w:r>
        <w:rPr>
          <w:color w:val="00000A"/>
        </w:rPr>
        <w:t>X. Manter a Língua Brasileira de Sinais (LIBRAS) como unidade curricular obrigatória, nos cursos de formação de professores para o exercício do magistério e como unidade curricular optativa, nos demais cursos de graduação.</w:t>
      </w:r>
    </w:p>
    <w:p>
      <w:pPr>
        <w:pStyle w:val="Normal1"/>
        <w:spacing w:lineRule="auto" w:line="360"/>
        <w:ind w:left="675" w:firstLine="30"/>
        <w:jc w:val="both"/>
        <w:rPr>
          <w:color w:val="00000A"/>
        </w:rPr>
      </w:pPr>
      <w:r>
        <w:rPr>
          <w:rFonts w:eastAsia="Times New Roman"/>
          <w:color w:val="00000A"/>
          <w:lang w:eastAsia="pt-BR"/>
        </w:rPr>
        <w:t xml:space="preserve">XI. Promover a formação discente de forma a estimular o desenvolvimento de atitudes empreendedoras. </w:t>
      </w:r>
    </w:p>
    <w:p>
      <w:pPr>
        <w:pStyle w:val="Normal1"/>
        <w:spacing w:lineRule="auto" w:line="360"/>
        <w:ind w:left="675" w:firstLine="30"/>
        <w:jc w:val="both"/>
        <w:rPr>
          <w:color w:val="00000A"/>
        </w:rPr>
      </w:pPr>
      <w:r>
        <w:rPr>
          <w:color w:val="00000A"/>
        </w:rPr>
      </w:r>
    </w:p>
    <w:p>
      <w:pPr>
        <w:pStyle w:val="Normal1"/>
        <w:spacing w:lineRule="auto" w:line="360"/>
        <w:ind w:firstLine="709"/>
        <w:jc w:val="both"/>
        <w:rPr>
          <w:color w:val="00000A"/>
        </w:rPr>
      </w:pPr>
      <w:r>
        <w:rPr>
          <w:color w:val="00000A"/>
        </w:rPr>
        <w:t xml:space="preserve">Para a elaboração dos Projetos Pedagógicos no que concerne à inserção dos créditos destinados à extensão universitária, o núcleo docente-estruturante, os colegiados e coordenações de curso devem observar a normatização da Extensão na UFVJM, segundo resoluções específicas aprovadas pelo CONSEPE. </w:t>
      </w:r>
    </w:p>
    <w:p>
      <w:pPr>
        <w:pStyle w:val="Normal1"/>
        <w:spacing w:lineRule="auto" w:line="360"/>
        <w:jc w:val="both"/>
        <w:rPr>
          <w:color w:val="00000A"/>
        </w:rPr>
      </w:pPr>
      <w:r>
        <w:rPr>
          <w:color w:val="00000A"/>
        </w:rPr>
      </w:r>
    </w:p>
    <w:p>
      <w:pPr>
        <w:pStyle w:val="Normal1"/>
        <w:spacing w:lineRule="auto" w:line="360" w:before="0" w:after="0"/>
        <w:contextualSpacing/>
        <w:jc w:val="both"/>
        <w:rPr>
          <w:color w:val="00000A"/>
        </w:rPr>
      </w:pPr>
      <w:r>
        <w:rPr>
          <w:b/>
          <w:color w:val="00000A"/>
        </w:rPr>
        <w:t xml:space="preserve">2.4. Organização Acadêmica do Ensino de Graduação </w:t>
      </w:r>
    </w:p>
    <w:p>
      <w:pPr>
        <w:pStyle w:val="Normal1"/>
        <w:spacing w:lineRule="auto" w:line="360" w:before="0" w:after="0"/>
        <w:contextualSpacing/>
        <w:jc w:val="both"/>
        <w:rPr>
          <w:color w:val="00000A"/>
        </w:rPr>
      </w:pPr>
      <w:r>
        <w:rPr>
          <w:b/>
          <w:color w:val="00000A"/>
        </w:rPr>
        <w:t>2.4.1 Oferta Institucional de Cursos e Vagas</w:t>
      </w:r>
    </w:p>
    <w:p>
      <w:pPr>
        <w:pStyle w:val="Normal1"/>
        <w:spacing w:lineRule="auto" w:line="360"/>
        <w:ind w:firstLine="709"/>
        <w:jc w:val="both"/>
        <w:rPr>
          <w:color w:val="00000A"/>
        </w:rPr>
      </w:pPr>
      <w:r>
        <w:rPr>
          <w:color w:val="00000A"/>
        </w:rPr>
        <w:t xml:space="preserve">Nos últimos dez anos, a UFVJM expandiu significativamente, ampliando seus </w:t>
      </w:r>
      <w:r>
        <w:rPr>
          <w:i/>
          <w:color w:val="00000A"/>
        </w:rPr>
        <w:t>Campi</w:t>
      </w:r>
      <w:r>
        <w:rPr>
          <w:color w:val="00000A"/>
        </w:rPr>
        <w:t>, cursos de graduação e, consequentemente, a oferta de vagas para a população dos Vales do Jequitinhonha e Mucuri e das regiões Norte e Noroeste de Minas Gerais, anteriormente excluídas do sistema público de ensino superior, em virtude da ausência de universidade pública e gratuita nessa região.</w:t>
      </w:r>
    </w:p>
    <w:p>
      <w:pPr>
        <w:pStyle w:val="Normal1"/>
        <w:spacing w:lineRule="auto" w:line="360"/>
        <w:ind w:firstLine="709"/>
        <w:jc w:val="both"/>
        <w:rPr>
          <w:color w:val="00000A"/>
        </w:rPr>
      </w:pPr>
      <w:r>
        <w:rPr>
          <w:color w:val="00000A"/>
        </w:rPr>
        <w:t xml:space="preserve">A UFVJM firmou seu papel de Universidade regional cumprindo gradativamente a missão institucional no campo do ensino, da produção de conhecimentos e da extensão. A expansão empreendida pela UFVJM teve como pilares as demandas regionais, sendo fruto de debates com as comunidades universitária e externa. A escolha dos cursos resultou da realização de audiências públicas, bem como de fóruns com a Secretaria de Estado da Educação de Minas Gerais, nesse caso, para definição das licenciaturas. </w:t>
      </w:r>
    </w:p>
    <w:p>
      <w:pPr>
        <w:pStyle w:val="Normal1"/>
        <w:spacing w:lineRule="auto" w:line="360"/>
        <w:ind w:firstLine="851"/>
        <w:jc w:val="both"/>
        <w:rPr>
          <w:color w:val="00000A"/>
        </w:rPr>
      </w:pPr>
      <w:r>
        <w:rPr>
          <w:color w:val="00000A"/>
        </w:rPr>
        <w:t>Nesse contexto, a oferta institucional de cursos de graduação e a ampliação das vagas, nas modalidades de bacharelado e licenciatura, estão fortemente vinculadas às necessidades de formação profissional, tendo como foco o desenvolvimento regional nas diversas áreas e a melhoria da qualidade da educação básica pública. Como contribuição, nota-se uma modificação gradativa no perfil social e na consciência política da população regional, com famílias que tiveram a oportunidade de ver seus primeiros filhos receberem formação superior e iniciarem um processo de mudança em todo o contexto familiar.</w:t>
      </w:r>
    </w:p>
    <w:p>
      <w:pPr>
        <w:pStyle w:val="Normal1"/>
        <w:spacing w:lineRule="auto" w:line="360"/>
        <w:ind w:firstLine="709"/>
        <w:jc w:val="both"/>
        <w:rPr>
          <w:color w:val="00000A"/>
        </w:rPr>
      </w:pPr>
      <w:r>
        <w:rPr>
          <w:color w:val="00000A"/>
        </w:rPr>
        <w:t>A UFVJM conta, hoje, com 48 (quarenta e oito) cursos de graduação presenciais (Tabela 1) distribuídos em onze Unidades Acadêmicas: Faculdade de Ciências Agrárias (FCA), Faculdade de Ciências Biológicas e da Saúde (FCBS), Faculdade de Ciências Exatas e Tecnológicas (FACET), Faculdade Interdisciplinar em Humanidades (FIH), Instituto de Ciência e Tecnologia (ICT), Faculdade de Medicina (FAMED), Faculdade de Ciências Sociais Aplicadas e Exatas (FACSAE), Instituto de Ciência, Engenharia e Tecnologia (ICET), Faculdade de Medicina do Mucuri (FAMMUC), Instituto de Engenharia, Ciência e Tecnologia (IECT), Instituto de Ciências Agrárias (ICA).</w:t>
      </w:r>
    </w:p>
    <w:p>
      <w:pPr>
        <w:pStyle w:val="Normal1"/>
        <w:spacing w:lineRule="auto" w:line="360"/>
        <w:ind w:firstLine="709"/>
        <w:jc w:val="both"/>
        <w:rPr>
          <w:color w:val="00000A"/>
        </w:rPr>
      </w:pPr>
      <w:r>
        <w:rPr>
          <w:color w:val="00000A"/>
        </w:rPr>
        <w:t>Com o objetivo de levar a educação superior à população impossibilitada de acessar o ensino presencial, bem como fortalecer a formação de professores para a educação básica, nas áreas do conhecimento em que ainda há carência de formação na região, a UFVJM oferece por meio da Diretoria de Educação a Distância, 4 (quatro) cursos na modalidade a distância, sendo 3 (três) licenciaturas e um bacharelado.</w:t>
      </w:r>
    </w:p>
    <w:p>
      <w:pPr>
        <w:pStyle w:val="Normal1"/>
        <w:spacing w:lineRule="auto" w:line="360"/>
        <w:ind w:firstLine="709"/>
        <w:jc w:val="both"/>
        <w:rPr>
          <w:color w:val="00000A"/>
        </w:rPr>
      </w:pPr>
      <w:r>
        <w:rPr>
          <w:color w:val="00000A"/>
        </w:rPr>
        <w:t xml:space="preserve">Dentre os cursos ofertados pela UFVJM, conforme as Tabelas 1 e 2, estão incluídos 13 cursos de licenciaturas, nas modalidades presencial e a distância, que apresentam especial importância para as regiões onde a universidade se insere, devido à demanda por esses profissionais. </w:t>
      </w:r>
    </w:p>
    <w:p>
      <w:pPr>
        <w:pStyle w:val="Normal1"/>
        <w:spacing w:lineRule="auto" w:line="360"/>
        <w:ind w:firstLine="709"/>
        <w:jc w:val="both"/>
        <w:rPr>
          <w:color w:val="00000A"/>
        </w:rPr>
      </w:pPr>
      <w:r>
        <w:rPr>
          <w:color w:val="00000A"/>
        </w:rPr>
        <w:t>As formas de ingresso aos cursos de graduação são: Seleção Seriada (Sasi); Sistema de Seleção Unificada (SiSU); Processo Seletivo para cursos de Licenciatura em Educação do Campo; Processo Seletivo para cursos de Graduação a Distância.</w:t>
      </w:r>
    </w:p>
    <w:p>
      <w:pPr>
        <w:pStyle w:val="Normal1"/>
        <w:spacing w:lineRule="auto" w:line="360"/>
        <w:ind w:firstLine="709"/>
        <w:jc w:val="both"/>
        <w:rPr>
          <w:color w:val="00000A"/>
        </w:rPr>
      </w:pPr>
      <w:r>
        <w:rPr>
          <w:color w:val="00000A"/>
        </w:rPr>
        <w:t>A Sasi é o processo seletivo no qual o candidato é avaliado ao longo de três etapas consecutivas, uma ao final de cada série do Ensino Médio, sendo que a classificação resulta da soma das três avaliações. Ao final de cada etapa, o candidato tem acesso à nota obtida, oportunizando a avaliação do seu rendimento, redirecionamento dos seus estudos e definição de aptidões. Na Sasi, a escolha do curso pretendido é feita apenas na terceira etapa avaliativa.</w:t>
      </w:r>
    </w:p>
    <w:p>
      <w:pPr>
        <w:pStyle w:val="Normal1"/>
        <w:spacing w:lineRule="auto" w:line="360"/>
        <w:ind w:firstLine="709"/>
        <w:jc w:val="both"/>
        <w:rPr>
          <w:color w:val="00000A"/>
        </w:rPr>
      </w:pPr>
      <w:r>
        <w:rPr>
          <w:color w:val="00000A"/>
        </w:rPr>
        <w:t>O SiSU é gerenciado pelo Ministério da Educação e constitui o processo seletivo por meio do qual os candidatos são selecionados exclusivamente por meio da nota obtida no Exame Nacional dos Estudantes do Ensino Médio (Enem).</w:t>
      </w:r>
    </w:p>
    <w:p>
      <w:pPr>
        <w:pStyle w:val="Normal1"/>
        <w:spacing w:lineRule="auto" w:line="360"/>
        <w:ind w:firstLine="709"/>
        <w:jc w:val="both"/>
        <w:rPr>
          <w:color w:val="00000A"/>
        </w:rPr>
      </w:pPr>
      <w:r>
        <w:rPr>
          <w:color w:val="00000A"/>
        </w:rPr>
        <w:t>O Processo Seletivo para cursos de Licenciatura em Educação do Campo é realizado anualmente e consiste na realização de uma prova que contempla os conteúdos referentes ao Ensino Médio e uma de produção de textos.</w:t>
      </w:r>
    </w:p>
    <w:p>
      <w:pPr>
        <w:pStyle w:val="Normal1"/>
        <w:spacing w:lineRule="auto" w:line="360"/>
        <w:ind w:firstLine="709"/>
        <w:jc w:val="both"/>
        <w:rPr>
          <w:color w:val="00000A"/>
        </w:rPr>
      </w:pPr>
      <w:r>
        <w:rPr>
          <w:color w:val="00000A"/>
        </w:rPr>
        <w:t>Finalmente, o Processo Seletivo para cursos de Graduação a Distância é realizado em duas modalidades: pela utilização da nota do Enem e via processo seletivo próprio, este último realizado por meio de prova de conteúdos referentes ao Ensino Médio e de produção de textos. Do total das vagas disponibilizadas para a graduação a distância, 50% são ofertadas na seleção via utilização das notas do Enem e os 50% restantes são ofertadas via processo seletivo próprio.</w:t>
      </w:r>
    </w:p>
    <w:p>
      <w:pPr>
        <w:pStyle w:val="Normal1"/>
        <w:spacing w:lineRule="auto" w:line="360"/>
        <w:ind w:firstLine="709"/>
        <w:jc w:val="both"/>
        <w:rPr>
          <w:color w:val="00000A"/>
        </w:rPr>
      </w:pPr>
      <w:r>
        <w:rPr>
          <w:color w:val="00000A"/>
        </w:rPr>
        <w:t>A UFVJM busca ampliar a inclusão, no ambiente acadêmico, da população residente nas suas áreas de abrangência. Com esse intuito, modificará no próximo quinquênio a oferta de vagas aos cursos de graduação presenciais, destinando nos processos seletivos para os dois semestres letivos, 50% das vagas para a Sasi, sendo o restante para o ingresso via SiSU, excetuando-se as vagas para o curso de Educação do Campo, cuja seleção é realizada em processo seletivo específico.</w:t>
      </w:r>
    </w:p>
    <w:p>
      <w:pPr>
        <w:pStyle w:val="Normal1"/>
        <w:spacing w:lineRule="auto" w:line="360"/>
        <w:ind w:firstLine="709"/>
        <w:jc w:val="both"/>
        <w:rPr>
          <w:color w:val="00000A"/>
        </w:rPr>
      </w:pPr>
      <w:r>
        <w:rPr>
          <w:color w:val="00000A"/>
        </w:rPr>
      </w:r>
    </w:p>
    <w:p>
      <w:pPr>
        <w:pStyle w:val="Normal1"/>
        <w:numPr>
          <w:ilvl w:val="0"/>
          <w:numId w:val="0"/>
        </w:numPr>
        <w:spacing w:lineRule="auto" w:line="360"/>
        <w:jc w:val="center"/>
        <w:outlineLvl w:val="0"/>
        <w:rPr>
          <w:color w:val="00000A"/>
        </w:rPr>
      </w:pPr>
      <w:r>
        <w:rPr>
          <w:b/>
          <w:color w:val="00000A"/>
        </w:rPr>
        <w:t>Tabela 1 - Oferta de vagas em cursos presenciais da UFVJM.</w:t>
      </w:r>
    </w:p>
    <w:tbl>
      <w:tblPr>
        <w:tblW w:w="9068"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4a0"/>
      </w:tblPr>
      <w:tblGrid>
        <w:gridCol w:w="3228"/>
        <w:gridCol w:w="3342"/>
        <w:gridCol w:w="1101"/>
        <w:gridCol w:w="1396"/>
      </w:tblGrid>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Unidade Acadêmica</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58" w:type="dxa"/>
            </w:tcMar>
          </w:tcPr>
          <w:p>
            <w:pPr>
              <w:pStyle w:val="Normal1"/>
              <w:spacing w:before="0" w:after="200"/>
              <w:jc w:val="center"/>
              <w:rPr>
                <w:color w:val="00000A"/>
              </w:rPr>
            </w:pPr>
            <w:r>
              <w:rPr>
                <w:b/>
                <w:color w:val="00000A"/>
              </w:rPr>
              <w:t>Cursos</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Turno</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Vagas/ano</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73" w:type="dxa"/>
            </w:tcMar>
          </w:tcPr>
          <w:p>
            <w:pPr>
              <w:pStyle w:val="Normal1"/>
              <w:spacing w:before="0" w:after="200"/>
              <w:jc w:val="center"/>
              <w:rPr>
                <w:color w:val="00000A"/>
              </w:rPr>
            </w:pPr>
            <w:r>
              <w:rPr>
                <w:b/>
                <w:color w:val="00000A"/>
              </w:rPr>
              <w:t>Campus em Diamantina</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Faculdade de Ciências Agrárias – FCA</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 xml:space="preserve">Agronomia </w:t>
            </w:r>
          </w:p>
          <w:p>
            <w:pPr>
              <w:pStyle w:val="Normal1"/>
              <w:jc w:val="both"/>
              <w:rPr>
                <w:color w:val="00000A"/>
              </w:rPr>
            </w:pPr>
            <w:r>
              <w:rPr>
                <w:color w:val="00000A"/>
              </w:rPr>
              <w:t>Engenharia Florestal</w:t>
            </w:r>
          </w:p>
          <w:p>
            <w:pPr>
              <w:pStyle w:val="Normal1"/>
              <w:spacing w:before="0" w:after="200"/>
              <w:jc w:val="both"/>
              <w:rPr>
                <w:color w:val="00000A"/>
              </w:rPr>
            </w:pPr>
            <w:r>
              <w:rPr>
                <w:color w:val="00000A"/>
              </w:rPr>
              <w:t>Zootecnia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50</w:t>
            </w:r>
          </w:p>
          <w:p>
            <w:pPr>
              <w:pStyle w:val="Normal1"/>
              <w:jc w:val="center"/>
              <w:rPr>
                <w:color w:val="00000A"/>
              </w:rPr>
            </w:pPr>
            <w:r>
              <w:rPr>
                <w:color w:val="00000A"/>
              </w:rPr>
              <w:t>50</w:t>
            </w:r>
          </w:p>
          <w:p>
            <w:pPr>
              <w:pStyle w:val="Normal1"/>
              <w:spacing w:before="0" w:after="200"/>
              <w:jc w:val="center"/>
              <w:rPr>
                <w:color w:val="00000A"/>
              </w:rPr>
            </w:pPr>
            <w:r>
              <w:rPr>
                <w:color w:val="00000A"/>
              </w:rPr>
              <w:t>50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150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Faculdade de Ciências Biológicas e da Saúde – FCBS</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rPr>
                <w:color w:val="00000A"/>
              </w:rPr>
            </w:pPr>
            <w:r>
              <w:rPr>
                <w:color w:val="00000A"/>
              </w:rPr>
              <w:t>Ciências Biológicas (Licenciatura)</w:t>
            </w:r>
          </w:p>
          <w:p>
            <w:pPr>
              <w:pStyle w:val="Normal1"/>
              <w:rPr>
                <w:color w:val="00000A"/>
              </w:rPr>
            </w:pPr>
            <w:r>
              <w:rPr>
                <w:color w:val="00000A"/>
              </w:rPr>
              <w:t>Educação Física (Licenciatura)</w:t>
            </w:r>
          </w:p>
          <w:p>
            <w:pPr>
              <w:pStyle w:val="Normal1"/>
              <w:rPr>
                <w:color w:val="00000A"/>
              </w:rPr>
            </w:pPr>
            <w:r>
              <w:rPr>
                <w:color w:val="00000A"/>
              </w:rPr>
              <w:t>Educação Física (Bacharelado)</w:t>
            </w:r>
          </w:p>
          <w:p>
            <w:pPr>
              <w:pStyle w:val="Normal1"/>
              <w:rPr>
                <w:color w:val="00000A"/>
              </w:rPr>
            </w:pPr>
            <w:r>
              <w:rPr>
                <w:color w:val="00000A"/>
              </w:rPr>
              <w:t xml:space="preserve">Enfermagem </w:t>
            </w:r>
          </w:p>
          <w:p>
            <w:pPr>
              <w:pStyle w:val="Normal1"/>
              <w:jc w:val="both"/>
              <w:rPr>
                <w:color w:val="00000A"/>
              </w:rPr>
            </w:pPr>
            <w:r>
              <w:rPr>
                <w:color w:val="00000A"/>
              </w:rPr>
              <w:t xml:space="preserve">Farmácia </w:t>
            </w:r>
          </w:p>
          <w:p>
            <w:pPr>
              <w:pStyle w:val="Normal1"/>
              <w:jc w:val="both"/>
              <w:rPr>
                <w:color w:val="00000A"/>
              </w:rPr>
            </w:pPr>
            <w:r>
              <w:rPr>
                <w:color w:val="00000A"/>
              </w:rPr>
              <w:t xml:space="preserve">Fisioterapia </w:t>
            </w:r>
          </w:p>
          <w:p>
            <w:pPr>
              <w:pStyle w:val="Normal1"/>
              <w:jc w:val="both"/>
              <w:rPr>
                <w:color w:val="00000A"/>
              </w:rPr>
            </w:pPr>
            <w:r>
              <w:rPr>
                <w:color w:val="00000A"/>
              </w:rPr>
              <w:t xml:space="preserve">Nutrição </w:t>
            </w:r>
          </w:p>
          <w:p>
            <w:pPr>
              <w:pStyle w:val="Normal1"/>
              <w:spacing w:before="0" w:after="200"/>
              <w:jc w:val="both"/>
              <w:rPr>
                <w:color w:val="00000A"/>
              </w:rPr>
            </w:pPr>
            <w:r>
              <w:rPr>
                <w:color w:val="00000A"/>
              </w:rPr>
              <w:t>Odontologia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60</w:t>
            </w:r>
          </w:p>
          <w:p>
            <w:pPr>
              <w:pStyle w:val="Normal1"/>
              <w:jc w:val="center"/>
              <w:rPr>
                <w:color w:val="00000A"/>
              </w:rPr>
            </w:pPr>
            <w:r>
              <w:rPr>
                <w:color w:val="00000A"/>
              </w:rPr>
              <w:t>44</w:t>
            </w:r>
          </w:p>
          <w:p>
            <w:pPr>
              <w:pStyle w:val="Normal1"/>
              <w:jc w:val="center"/>
              <w:rPr>
                <w:color w:val="00000A"/>
              </w:rPr>
            </w:pPr>
            <w:r>
              <w:rPr>
                <w:color w:val="00000A"/>
              </w:rPr>
              <w:t>36</w:t>
            </w:r>
          </w:p>
          <w:p>
            <w:pPr>
              <w:pStyle w:val="Normal1"/>
              <w:jc w:val="center"/>
              <w:rPr>
                <w:color w:val="00000A"/>
              </w:rPr>
            </w:pPr>
            <w:r>
              <w:rPr>
                <w:color w:val="00000A"/>
              </w:rPr>
              <w:t>30</w:t>
            </w:r>
          </w:p>
          <w:p>
            <w:pPr>
              <w:pStyle w:val="Normal1"/>
              <w:jc w:val="center"/>
              <w:rPr>
                <w:color w:val="00000A"/>
              </w:rPr>
            </w:pPr>
            <w:r>
              <w:rPr>
                <w:color w:val="00000A"/>
              </w:rPr>
              <w:t>60</w:t>
            </w:r>
          </w:p>
          <w:p>
            <w:pPr>
              <w:pStyle w:val="Normal1"/>
              <w:jc w:val="center"/>
              <w:rPr>
                <w:color w:val="00000A"/>
              </w:rPr>
            </w:pPr>
            <w:r>
              <w:rPr>
                <w:color w:val="00000A"/>
              </w:rPr>
              <w:t>60</w:t>
            </w:r>
          </w:p>
          <w:p>
            <w:pPr>
              <w:pStyle w:val="Normal1"/>
              <w:jc w:val="center"/>
              <w:rPr>
                <w:color w:val="00000A"/>
              </w:rPr>
            </w:pPr>
            <w:r>
              <w:rPr>
                <w:color w:val="00000A"/>
              </w:rPr>
              <w:t>50</w:t>
            </w:r>
          </w:p>
          <w:p>
            <w:pPr>
              <w:pStyle w:val="Normal1"/>
              <w:spacing w:before="0" w:after="200"/>
              <w:jc w:val="center"/>
              <w:rPr>
                <w:color w:val="00000A"/>
              </w:rPr>
            </w:pPr>
            <w:r>
              <w:rPr>
                <w:color w:val="00000A"/>
              </w:rPr>
              <w:t>60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400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Faculdade de Ciências Exatas e Tecnológicas – FACET</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 xml:space="preserve">Sistemas de Informação </w:t>
            </w:r>
          </w:p>
          <w:p>
            <w:pPr>
              <w:pStyle w:val="Normal1"/>
              <w:spacing w:before="0" w:after="200"/>
              <w:jc w:val="both"/>
              <w:rPr>
                <w:color w:val="00000A"/>
              </w:rPr>
            </w:pPr>
            <w:r>
              <w:rPr>
                <w:color w:val="00000A"/>
              </w:rPr>
              <w:t>Química (Licenciatura)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center"/>
              <w:rPr>
                <w:color w:val="00000A"/>
              </w:rPr>
            </w:pPr>
            <w:r>
              <w:rPr>
                <w:color w:val="00000A"/>
              </w:rPr>
              <w:t>Noturno</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60</w:t>
            </w:r>
          </w:p>
          <w:p>
            <w:pPr>
              <w:pStyle w:val="Normal1"/>
              <w:spacing w:before="0" w:after="200"/>
              <w:jc w:val="center"/>
              <w:rPr>
                <w:color w:val="00000A"/>
              </w:rPr>
            </w:pPr>
            <w:r>
              <w:rPr>
                <w:color w:val="00000A"/>
              </w:rPr>
              <w:t>60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120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Faculdade Interdisciplinar em Humanidades – FIH</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Bacharelado em Humanidades Letras/Espanhol (Licenciatura)*</w:t>
            </w:r>
          </w:p>
          <w:p>
            <w:pPr>
              <w:pStyle w:val="Normal1"/>
              <w:jc w:val="both"/>
              <w:rPr>
                <w:color w:val="00000A"/>
              </w:rPr>
            </w:pPr>
            <w:r>
              <w:rPr>
                <w:color w:val="00000A"/>
              </w:rPr>
              <w:t>Letras/Inglês (Licenciatura)*</w:t>
            </w:r>
          </w:p>
          <w:p>
            <w:pPr>
              <w:pStyle w:val="Normal1"/>
              <w:jc w:val="both"/>
              <w:rPr>
                <w:color w:val="00000A"/>
              </w:rPr>
            </w:pPr>
            <w:r>
              <w:rPr>
                <w:color w:val="00000A"/>
              </w:rPr>
              <w:t>Geografia (Licenciatura)*</w:t>
            </w:r>
          </w:p>
          <w:p>
            <w:pPr>
              <w:pStyle w:val="Normal1"/>
              <w:jc w:val="both"/>
              <w:rPr>
                <w:color w:val="00000A"/>
              </w:rPr>
            </w:pPr>
            <w:r>
              <w:rPr>
                <w:color w:val="00000A"/>
              </w:rPr>
              <w:t>História (Licenciatura)*</w:t>
            </w:r>
          </w:p>
          <w:p>
            <w:pPr>
              <w:pStyle w:val="Normal1"/>
              <w:jc w:val="both"/>
              <w:rPr>
                <w:color w:val="00000A"/>
              </w:rPr>
            </w:pPr>
            <w:r>
              <w:rPr>
                <w:color w:val="00000A"/>
              </w:rPr>
              <w:t>Pedagogia (Licenciatura)*</w:t>
            </w:r>
          </w:p>
          <w:p>
            <w:pPr>
              <w:pStyle w:val="Normal1"/>
              <w:jc w:val="both"/>
              <w:rPr>
                <w:color w:val="00000A"/>
              </w:rPr>
            </w:pPr>
            <w:r>
              <w:rPr>
                <w:color w:val="00000A"/>
              </w:rPr>
              <w:t xml:space="preserve">Turismo </w:t>
            </w:r>
          </w:p>
          <w:p>
            <w:pPr>
              <w:pStyle w:val="Normal1"/>
              <w:spacing w:before="0" w:after="200"/>
              <w:jc w:val="both"/>
              <w:rPr>
                <w:color w:val="00000A"/>
              </w:rPr>
            </w:pPr>
            <w:r>
              <w:rPr>
                <w:color w:val="00000A"/>
              </w:rPr>
              <w:t>Educação do Campo (Licenciatura)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400</w:t>
            </w:r>
            <w:r>
              <w:rPr>
                <w:rStyle w:val="Ncoradanotaderodap"/>
                <w:color w:val="00000A"/>
              </w:rPr>
              <w:footnoteReference w:id="3"/>
            </w:r>
          </w:p>
          <w:p>
            <w:pPr>
              <w:pStyle w:val="Normal1"/>
              <w:jc w:val="center"/>
              <w:rPr>
                <w:color w:val="00000A"/>
              </w:rPr>
            </w:pPr>
            <w:r>
              <w:rPr>
                <w:color w:val="00000A"/>
              </w:rPr>
              <w:t>--</w:t>
            </w:r>
          </w:p>
          <w:p>
            <w:pPr>
              <w:pStyle w:val="Normal1"/>
              <w:jc w:val="center"/>
              <w:rPr>
                <w:color w:val="00000A"/>
              </w:rPr>
            </w:pPr>
            <w:r>
              <w:rPr>
                <w:color w:val="00000A"/>
              </w:rPr>
              <w:t>--</w:t>
            </w:r>
          </w:p>
          <w:p>
            <w:pPr>
              <w:pStyle w:val="Normal1"/>
              <w:jc w:val="center"/>
              <w:rPr>
                <w:color w:val="00000A"/>
              </w:rPr>
            </w:pPr>
            <w:r>
              <w:rPr>
                <w:color w:val="00000A"/>
              </w:rPr>
              <w:t>--</w:t>
            </w:r>
          </w:p>
          <w:p>
            <w:pPr>
              <w:pStyle w:val="Normal1"/>
              <w:jc w:val="center"/>
              <w:rPr>
                <w:color w:val="00000A"/>
              </w:rPr>
            </w:pPr>
            <w:r>
              <w:rPr>
                <w:color w:val="00000A"/>
              </w:rPr>
              <w:t>--</w:t>
            </w:r>
          </w:p>
          <w:p>
            <w:pPr>
              <w:pStyle w:val="Normal1"/>
              <w:jc w:val="center"/>
              <w:rPr>
                <w:color w:val="00000A"/>
              </w:rPr>
            </w:pPr>
            <w:r>
              <w:rPr>
                <w:color w:val="00000A"/>
              </w:rPr>
              <w:t>--</w:t>
            </w:r>
          </w:p>
          <w:p>
            <w:pPr>
              <w:pStyle w:val="Normal1"/>
              <w:jc w:val="center"/>
              <w:rPr>
                <w:color w:val="00000A"/>
              </w:rPr>
            </w:pPr>
            <w:r>
              <w:rPr>
                <w:color w:val="00000A"/>
              </w:rPr>
              <w:t>80</w:t>
            </w:r>
          </w:p>
          <w:p>
            <w:pPr>
              <w:pStyle w:val="Normal1"/>
              <w:spacing w:before="0" w:after="200"/>
              <w:jc w:val="center"/>
              <w:rPr>
                <w:color w:val="00000A"/>
              </w:rPr>
            </w:pPr>
            <w:r>
              <w:rPr>
                <w:color w:val="00000A"/>
              </w:rPr>
              <w:t>60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540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Instituto de Ciência e Tecnologia – ICT</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 xml:space="preserve">Bacharelado em Ciência e Tecnologia </w:t>
            </w:r>
          </w:p>
          <w:p>
            <w:pPr>
              <w:pStyle w:val="Normal1"/>
              <w:jc w:val="both"/>
              <w:rPr>
                <w:color w:val="00000A"/>
              </w:rPr>
            </w:pPr>
            <w:r>
              <w:rPr>
                <w:color w:val="00000A"/>
              </w:rPr>
              <w:t>Eng. de Alimentos**</w:t>
            </w:r>
          </w:p>
          <w:p>
            <w:pPr>
              <w:pStyle w:val="Normal1"/>
              <w:jc w:val="both"/>
              <w:rPr>
                <w:color w:val="00000A"/>
              </w:rPr>
            </w:pPr>
            <w:r>
              <w:rPr>
                <w:color w:val="00000A"/>
              </w:rPr>
              <w:t xml:space="preserve">Eng. Mecânica** </w:t>
            </w:r>
          </w:p>
          <w:p>
            <w:pPr>
              <w:pStyle w:val="Normal1"/>
              <w:jc w:val="both"/>
              <w:rPr>
                <w:color w:val="00000A"/>
              </w:rPr>
            </w:pPr>
            <w:r>
              <w:rPr>
                <w:color w:val="00000A"/>
              </w:rPr>
              <w:t>Eng. Química**</w:t>
            </w:r>
          </w:p>
          <w:p>
            <w:pPr>
              <w:pStyle w:val="Normal1"/>
              <w:spacing w:before="0" w:after="200"/>
              <w:jc w:val="both"/>
              <w:rPr>
                <w:color w:val="00000A"/>
              </w:rPr>
            </w:pPr>
            <w:r>
              <w:rPr>
                <w:color w:val="00000A"/>
              </w:rPr>
              <w:t>Eng. Geológica**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Integral</w:t>
            </w:r>
          </w:p>
          <w:p>
            <w:pPr>
              <w:pStyle w:val="Normal1"/>
              <w:jc w:val="center"/>
              <w:rPr>
                <w:color w:val="00000A"/>
              </w:rPr>
            </w:pPr>
            <w:r>
              <w:rPr>
                <w:color w:val="00000A"/>
              </w:rPr>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300</w:t>
            </w:r>
          </w:p>
          <w:p>
            <w:pPr>
              <w:pStyle w:val="Normal1"/>
              <w:jc w:val="center"/>
              <w:rPr>
                <w:color w:val="00000A"/>
              </w:rPr>
            </w:pPr>
            <w:r>
              <w:rPr>
                <w:color w:val="00000A"/>
              </w:rPr>
            </w:r>
          </w:p>
          <w:p>
            <w:pPr>
              <w:pStyle w:val="Normal1"/>
              <w:jc w:val="center"/>
              <w:rPr>
                <w:color w:val="00000A"/>
              </w:rPr>
            </w:pPr>
            <w:r>
              <w:rPr>
                <w:color w:val="00000A"/>
              </w:rPr>
              <w:t>--</w:t>
            </w:r>
          </w:p>
          <w:p>
            <w:pPr>
              <w:pStyle w:val="Normal1"/>
              <w:jc w:val="center"/>
              <w:rPr>
                <w:color w:val="00000A"/>
              </w:rPr>
            </w:pPr>
            <w:r>
              <w:rPr>
                <w:color w:val="00000A"/>
              </w:rPr>
              <w:t>--</w:t>
            </w:r>
          </w:p>
          <w:p>
            <w:pPr>
              <w:pStyle w:val="Normal1"/>
              <w:jc w:val="center"/>
              <w:rPr>
                <w:color w:val="00000A"/>
              </w:rPr>
            </w:pPr>
            <w:r>
              <w:rPr>
                <w:color w:val="00000A"/>
              </w:rPr>
              <w:t>--</w:t>
            </w:r>
          </w:p>
          <w:p>
            <w:pPr>
              <w:pStyle w:val="Normal1"/>
              <w:spacing w:before="0" w:after="200"/>
              <w:jc w:val="center"/>
              <w:rPr>
                <w:color w:val="00000A"/>
              </w:rPr>
            </w:pPr>
            <w:r>
              <w:rPr>
                <w:color w:val="00000A"/>
              </w:rPr>
              <w:t>--</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300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Faculdade de Medicina de Diamantina - FAMED</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spacing w:before="0" w:after="200"/>
              <w:jc w:val="both"/>
              <w:rPr>
                <w:color w:val="00000A"/>
              </w:rPr>
            </w:pPr>
            <w:r>
              <w:rPr>
                <w:color w:val="00000A"/>
              </w:rPr>
              <w:t>Medicina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center"/>
              <w:rPr>
                <w:color w:val="00000A"/>
              </w:rPr>
            </w:pPr>
            <w:r>
              <w:rPr>
                <w:color w:val="00000A"/>
              </w:rPr>
              <w:t>60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60</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73" w:type="dxa"/>
            </w:tcMar>
          </w:tcPr>
          <w:p>
            <w:pPr>
              <w:pStyle w:val="Normal1"/>
              <w:spacing w:before="0" w:after="200"/>
              <w:jc w:val="center"/>
              <w:rPr>
                <w:color w:val="00000A"/>
              </w:rPr>
            </w:pPr>
            <w:r>
              <w:rPr>
                <w:b/>
                <w:color w:val="00000A"/>
              </w:rPr>
              <w:t>Campus em Teófilo Otoni</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Faculdade de Ciências Sociais Aplicadas e Exatas – FACSAE</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 xml:space="preserve">Administração </w:t>
            </w:r>
          </w:p>
          <w:p>
            <w:pPr>
              <w:pStyle w:val="Normal1"/>
              <w:jc w:val="both"/>
              <w:rPr>
                <w:color w:val="00000A"/>
              </w:rPr>
            </w:pPr>
            <w:r>
              <w:rPr>
                <w:color w:val="00000A"/>
              </w:rPr>
              <w:t xml:space="preserve">Ciências Contábeis </w:t>
            </w:r>
          </w:p>
          <w:p>
            <w:pPr>
              <w:pStyle w:val="Normal1"/>
              <w:jc w:val="both"/>
              <w:rPr>
                <w:color w:val="00000A"/>
              </w:rPr>
            </w:pPr>
            <w:r>
              <w:rPr>
                <w:color w:val="00000A"/>
              </w:rPr>
              <w:t xml:space="preserve">Ciências Econômicas </w:t>
            </w:r>
          </w:p>
          <w:p>
            <w:pPr>
              <w:pStyle w:val="Normal1"/>
              <w:jc w:val="both"/>
              <w:rPr>
                <w:color w:val="00000A"/>
              </w:rPr>
            </w:pPr>
            <w:r>
              <w:rPr>
                <w:color w:val="00000A"/>
              </w:rPr>
              <w:t>Matemática(Licenciatura)</w:t>
            </w:r>
          </w:p>
          <w:p>
            <w:pPr>
              <w:pStyle w:val="Normal1"/>
              <w:spacing w:before="0" w:after="200"/>
              <w:jc w:val="both"/>
              <w:rPr>
                <w:color w:val="00000A"/>
              </w:rPr>
            </w:pPr>
            <w:r>
              <w:rPr>
                <w:color w:val="00000A"/>
              </w:rPr>
              <w:t>Serviço Social</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jc w:val="center"/>
              <w:rPr>
                <w:color w:val="00000A"/>
              </w:rPr>
            </w:pPr>
            <w:r>
              <w:rPr>
                <w:color w:val="00000A"/>
              </w:rPr>
              <w:t>Noturno</w:t>
            </w:r>
          </w:p>
          <w:p>
            <w:pPr>
              <w:pStyle w:val="Normal1"/>
              <w:spacing w:before="0" w:after="200"/>
              <w:jc w:val="center"/>
              <w:rPr>
                <w:color w:val="00000A"/>
              </w:rPr>
            </w:pPr>
            <w:r>
              <w:rPr>
                <w:color w:val="00000A"/>
              </w:rPr>
              <w:t>Noturno</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60</w:t>
            </w:r>
          </w:p>
          <w:p>
            <w:pPr>
              <w:pStyle w:val="Normal1"/>
              <w:jc w:val="center"/>
              <w:rPr>
                <w:color w:val="00000A"/>
              </w:rPr>
            </w:pPr>
            <w:r>
              <w:rPr>
                <w:color w:val="00000A"/>
              </w:rPr>
              <w:t>60</w:t>
            </w:r>
          </w:p>
          <w:p>
            <w:pPr>
              <w:pStyle w:val="Normal1"/>
              <w:jc w:val="center"/>
              <w:rPr>
                <w:color w:val="00000A"/>
              </w:rPr>
            </w:pPr>
            <w:r>
              <w:rPr>
                <w:color w:val="00000A"/>
              </w:rPr>
              <w:t>60</w:t>
            </w:r>
          </w:p>
          <w:p>
            <w:pPr>
              <w:pStyle w:val="Normal1"/>
              <w:jc w:val="center"/>
              <w:rPr>
                <w:color w:val="00000A"/>
              </w:rPr>
            </w:pPr>
            <w:r>
              <w:rPr>
                <w:color w:val="00000A"/>
              </w:rPr>
              <w:t>60</w:t>
            </w:r>
          </w:p>
          <w:p>
            <w:pPr>
              <w:pStyle w:val="Normal1"/>
              <w:spacing w:before="0" w:after="200"/>
              <w:jc w:val="center"/>
              <w:rPr>
                <w:color w:val="00000A"/>
              </w:rPr>
            </w:pPr>
            <w:r>
              <w:rPr>
                <w:color w:val="00000A"/>
              </w:rPr>
              <w:t>60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300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Instituto de Ciência, Engenharia e Tecnologia - ICET</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 xml:space="preserve">Bacharelado em Ciência e Tecnologia </w:t>
            </w:r>
          </w:p>
          <w:p>
            <w:pPr>
              <w:pStyle w:val="Normal1"/>
              <w:jc w:val="both"/>
              <w:rPr>
                <w:color w:val="00000A"/>
              </w:rPr>
            </w:pPr>
            <w:r>
              <w:rPr>
                <w:color w:val="00000A"/>
              </w:rPr>
              <w:t>Eng. Civil**</w:t>
            </w:r>
          </w:p>
          <w:p>
            <w:pPr>
              <w:pStyle w:val="Normal1"/>
              <w:jc w:val="both"/>
              <w:rPr>
                <w:color w:val="00000A"/>
              </w:rPr>
            </w:pPr>
            <w:r>
              <w:rPr>
                <w:color w:val="00000A"/>
              </w:rPr>
              <w:t>Eng. Hídrica**</w:t>
            </w:r>
          </w:p>
          <w:p>
            <w:pPr>
              <w:pStyle w:val="Normal1"/>
              <w:spacing w:before="0" w:after="200"/>
              <w:jc w:val="both"/>
              <w:rPr>
                <w:color w:val="00000A"/>
              </w:rPr>
            </w:pPr>
            <w:r>
              <w:rPr>
                <w:color w:val="00000A"/>
              </w:rPr>
              <w:t>Eng. de Produção**</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Integral</w:t>
            </w:r>
          </w:p>
          <w:p>
            <w:pPr>
              <w:pStyle w:val="Normal1"/>
              <w:jc w:val="center"/>
              <w:rPr>
                <w:color w:val="00000A"/>
              </w:rPr>
            </w:pPr>
            <w:r>
              <w:rPr>
                <w:color w:val="00000A"/>
              </w:rPr>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240</w:t>
            </w:r>
          </w:p>
          <w:p>
            <w:pPr>
              <w:pStyle w:val="Normal1"/>
              <w:jc w:val="center"/>
              <w:rPr>
                <w:color w:val="00000A"/>
              </w:rPr>
            </w:pPr>
            <w:r>
              <w:rPr>
                <w:color w:val="00000A"/>
              </w:rPr>
            </w:r>
          </w:p>
          <w:p>
            <w:pPr>
              <w:pStyle w:val="Normal1"/>
              <w:jc w:val="center"/>
              <w:rPr>
                <w:color w:val="00000A"/>
              </w:rPr>
            </w:pPr>
            <w:r>
              <w:rPr>
                <w:color w:val="00000A"/>
              </w:rPr>
              <w:t>--</w:t>
            </w:r>
          </w:p>
          <w:p>
            <w:pPr>
              <w:pStyle w:val="Normal1"/>
              <w:jc w:val="center"/>
              <w:rPr>
                <w:color w:val="00000A"/>
              </w:rPr>
            </w:pPr>
            <w:r>
              <w:rPr>
                <w:color w:val="00000A"/>
              </w:rPr>
              <w:t>--</w:t>
            </w:r>
          </w:p>
          <w:p>
            <w:pPr>
              <w:pStyle w:val="Normal1"/>
              <w:spacing w:before="0" w:after="200"/>
              <w:jc w:val="center"/>
              <w:rPr>
                <w:color w:val="00000A"/>
              </w:rPr>
            </w:pPr>
            <w:r>
              <w:rPr>
                <w:color w:val="00000A"/>
              </w:rPr>
              <w:t>--</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240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Faculdade de Medicina do Mucuri - FAMMUC</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spacing w:before="0" w:after="200"/>
              <w:jc w:val="both"/>
              <w:rPr>
                <w:color w:val="00000A"/>
              </w:rPr>
            </w:pPr>
            <w:r>
              <w:rPr>
                <w:color w:val="00000A"/>
              </w:rPr>
              <w:t>Medicina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center"/>
              <w:rPr>
                <w:color w:val="00000A"/>
              </w:rPr>
            </w:pPr>
            <w:r>
              <w:rPr>
                <w:color w:val="00000A"/>
              </w:rPr>
              <w:t>60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60</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73" w:type="dxa"/>
            </w:tcMar>
          </w:tcPr>
          <w:p>
            <w:pPr>
              <w:pStyle w:val="Normal1"/>
              <w:spacing w:before="0" w:after="200"/>
              <w:jc w:val="center"/>
              <w:rPr>
                <w:color w:val="00000A"/>
              </w:rPr>
            </w:pPr>
            <w:r>
              <w:rPr>
                <w:b/>
                <w:color w:val="00000A"/>
              </w:rPr>
              <w:t>Campus em Janaúba</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Instituto de Engenharia, Ciência e Tecnologia - IECT</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 xml:space="preserve">Bacharelado em Ciência e Tecnologia </w:t>
            </w:r>
          </w:p>
          <w:p>
            <w:pPr>
              <w:pStyle w:val="Normal1"/>
              <w:jc w:val="both"/>
              <w:rPr>
                <w:color w:val="00000A"/>
              </w:rPr>
            </w:pPr>
            <w:r>
              <w:rPr>
                <w:color w:val="00000A"/>
              </w:rPr>
              <w:t>Eng. Física**</w:t>
            </w:r>
          </w:p>
          <w:p>
            <w:pPr>
              <w:pStyle w:val="Normal1"/>
              <w:jc w:val="both"/>
              <w:rPr>
                <w:color w:val="00000A"/>
              </w:rPr>
            </w:pPr>
            <w:r>
              <w:rPr>
                <w:color w:val="00000A"/>
              </w:rPr>
              <w:t>Eng. de Minas**</w:t>
            </w:r>
          </w:p>
          <w:p>
            <w:pPr>
              <w:pStyle w:val="Normal1"/>
              <w:jc w:val="both"/>
              <w:rPr>
                <w:color w:val="00000A"/>
              </w:rPr>
            </w:pPr>
            <w:r>
              <w:rPr>
                <w:color w:val="00000A"/>
              </w:rPr>
              <w:t>Eng. de Materiais**</w:t>
            </w:r>
          </w:p>
          <w:p>
            <w:pPr>
              <w:pStyle w:val="Normal1"/>
              <w:jc w:val="both"/>
              <w:rPr>
                <w:color w:val="00000A"/>
              </w:rPr>
            </w:pPr>
            <w:r>
              <w:rPr>
                <w:color w:val="00000A"/>
              </w:rPr>
              <w:t>Eng. Metalúrgica**</w:t>
            </w:r>
          </w:p>
          <w:p>
            <w:pPr>
              <w:pStyle w:val="Normal1"/>
              <w:spacing w:before="0" w:after="200"/>
              <w:jc w:val="both"/>
              <w:rPr>
                <w:color w:val="00000A"/>
              </w:rPr>
            </w:pPr>
            <w:r>
              <w:rPr>
                <w:color w:val="00000A"/>
              </w:rPr>
              <w:t>Química Industrial**</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Integral</w:t>
            </w:r>
          </w:p>
          <w:p>
            <w:pPr>
              <w:pStyle w:val="Normal1"/>
              <w:jc w:val="center"/>
              <w:rPr>
                <w:color w:val="00000A"/>
              </w:rPr>
            </w:pPr>
            <w:r>
              <w:rPr>
                <w:color w:val="00000A"/>
              </w:rPr>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400</w:t>
            </w:r>
          </w:p>
          <w:p>
            <w:pPr>
              <w:pStyle w:val="Normal1"/>
              <w:jc w:val="center"/>
              <w:rPr>
                <w:color w:val="00000A"/>
              </w:rPr>
            </w:pPr>
            <w:r>
              <w:rPr>
                <w:color w:val="00000A"/>
              </w:rPr>
            </w:r>
          </w:p>
          <w:p>
            <w:pPr>
              <w:pStyle w:val="Normal1"/>
              <w:spacing w:before="0" w:after="200"/>
              <w:jc w:val="center"/>
              <w:rPr>
                <w:color w:val="00000A"/>
              </w:rPr>
            </w:pPr>
            <w:r>
              <w:rPr>
                <w:color w:val="00000A"/>
              </w:rPr>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400</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73" w:type="dxa"/>
            </w:tcMar>
          </w:tcPr>
          <w:p>
            <w:pPr>
              <w:pStyle w:val="Normal1"/>
              <w:spacing w:before="0" w:after="200"/>
              <w:jc w:val="center"/>
              <w:rPr>
                <w:color w:val="00000A"/>
              </w:rPr>
            </w:pPr>
            <w:r>
              <w:rPr>
                <w:b/>
                <w:color w:val="00000A"/>
              </w:rPr>
              <w:t>Campus em Unaí</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spacing w:before="0" w:after="200"/>
              <w:jc w:val="both"/>
              <w:rPr>
                <w:color w:val="00000A"/>
              </w:rPr>
            </w:pPr>
            <w:r>
              <w:rPr>
                <w:color w:val="00000A"/>
              </w:rPr>
              <w:t>Instituto de Ciências Agrárias - ICA</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3" w:type="dxa"/>
            </w:tcMar>
          </w:tcPr>
          <w:p>
            <w:pPr>
              <w:pStyle w:val="Normal1"/>
              <w:jc w:val="both"/>
              <w:rPr>
                <w:color w:val="00000A"/>
              </w:rPr>
            </w:pPr>
            <w:r>
              <w:rPr>
                <w:color w:val="00000A"/>
              </w:rPr>
              <w:t>Bacharelado em Ciências Agrárias</w:t>
            </w:r>
          </w:p>
          <w:p>
            <w:pPr>
              <w:pStyle w:val="Normal1"/>
              <w:jc w:val="both"/>
              <w:rPr>
                <w:color w:val="00000A"/>
              </w:rPr>
            </w:pPr>
            <w:r>
              <w:rPr>
                <w:color w:val="00000A"/>
              </w:rPr>
              <w:t>Agronomia</w:t>
            </w:r>
          </w:p>
          <w:p>
            <w:pPr>
              <w:pStyle w:val="Normal1"/>
              <w:jc w:val="both"/>
              <w:rPr>
                <w:color w:val="00000A"/>
              </w:rPr>
            </w:pPr>
            <w:r>
              <w:rPr>
                <w:color w:val="00000A"/>
              </w:rPr>
              <w:t>Engenharia Agrícola e Ambiental</w:t>
            </w:r>
          </w:p>
          <w:p>
            <w:pPr>
              <w:pStyle w:val="Normal1"/>
              <w:jc w:val="both"/>
              <w:rPr>
                <w:color w:val="00000A"/>
              </w:rPr>
            </w:pPr>
            <w:r>
              <w:rPr>
                <w:color w:val="00000A"/>
              </w:rPr>
              <w:t>Zootecnia</w:t>
            </w:r>
          </w:p>
          <w:p>
            <w:pPr>
              <w:pStyle w:val="Normal1"/>
              <w:spacing w:before="0" w:after="200"/>
              <w:jc w:val="both"/>
              <w:rPr>
                <w:color w:val="00000A"/>
              </w:rPr>
            </w:pPr>
            <w:r>
              <w:rPr>
                <w:color w:val="00000A"/>
              </w:rPr>
              <w:t>Medicina Veterinária</w:t>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Integral</w:t>
            </w:r>
          </w:p>
          <w:p>
            <w:pPr>
              <w:pStyle w:val="Normal1"/>
              <w:jc w:val="center"/>
              <w:rPr>
                <w:color w:val="00000A"/>
              </w:rPr>
            </w:pPr>
            <w:r>
              <w:rPr>
                <w:color w:val="00000A"/>
              </w:rPr>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jc w:val="center"/>
              <w:rPr>
                <w:color w:val="00000A"/>
              </w:rPr>
            </w:pPr>
            <w:r>
              <w:rPr>
                <w:color w:val="00000A"/>
              </w:rPr>
              <w:t>Integral</w:t>
            </w:r>
          </w:p>
          <w:p>
            <w:pPr>
              <w:pStyle w:val="Normal1"/>
              <w:spacing w:before="0" w:after="200"/>
              <w:jc w:val="center"/>
              <w:rPr>
                <w:color w:val="00000A"/>
              </w:rPr>
            </w:pPr>
            <w:r>
              <w:rPr>
                <w:color w:val="00000A"/>
              </w:rPr>
              <w:t>Integral</w:t>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 xml:space="preserve">320 </w:t>
            </w:r>
          </w:p>
          <w:p>
            <w:pPr>
              <w:pStyle w:val="Normal1"/>
              <w:jc w:val="center"/>
              <w:rPr>
                <w:color w:val="00000A"/>
              </w:rPr>
            </w:pPr>
            <w:r>
              <w:rPr>
                <w:color w:val="00000A"/>
              </w:rPr>
              <w:t>--</w:t>
            </w:r>
          </w:p>
          <w:p>
            <w:pPr>
              <w:pStyle w:val="Normal1"/>
              <w:jc w:val="center"/>
              <w:rPr>
                <w:color w:val="00000A"/>
              </w:rPr>
            </w:pPr>
            <w:r>
              <w:rPr>
                <w:color w:val="00000A"/>
              </w:rPr>
              <w:t>--</w:t>
            </w:r>
          </w:p>
          <w:p>
            <w:pPr>
              <w:pStyle w:val="Normal1"/>
              <w:jc w:val="center"/>
              <w:rPr>
                <w:color w:val="00000A"/>
              </w:rPr>
            </w:pPr>
            <w:r>
              <w:rPr>
                <w:color w:val="00000A"/>
              </w:rPr>
              <w:t>--</w:t>
            </w:r>
          </w:p>
          <w:p>
            <w:pPr>
              <w:pStyle w:val="Normal1"/>
              <w:spacing w:before="0" w:after="200"/>
              <w:jc w:val="center"/>
              <w:rPr>
                <w:color w:val="00000A"/>
              </w:rPr>
            </w:pPr>
            <w:r>
              <w:rPr>
                <w:color w:val="00000A"/>
              </w:rPr>
              <w:t>--</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Subtotal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320</w:t>
            </w:r>
          </w:p>
        </w:tc>
      </w:tr>
      <w:tr>
        <w:trPr/>
        <w:tc>
          <w:tcPr>
            <w:tcW w:w="3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color w:val="00000A"/>
              </w:rPr>
              <w:t>Total</w:t>
            </w:r>
          </w:p>
        </w:tc>
        <w:tc>
          <w:tcPr>
            <w:tcW w:w="33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3" w:type="dxa"/>
            </w:tcMar>
          </w:tcPr>
          <w:p>
            <w:pPr>
              <w:pStyle w:val="Normal1"/>
              <w:spacing w:before="0" w:after="200"/>
              <w:jc w:val="both"/>
              <w:rPr>
                <w:color w:val="00000A"/>
              </w:rPr>
            </w:pPr>
            <w:r>
              <w:rPr>
                <w:color w:val="00000A"/>
              </w:rPr>
            </w:r>
          </w:p>
        </w:tc>
        <w:tc>
          <w:tcPr>
            <w:tcW w:w="1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color w:val="00000A"/>
              </w:rPr>
            </w:r>
          </w:p>
        </w:tc>
        <w:tc>
          <w:tcPr>
            <w:tcW w:w="13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color w:val="00000A"/>
              </w:rPr>
              <w:t>2890</w:t>
            </w:r>
          </w:p>
        </w:tc>
      </w:tr>
    </w:tbl>
    <w:p>
      <w:pPr>
        <w:pStyle w:val="Normal1"/>
        <w:spacing w:lineRule="auto" w:line="360"/>
        <w:jc w:val="center"/>
        <w:rPr>
          <w:color w:val="00000A"/>
        </w:rPr>
      </w:pPr>
      <w:bookmarkStart w:id="0" w:name="__DdeLink__1920_790956633"/>
      <w:bookmarkEnd w:id="0"/>
      <w:r>
        <w:rPr>
          <w:color w:val="00000A"/>
        </w:rPr>
        <w:t>Fonte: Pró-Reitoria de Graduação – PROGRAD/UFVJM</w:t>
      </w:r>
    </w:p>
    <w:p>
      <w:pPr>
        <w:pStyle w:val="Normal1"/>
        <w:jc w:val="both"/>
        <w:rPr>
          <w:color w:val="00000A"/>
        </w:rPr>
      </w:pPr>
      <w:r>
        <w:rPr>
          <w:color w:val="00000A"/>
        </w:rPr>
        <w:t xml:space="preserve">* Cursos decorrentes do Bacharelado em Humanidades. </w:t>
      </w:r>
    </w:p>
    <w:p>
      <w:pPr>
        <w:pStyle w:val="Normal1"/>
        <w:jc w:val="both"/>
        <w:rPr>
          <w:color w:val="00000A"/>
        </w:rPr>
      </w:pPr>
      <w:r>
        <w:rPr>
          <w:color w:val="00000A"/>
        </w:rPr>
        <w:t>** Cursos decorrentes do Bacharelado em Ciência e Tecnologia</w:t>
      </w:r>
    </w:p>
    <w:p>
      <w:pPr>
        <w:pStyle w:val="Normal1"/>
        <w:jc w:val="both"/>
        <w:rPr>
          <w:color w:val="00000A"/>
        </w:rPr>
      </w:pPr>
      <w:r>
        <w:rPr>
          <w:color w:val="00000A"/>
        </w:rPr>
      </w:r>
    </w:p>
    <w:p>
      <w:pPr>
        <w:pStyle w:val="Normal1"/>
        <w:numPr>
          <w:ilvl w:val="0"/>
          <w:numId w:val="0"/>
        </w:numPr>
        <w:jc w:val="center"/>
        <w:outlineLvl w:val="0"/>
        <w:rPr>
          <w:color w:val="00000A"/>
        </w:rPr>
      </w:pPr>
      <w:r>
        <w:rPr>
          <w:b/>
          <w:color w:val="00000A"/>
        </w:rPr>
        <w:t>Tabela 2 - Oferta de vagas em cursos a distância da UFVJM</w:t>
      </w:r>
    </w:p>
    <w:tbl>
      <w:tblPr>
        <w:tblW w:w="9206" w:type="dxa"/>
        <w:jc w:val="left"/>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4a0"/>
      </w:tblPr>
      <w:tblGrid>
        <w:gridCol w:w="2301"/>
        <w:gridCol w:w="2302"/>
        <w:gridCol w:w="2301"/>
        <w:gridCol w:w="2301"/>
      </w:tblGrid>
      <w:tr>
        <w:trPr/>
        <w:tc>
          <w:tcPr>
            <w:tcW w:w="920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8CCE4" w:val="clear"/>
            <w:tcMar>
              <w:left w:w="78" w:type="dxa"/>
            </w:tcMar>
          </w:tcPr>
          <w:p>
            <w:pPr>
              <w:pStyle w:val="Normal1"/>
              <w:jc w:val="center"/>
              <w:rPr>
                <w:color w:val="00000A"/>
              </w:rPr>
            </w:pPr>
            <w:r>
              <w:rPr>
                <w:b/>
                <w:color w:val="00000A"/>
              </w:rPr>
              <w:t>Campus Diamantina</w:t>
            </w:r>
          </w:p>
          <w:p>
            <w:pPr>
              <w:pStyle w:val="Normal1"/>
              <w:spacing w:before="0" w:after="200"/>
              <w:jc w:val="center"/>
              <w:rPr>
                <w:color w:val="00000A"/>
              </w:rPr>
            </w:pPr>
            <w:r>
              <w:rPr>
                <w:color w:val="00000A"/>
              </w:rPr>
            </w:r>
          </w:p>
        </w:tc>
      </w:tr>
      <w:tr>
        <w:trPr/>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1"/>
              <w:spacing w:before="0" w:after="200"/>
              <w:jc w:val="center"/>
              <w:rPr>
                <w:color w:val="00000A"/>
              </w:rPr>
            </w:pPr>
            <w:r>
              <w:rPr>
                <w:b/>
                <w:color w:val="00000A"/>
              </w:rPr>
              <w:t>Unidade Acadêmica</w:t>
            </w:r>
          </w:p>
        </w:tc>
        <w:tc>
          <w:tcPr>
            <w:tcW w:w="23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b/>
                <w:color w:val="00000A"/>
              </w:rPr>
              <w:t>Cursos</w:t>
            </w:r>
          </w:p>
        </w:tc>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b/>
                <w:color w:val="00000A"/>
              </w:rPr>
              <w:t>Turno</w:t>
            </w:r>
          </w:p>
        </w:tc>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b/>
                <w:color w:val="00000A"/>
              </w:rPr>
              <w:t>Vagas/Ano</w:t>
            </w:r>
          </w:p>
        </w:tc>
      </w:tr>
      <w:tr>
        <w:trPr/>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1"/>
              <w:widowControl/>
              <w:suppressAutoHyphens w:val="true"/>
              <w:bidi w:val="0"/>
              <w:spacing w:lineRule="atLeast" w:line="100" w:before="0" w:after="200"/>
              <w:jc w:val="left"/>
              <w:rPr>
                <w:color w:val="00000A"/>
              </w:rPr>
            </w:pPr>
            <w:r>
              <w:rPr>
                <w:color w:val="00000A"/>
              </w:rPr>
              <w:t>Diretoria de Educação a Distância - DEAD</w:t>
            </w:r>
          </w:p>
        </w:tc>
        <w:tc>
          <w:tcPr>
            <w:tcW w:w="230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rPr>
                <w:color w:val="00000A"/>
              </w:rPr>
            </w:pPr>
            <w:r>
              <w:rPr>
                <w:color w:val="00000A"/>
              </w:rPr>
              <w:t>Administração Pública</w:t>
            </w:r>
          </w:p>
          <w:p>
            <w:pPr>
              <w:pStyle w:val="Normal1"/>
              <w:jc w:val="both"/>
              <w:rPr>
                <w:color w:val="00000A"/>
              </w:rPr>
            </w:pPr>
            <w:r>
              <w:rPr>
                <w:color w:val="00000A"/>
              </w:rPr>
              <w:t>Física (Licenciatura)</w:t>
            </w:r>
          </w:p>
          <w:p>
            <w:pPr>
              <w:pStyle w:val="Normal1"/>
              <w:jc w:val="both"/>
              <w:rPr>
                <w:color w:val="00000A"/>
              </w:rPr>
            </w:pPr>
            <w:r>
              <w:rPr>
                <w:color w:val="00000A"/>
              </w:rPr>
              <w:t>Matemática (Licenciatura)</w:t>
            </w:r>
          </w:p>
          <w:p>
            <w:pPr>
              <w:pStyle w:val="Normal1"/>
              <w:spacing w:before="0" w:after="200"/>
              <w:jc w:val="both"/>
              <w:rPr>
                <w:color w:val="00000A"/>
              </w:rPr>
            </w:pPr>
            <w:r>
              <w:rPr>
                <w:color w:val="00000A"/>
              </w:rPr>
              <w:t>Química (Licenciatura)</w:t>
            </w:r>
          </w:p>
        </w:tc>
        <w:tc>
          <w:tcPr>
            <w:tcW w:w="23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color w:val="00000A"/>
              </w:rPr>
              <w:t>À Distância</w:t>
            </w:r>
          </w:p>
        </w:tc>
        <w:tc>
          <w:tcPr>
            <w:tcW w:w="23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color w:val="00000A"/>
              </w:rPr>
              <w:t>As vagas dos cursos EAD dependem de editais específicos.</w:t>
            </w:r>
          </w:p>
        </w:tc>
      </w:tr>
      <w:tr>
        <w:trPr/>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1"/>
              <w:spacing w:before="0" w:after="200"/>
              <w:jc w:val="center"/>
              <w:rPr>
                <w:color w:val="00000A"/>
              </w:rPr>
            </w:pPr>
            <w:r>
              <w:rPr>
                <w:color w:val="00000A"/>
              </w:rPr>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right w:w="0" w:type="dxa"/>
            </w:tcMar>
          </w:tcPr>
          <w:p>
            <w:pPr>
              <w:pStyle w:val="Normal1"/>
              <w:spacing w:before="0" w:after="200"/>
              <w:rPr>
                <w:color w:val="00000A"/>
              </w:rPr>
            </w:pPr>
            <w:r>
              <w:rPr>
                <w:color w:val="00000A"/>
              </w:rPr>
            </w:r>
          </w:p>
        </w:tc>
      </w:tr>
      <w:tr>
        <w:trPr/>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1"/>
              <w:spacing w:before="0" w:after="200"/>
              <w:jc w:val="center"/>
              <w:rPr>
                <w:color w:val="00000A"/>
              </w:rPr>
            </w:pPr>
            <w:r>
              <w:rPr>
                <w:color w:val="00000A"/>
              </w:rPr>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right w:w="0" w:type="dxa"/>
            </w:tcMar>
          </w:tcPr>
          <w:p>
            <w:pPr>
              <w:pStyle w:val="Normal1"/>
              <w:spacing w:before="0" w:after="200"/>
              <w:rPr>
                <w:color w:val="00000A"/>
              </w:rPr>
            </w:pPr>
            <w:r>
              <w:rPr>
                <w:color w:val="00000A"/>
              </w:rPr>
            </w:r>
          </w:p>
        </w:tc>
      </w:tr>
      <w:tr>
        <w:trPr/>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1"/>
              <w:spacing w:before="0" w:after="200"/>
              <w:jc w:val="center"/>
              <w:rPr>
                <w:color w:val="00000A"/>
              </w:rPr>
            </w:pPr>
            <w:r>
              <w:rPr>
                <w:color w:val="00000A"/>
              </w:rPr>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jc w:val="center"/>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right w:w="0" w:type="dxa"/>
            </w:tcMar>
          </w:tcPr>
          <w:p>
            <w:pPr>
              <w:pStyle w:val="Normal1"/>
              <w:spacing w:before="0" w:after="200"/>
              <w:rPr>
                <w:color w:val="00000A"/>
              </w:rPr>
            </w:pPr>
            <w:r>
              <w:rPr>
                <w:color w:val="00000A"/>
              </w:rPr>
            </w:r>
          </w:p>
        </w:tc>
      </w:tr>
      <w:tr>
        <w:trPr/>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1"/>
              <w:spacing w:before="0" w:after="200"/>
              <w:jc w:val="both"/>
              <w:rPr>
                <w:color w:val="00000A"/>
              </w:rPr>
            </w:pPr>
            <w:r>
              <w:rPr>
                <w:b/>
                <w:color w:val="00000A"/>
              </w:rPr>
              <w:t>Subtotal</w:t>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rPr>
                <w:color w:val="00000A"/>
              </w:rPr>
            </w:pPr>
            <w:r>
              <w:rPr>
                <w:color w:val="00000A"/>
              </w:rPr>
            </w:r>
          </w:p>
        </w:tc>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8" w:type="dxa"/>
            </w:tcMar>
          </w:tcPr>
          <w:p>
            <w:pPr>
              <w:pStyle w:val="Normal1"/>
              <w:spacing w:before="0" w:after="200"/>
              <w:jc w:val="both"/>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8" w:type="dxa"/>
            </w:tcMar>
          </w:tcPr>
          <w:p>
            <w:pPr>
              <w:pStyle w:val="Normal1"/>
              <w:spacing w:before="0" w:after="200"/>
              <w:jc w:val="both"/>
              <w:rPr>
                <w:color w:val="00000A"/>
              </w:rPr>
            </w:pPr>
            <w:r>
              <w:rPr>
                <w:color w:val="00000A"/>
              </w:rPr>
            </w:r>
          </w:p>
        </w:tc>
      </w:tr>
      <w:tr>
        <w:trPr/>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1"/>
              <w:spacing w:before="0" w:after="200"/>
              <w:jc w:val="both"/>
              <w:rPr>
                <w:color w:val="00000A"/>
              </w:rPr>
            </w:pPr>
            <w:r>
              <w:rPr>
                <w:b/>
                <w:color w:val="00000A"/>
              </w:rPr>
              <w:t>Total</w:t>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78" w:type="dxa"/>
            </w:tcMar>
          </w:tcPr>
          <w:p>
            <w:pPr>
              <w:pStyle w:val="Normal1"/>
              <w:spacing w:before="0" w:after="200"/>
              <w:rPr>
                <w:color w:val="00000A"/>
              </w:rPr>
            </w:pPr>
            <w:r>
              <w:rPr>
                <w:color w:val="00000A"/>
              </w:rPr>
            </w:r>
          </w:p>
        </w:tc>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8" w:type="dxa"/>
            </w:tcMar>
          </w:tcPr>
          <w:p>
            <w:pPr>
              <w:pStyle w:val="Normal1"/>
              <w:spacing w:before="0" w:after="200"/>
              <w:jc w:val="both"/>
              <w:rPr>
                <w:color w:val="00000A"/>
              </w:rPr>
            </w:pPr>
            <w:r>
              <w:rPr>
                <w:color w:val="00000A"/>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78" w:type="dxa"/>
            </w:tcMar>
          </w:tcPr>
          <w:p>
            <w:pPr>
              <w:pStyle w:val="Normal1"/>
              <w:spacing w:before="0" w:after="200"/>
              <w:jc w:val="both"/>
              <w:rPr>
                <w:color w:val="00000A"/>
              </w:rPr>
            </w:pPr>
            <w:r>
              <w:rPr>
                <w:color w:val="00000A"/>
              </w:rPr>
            </w:r>
          </w:p>
        </w:tc>
      </w:tr>
    </w:tbl>
    <w:p>
      <w:pPr>
        <w:pStyle w:val="Normal1"/>
        <w:spacing w:lineRule="auto" w:line="360"/>
        <w:jc w:val="center"/>
        <w:rPr>
          <w:color w:val="00000A"/>
        </w:rPr>
      </w:pPr>
      <w:r>
        <w:rPr>
          <w:color w:val="00000A"/>
        </w:rPr>
        <w:t>Fonte: Pró-Reitoria de Graduação – PROGRAD/UFVJM</w:t>
      </w:r>
    </w:p>
    <w:p>
      <w:pPr>
        <w:pStyle w:val="Normal1"/>
        <w:spacing w:lineRule="auto" w:line="360"/>
        <w:ind w:firstLine="709"/>
        <w:jc w:val="both"/>
        <w:rPr>
          <w:color w:val="00000A"/>
        </w:rPr>
      </w:pPr>
      <w:r>
        <w:rPr>
          <w:color w:val="00000A"/>
        </w:rPr>
      </w:r>
    </w:p>
    <w:p>
      <w:pPr>
        <w:pStyle w:val="Normal1"/>
        <w:spacing w:lineRule="auto" w:line="360"/>
        <w:ind w:firstLine="709"/>
        <w:jc w:val="both"/>
        <w:rPr>
          <w:color w:val="00000A"/>
        </w:rPr>
      </w:pPr>
      <w:r>
        <w:rPr>
          <w:color w:val="00000A"/>
        </w:rPr>
        <w:t xml:space="preserve">Além disso, a UFVJM reserva, em todos os processos seletivos para os cursos de graduação, 50% das vagas para estudantes oriundos de escolas públicas, que são distribuídas entre candidatos com renda familiar </w:t>
      </w:r>
      <w:r>
        <w:rPr>
          <w:i/>
          <w:color w:val="00000A"/>
        </w:rPr>
        <w:t xml:space="preserve">per capita </w:t>
      </w:r>
      <w:r>
        <w:rPr>
          <w:color w:val="00000A"/>
        </w:rPr>
        <w:t>de até um salário mínimo e meio, mensal ou não. O quantitativo dessa reserva de vagas é distribuído por cotas entre candidatos autodeclarados Pretos, Pardos e Indígenas ou não, bem como para portadores e não portadores de deficiências.</w:t>
      </w:r>
    </w:p>
    <w:p>
      <w:pPr>
        <w:pStyle w:val="Normal1"/>
        <w:spacing w:lineRule="auto" w:line="360"/>
        <w:ind w:firstLine="709"/>
        <w:jc w:val="both"/>
        <w:rPr>
          <w:color w:val="00000A"/>
        </w:rPr>
      </w:pPr>
      <w:r>
        <w:rPr>
          <w:color w:val="00000A"/>
        </w:rPr>
        <w:t>Ainda com a finalidade de ampliar a possibilidade de participação dos estudantes das escolas públicas nos processos seletivos para ingresso nos cursos de graduação, além da isenção da taxa de inscrição prevista na Lei nº 12.799/2013, a UFVJM concede 50% de isenção aos estudantes matriculados na rede pública de ensino e 100% aos candidatos cujas famílias estão cadastradas nos programas sociais, bastando a informação do Número de Identificação Social (NIS) válido.</w:t>
      </w:r>
    </w:p>
    <w:p>
      <w:pPr>
        <w:pStyle w:val="Normal1"/>
        <w:spacing w:lineRule="auto" w:line="360"/>
        <w:ind w:firstLine="709"/>
        <w:jc w:val="both"/>
        <w:rPr>
          <w:color w:val="00000A"/>
        </w:rPr>
      </w:pPr>
      <w:r>
        <w:rPr>
          <w:color w:val="00000A"/>
        </w:rPr>
        <w:t>A adesão ao Plano Nacional de Formação de Professores para a Educação Básica – PARFOR consiste em outra ação inclusiva adotada pela UFVJM a partir de 2009. Atualmente, são ofertadas 40% das vagas dos cursos de licenciatura, na modalidade a distância, para professores em exercício na rede pública de Educação Básica.</w:t>
      </w:r>
    </w:p>
    <w:p>
      <w:pPr>
        <w:pStyle w:val="Normal1"/>
        <w:spacing w:lineRule="auto" w:line="360"/>
        <w:ind w:firstLine="709"/>
        <w:jc w:val="both"/>
        <w:rPr>
          <w:color w:val="00000A"/>
        </w:rPr>
      </w:pPr>
      <w:r>
        <w:rPr>
          <w:color w:val="00000A"/>
        </w:rPr>
        <w:t xml:space="preserve">No segundo semestre de 2016, a UFVJM contava com 8.529 discentes de graduação matriculados nos cursos presenciais, além de 355 discentes da Educação a Distância. A distribuição de estudantes de graduação no ano de 2016 nos diferentes </w:t>
      </w:r>
      <w:r>
        <w:rPr>
          <w:i/>
          <w:color w:val="00000A"/>
        </w:rPr>
        <w:t>campi</w:t>
      </w:r>
      <w:r>
        <w:rPr>
          <w:color w:val="00000A"/>
        </w:rPr>
        <w:t xml:space="preserve"> da UFVJM é mostrada nas Tabelas 3 a 7.</w:t>
      </w:r>
    </w:p>
    <w:p>
      <w:pPr>
        <w:pStyle w:val="Normal1"/>
        <w:spacing w:lineRule="auto" w:line="360"/>
        <w:ind w:firstLine="709"/>
        <w:jc w:val="both"/>
        <w:rPr>
          <w:color w:val="00000A"/>
        </w:rPr>
      </w:pPr>
      <w:r>
        <w:rPr>
          <w:color w:val="00000A"/>
        </w:rPr>
      </w:r>
    </w:p>
    <w:p>
      <w:pPr>
        <w:pStyle w:val="Normal1"/>
        <w:spacing w:lineRule="auto" w:line="240"/>
        <w:jc w:val="center"/>
        <w:rPr>
          <w:color w:val="00000A"/>
        </w:rPr>
      </w:pPr>
      <w:r>
        <w:rPr>
          <w:b/>
          <w:color w:val="00000A"/>
        </w:rPr>
        <w:t>Tabela 3 - Número de discentes matriculados em cursos de graduação presenciais no ano de 2016 (2º semestre) – Campus em Diamantina/MG</w:t>
      </w:r>
    </w:p>
    <w:tbl>
      <w:tblPr>
        <w:tblW w:w="7987"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4a0"/>
      </w:tblPr>
      <w:tblGrid>
        <w:gridCol w:w="4689"/>
        <w:gridCol w:w="3297"/>
      </w:tblGrid>
      <w:tr>
        <w:trPr/>
        <w:tc>
          <w:tcPr>
            <w:tcW w:w="46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bCs/>
                <w:color w:val="00000A"/>
              </w:rPr>
              <w:t>Cursos</w:t>
            </w:r>
          </w:p>
        </w:tc>
        <w:tc>
          <w:tcPr>
            <w:tcW w:w="3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center"/>
              <w:rPr>
                <w:color w:val="00000A"/>
              </w:rPr>
            </w:pPr>
            <w:r>
              <w:rPr>
                <w:b/>
                <w:bCs/>
                <w:color w:val="00000A"/>
              </w:rPr>
              <w:t>Nº de discentes</w:t>
            </w:r>
          </w:p>
        </w:tc>
      </w:tr>
      <w:tr>
        <w:trPr/>
        <w:tc>
          <w:tcPr>
            <w:tcW w:w="46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rPr>
                <w:color w:val="00000A"/>
              </w:rPr>
            </w:pPr>
            <w:r>
              <w:rPr>
                <w:b/>
                <w:bCs/>
                <w:color w:val="00000A"/>
              </w:rPr>
              <w:t xml:space="preserve">Agronomia </w:t>
            </w:r>
          </w:p>
          <w:p>
            <w:pPr>
              <w:pStyle w:val="Normal1"/>
              <w:rPr>
                <w:color w:val="00000A"/>
              </w:rPr>
            </w:pPr>
            <w:r>
              <w:rPr>
                <w:b/>
                <w:bCs/>
                <w:color w:val="00000A"/>
              </w:rPr>
              <w:t xml:space="preserve">Bacharelado em Ciência e Tecnologia Bacharelado em Humanidades </w:t>
            </w:r>
          </w:p>
          <w:p>
            <w:pPr>
              <w:pStyle w:val="Normal1"/>
              <w:rPr>
                <w:color w:val="00000A"/>
              </w:rPr>
            </w:pPr>
            <w:r>
              <w:rPr>
                <w:b/>
                <w:bCs/>
                <w:color w:val="00000A"/>
              </w:rPr>
              <w:t>Ciências Biológicas (Licenciatura)</w:t>
            </w:r>
          </w:p>
          <w:p>
            <w:pPr>
              <w:pStyle w:val="Normal1"/>
              <w:rPr>
                <w:color w:val="00000A"/>
              </w:rPr>
            </w:pPr>
            <w:r>
              <w:rPr>
                <w:b/>
                <w:bCs/>
                <w:color w:val="00000A"/>
              </w:rPr>
              <w:t xml:space="preserve">Educação do Campo (Licenciatura) </w:t>
            </w:r>
          </w:p>
          <w:p>
            <w:pPr>
              <w:pStyle w:val="Normal1"/>
              <w:rPr>
                <w:color w:val="00000A"/>
              </w:rPr>
            </w:pPr>
            <w:r>
              <w:rPr>
                <w:b/>
                <w:bCs/>
                <w:color w:val="00000A"/>
              </w:rPr>
              <w:t>Educação Física (Licenciatura)</w:t>
            </w:r>
          </w:p>
          <w:p>
            <w:pPr>
              <w:pStyle w:val="Normal1"/>
              <w:rPr>
                <w:color w:val="00000A"/>
              </w:rPr>
            </w:pPr>
            <w:r>
              <w:rPr>
                <w:b/>
                <w:bCs/>
                <w:color w:val="00000A"/>
              </w:rPr>
              <w:t>Educação Física (Bacharelado)</w:t>
            </w:r>
          </w:p>
          <w:p>
            <w:pPr>
              <w:pStyle w:val="Normal1"/>
              <w:rPr>
                <w:color w:val="00000A"/>
              </w:rPr>
            </w:pPr>
            <w:r>
              <w:rPr>
                <w:b/>
                <w:bCs/>
                <w:color w:val="00000A"/>
              </w:rPr>
              <w:t xml:space="preserve">Enfermagem </w:t>
            </w:r>
          </w:p>
          <w:p>
            <w:pPr>
              <w:pStyle w:val="Normal1"/>
              <w:rPr>
                <w:color w:val="00000A"/>
              </w:rPr>
            </w:pPr>
            <w:r>
              <w:rPr>
                <w:b/>
                <w:bCs/>
                <w:color w:val="00000A"/>
              </w:rPr>
              <w:t>Engenharia de Alimentos*</w:t>
            </w:r>
          </w:p>
          <w:p>
            <w:pPr>
              <w:pStyle w:val="Normal1"/>
              <w:rPr>
                <w:color w:val="00000A"/>
              </w:rPr>
            </w:pPr>
            <w:r>
              <w:rPr>
                <w:b/>
                <w:bCs/>
                <w:color w:val="00000A"/>
              </w:rPr>
              <w:t xml:space="preserve">Engenharia Florestal </w:t>
            </w:r>
          </w:p>
          <w:p>
            <w:pPr>
              <w:pStyle w:val="Normal1"/>
              <w:rPr>
                <w:color w:val="00000A"/>
              </w:rPr>
            </w:pPr>
            <w:r>
              <w:rPr>
                <w:b/>
                <w:bCs/>
                <w:color w:val="00000A"/>
              </w:rPr>
              <w:t>Engenharia Geológica*</w:t>
            </w:r>
          </w:p>
          <w:p>
            <w:pPr>
              <w:pStyle w:val="Normal1"/>
              <w:rPr>
                <w:color w:val="00000A"/>
              </w:rPr>
            </w:pPr>
            <w:r>
              <w:rPr>
                <w:b/>
                <w:bCs/>
                <w:color w:val="00000A"/>
              </w:rPr>
              <w:t>Engenharia Mecânica*</w:t>
            </w:r>
          </w:p>
          <w:p>
            <w:pPr>
              <w:pStyle w:val="Normal1"/>
              <w:rPr>
                <w:color w:val="00000A"/>
              </w:rPr>
            </w:pPr>
            <w:r>
              <w:rPr>
                <w:b/>
                <w:bCs/>
                <w:color w:val="00000A"/>
              </w:rPr>
              <w:t xml:space="preserve">Engenharia Química* </w:t>
            </w:r>
          </w:p>
          <w:p>
            <w:pPr>
              <w:pStyle w:val="Normal1"/>
              <w:rPr>
                <w:color w:val="00000A"/>
              </w:rPr>
            </w:pPr>
            <w:r>
              <w:rPr>
                <w:b/>
                <w:bCs/>
                <w:color w:val="00000A"/>
              </w:rPr>
              <w:t xml:space="preserve">Farmácia </w:t>
            </w:r>
          </w:p>
          <w:p>
            <w:pPr>
              <w:pStyle w:val="Normal1"/>
              <w:rPr>
                <w:color w:val="00000A"/>
              </w:rPr>
            </w:pPr>
            <w:r>
              <w:rPr>
                <w:b/>
                <w:bCs/>
                <w:color w:val="00000A"/>
              </w:rPr>
              <w:t xml:space="preserve">Fisioterapia </w:t>
            </w:r>
          </w:p>
          <w:p>
            <w:pPr>
              <w:pStyle w:val="Normal1"/>
              <w:rPr>
                <w:color w:val="00000A"/>
              </w:rPr>
            </w:pPr>
            <w:r>
              <w:rPr>
                <w:b/>
                <w:bCs/>
                <w:color w:val="00000A"/>
              </w:rPr>
              <w:t xml:space="preserve">Geografia (Licenciatura)** </w:t>
            </w:r>
          </w:p>
          <w:p>
            <w:pPr>
              <w:pStyle w:val="Normal1"/>
              <w:rPr>
                <w:color w:val="00000A"/>
              </w:rPr>
            </w:pPr>
            <w:r>
              <w:rPr>
                <w:b/>
                <w:bCs/>
                <w:color w:val="00000A"/>
              </w:rPr>
              <w:t xml:space="preserve">História (Licenciatura)** </w:t>
            </w:r>
          </w:p>
          <w:p>
            <w:pPr>
              <w:pStyle w:val="Normal1"/>
              <w:rPr>
                <w:color w:val="00000A"/>
              </w:rPr>
            </w:pPr>
            <w:r>
              <w:rPr>
                <w:b/>
                <w:bCs/>
                <w:color w:val="00000A"/>
              </w:rPr>
              <w:t xml:space="preserve">Letras Português/Espanhol (Licenciatura)** </w:t>
            </w:r>
          </w:p>
          <w:p>
            <w:pPr>
              <w:pStyle w:val="Normal1"/>
              <w:rPr>
                <w:color w:val="00000A"/>
              </w:rPr>
            </w:pPr>
            <w:r>
              <w:rPr>
                <w:b/>
                <w:bCs/>
                <w:color w:val="00000A"/>
              </w:rPr>
              <w:t xml:space="preserve">Letras Português/Inglês (Licenciatura)** </w:t>
            </w:r>
          </w:p>
          <w:p>
            <w:pPr>
              <w:pStyle w:val="Normal1"/>
              <w:rPr>
                <w:color w:val="00000A"/>
              </w:rPr>
            </w:pPr>
            <w:r>
              <w:rPr>
                <w:b/>
                <w:bCs/>
                <w:color w:val="00000A"/>
              </w:rPr>
              <w:t>Medicina</w:t>
            </w:r>
          </w:p>
          <w:p>
            <w:pPr>
              <w:pStyle w:val="Normal1"/>
              <w:rPr>
                <w:color w:val="00000A"/>
              </w:rPr>
            </w:pPr>
            <w:r>
              <w:rPr>
                <w:b/>
                <w:bCs/>
                <w:color w:val="00000A"/>
              </w:rPr>
              <w:t xml:space="preserve">Nutrição </w:t>
            </w:r>
          </w:p>
          <w:p>
            <w:pPr>
              <w:pStyle w:val="Normal1"/>
              <w:rPr>
                <w:color w:val="00000A"/>
              </w:rPr>
            </w:pPr>
            <w:r>
              <w:rPr>
                <w:b/>
                <w:bCs/>
                <w:color w:val="00000A"/>
              </w:rPr>
              <w:t xml:space="preserve">Odontologia </w:t>
            </w:r>
          </w:p>
          <w:p>
            <w:pPr>
              <w:pStyle w:val="Normal1"/>
              <w:rPr>
                <w:color w:val="00000A"/>
              </w:rPr>
            </w:pPr>
            <w:r>
              <w:rPr>
                <w:b/>
                <w:bCs/>
                <w:color w:val="00000A"/>
              </w:rPr>
              <w:t xml:space="preserve">Pedagogia** </w:t>
            </w:r>
          </w:p>
          <w:p>
            <w:pPr>
              <w:pStyle w:val="Normal1"/>
              <w:rPr>
                <w:color w:val="00000A"/>
              </w:rPr>
            </w:pPr>
            <w:r>
              <w:rPr>
                <w:b/>
                <w:bCs/>
                <w:color w:val="00000A"/>
              </w:rPr>
              <w:t>Química (Licenciatura)</w:t>
            </w:r>
          </w:p>
          <w:p>
            <w:pPr>
              <w:pStyle w:val="Normal1"/>
              <w:rPr>
                <w:color w:val="00000A"/>
              </w:rPr>
            </w:pPr>
            <w:r>
              <w:rPr>
                <w:b/>
                <w:bCs/>
                <w:color w:val="00000A"/>
              </w:rPr>
              <w:t>Sistemas de Informação</w:t>
            </w:r>
          </w:p>
          <w:p>
            <w:pPr>
              <w:pStyle w:val="Normal1"/>
              <w:rPr>
                <w:color w:val="00000A"/>
              </w:rPr>
            </w:pPr>
            <w:r>
              <w:rPr>
                <w:b/>
                <w:bCs/>
                <w:color w:val="00000A"/>
              </w:rPr>
              <w:t xml:space="preserve">Turismo </w:t>
            </w:r>
          </w:p>
          <w:p>
            <w:pPr>
              <w:pStyle w:val="Normal1"/>
              <w:widowControl/>
              <w:suppressAutoHyphens w:val="true"/>
              <w:bidi w:val="0"/>
              <w:spacing w:lineRule="atLeast" w:line="100" w:before="0" w:after="200"/>
              <w:jc w:val="left"/>
              <w:rPr>
                <w:color w:val="00000A"/>
              </w:rPr>
            </w:pPr>
            <w:r>
              <w:rPr>
                <w:b/>
                <w:bCs/>
                <w:color w:val="00000A"/>
              </w:rPr>
              <w:t xml:space="preserve">Zootecnia </w:t>
            </w:r>
          </w:p>
        </w:tc>
        <w:tc>
          <w:tcPr>
            <w:tcW w:w="3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center"/>
              <w:rPr>
                <w:color w:val="00000A"/>
              </w:rPr>
            </w:pPr>
            <w:r>
              <w:rPr>
                <w:color w:val="00000A"/>
              </w:rPr>
              <w:t>252</w:t>
            </w:r>
          </w:p>
          <w:p>
            <w:pPr>
              <w:pStyle w:val="Normal1"/>
              <w:jc w:val="center"/>
              <w:rPr>
                <w:color w:val="00000A"/>
              </w:rPr>
            </w:pPr>
            <w:r>
              <w:rPr>
                <w:color w:val="00000A"/>
              </w:rPr>
              <w:t>860</w:t>
            </w:r>
          </w:p>
          <w:p>
            <w:pPr>
              <w:pStyle w:val="Normal1"/>
              <w:jc w:val="center"/>
              <w:rPr>
                <w:color w:val="00000A"/>
              </w:rPr>
            </w:pPr>
            <w:r>
              <w:rPr>
                <w:color w:val="00000A"/>
              </w:rPr>
              <w:t>769</w:t>
            </w:r>
          </w:p>
          <w:p>
            <w:pPr>
              <w:pStyle w:val="Normal1"/>
              <w:jc w:val="center"/>
              <w:rPr>
                <w:color w:val="00000A"/>
              </w:rPr>
            </w:pPr>
            <w:r>
              <w:rPr>
                <w:color w:val="00000A"/>
              </w:rPr>
              <w:t>201</w:t>
            </w:r>
          </w:p>
          <w:p>
            <w:pPr>
              <w:pStyle w:val="Normal1"/>
              <w:jc w:val="center"/>
              <w:rPr>
                <w:color w:val="00000A"/>
              </w:rPr>
            </w:pPr>
            <w:r>
              <w:rPr>
                <w:color w:val="00000A"/>
              </w:rPr>
              <w:t>134</w:t>
            </w:r>
          </w:p>
          <w:p>
            <w:pPr>
              <w:pStyle w:val="Normal1"/>
              <w:jc w:val="center"/>
              <w:rPr>
                <w:color w:val="00000A"/>
              </w:rPr>
            </w:pPr>
            <w:r>
              <w:rPr>
                <w:color w:val="00000A"/>
              </w:rPr>
              <w:t>199</w:t>
            </w:r>
          </w:p>
          <w:p>
            <w:pPr>
              <w:pStyle w:val="Normal1"/>
              <w:jc w:val="center"/>
              <w:rPr>
                <w:color w:val="00000A"/>
              </w:rPr>
            </w:pPr>
            <w:r>
              <w:rPr>
                <w:color w:val="00000A"/>
              </w:rPr>
              <w:t>81</w:t>
            </w:r>
          </w:p>
          <w:p>
            <w:pPr>
              <w:pStyle w:val="Normal1"/>
              <w:jc w:val="center"/>
              <w:rPr>
                <w:color w:val="00000A"/>
              </w:rPr>
            </w:pPr>
            <w:r>
              <w:rPr>
                <w:color w:val="00000A"/>
              </w:rPr>
              <w:t>142</w:t>
            </w:r>
          </w:p>
          <w:p>
            <w:pPr>
              <w:pStyle w:val="Normal1"/>
              <w:jc w:val="center"/>
              <w:rPr>
                <w:color w:val="00000A"/>
              </w:rPr>
            </w:pPr>
            <w:r>
              <w:rPr>
                <w:color w:val="00000A"/>
              </w:rPr>
              <w:t>18</w:t>
            </w:r>
          </w:p>
          <w:p>
            <w:pPr>
              <w:pStyle w:val="Normal1"/>
              <w:jc w:val="center"/>
              <w:rPr>
                <w:color w:val="00000A"/>
              </w:rPr>
            </w:pPr>
            <w:r>
              <w:rPr>
                <w:color w:val="00000A"/>
              </w:rPr>
              <w:t>251</w:t>
            </w:r>
          </w:p>
          <w:p>
            <w:pPr>
              <w:pStyle w:val="Normal1"/>
              <w:jc w:val="center"/>
              <w:rPr>
                <w:color w:val="00000A"/>
              </w:rPr>
            </w:pPr>
            <w:r>
              <w:rPr>
                <w:color w:val="00000A"/>
              </w:rPr>
              <w:t>Ainda não houve transição</w:t>
            </w:r>
          </w:p>
          <w:p>
            <w:pPr>
              <w:pStyle w:val="Normal1"/>
              <w:jc w:val="center"/>
              <w:rPr>
                <w:color w:val="00000A"/>
              </w:rPr>
            </w:pPr>
            <w:r>
              <w:rPr>
                <w:color w:val="00000A"/>
              </w:rPr>
              <w:t>90</w:t>
            </w:r>
          </w:p>
          <w:p>
            <w:pPr>
              <w:pStyle w:val="Normal1"/>
              <w:jc w:val="center"/>
              <w:rPr>
                <w:color w:val="00000A"/>
              </w:rPr>
            </w:pPr>
            <w:r>
              <w:rPr>
                <w:color w:val="00000A"/>
              </w:rPr>
              <w:t>93</w:t>
            </w:r>
          </w:p>
          <w:p>
            <w:pPr>
              <w:pStyle w:val="Normal1"/>
              <w:jc w:val="center"/>
              <w:rPr>
                <w:color w:val="00000A"/>
              </w:rPr>
            </w:pPr>
            <w:r>
              <w:rPr>
                <w:color w:val="00000A"/>
              </w:rPr>
              <w:t>230</w:t>
            </w:r>
          </w:p>
          <w:p>
            <w:pPr>
              <w:pStyle w:val="Normal1"/>
              <w:jc w:val="center"/>
              <w:rPr>
                <w:color w:val="00000A"/>
              </w:rPr>
            </w:pPr>
            <w:r>
              <w:rPr>
                <w:color w:val="00000A"/>
              </w:rPr>
              <w:t>263</w:t>
            </w:r>
          </w:p>
          <w:p>
            <w:pPr>
              <w:pStyle w:val="Normal1"/>
              <w:jc w:val="center"/>
              <w:rPr>
                <w:color w:val="00000A"/>
              </w:rPr>
            </w:pPr>
            <w:r>
              <w:rPr>
                <w:color w:val="00000A"/>
              </w:rPr>
              <w:t>49</w:t>
            </w:r>
          </w:p>
          <w:p>
            <w:pPr>
              <w:pStyle w:val="Normal1"/>
              <w:jc w:val="center"/>
              <w:rPr>
                <w:color w:val="00000A"/>
              </w:rPr>
            </w:pPr>
            <w:r>
              <w:rPr>
                <w:color w:val="00000A"/>
              </w:rPr>
              <w:t>33</w:t>
            </w:r>
          </w:p>
          <w:p>
            <w:pPr>
              <w:pStyle w:val="Normal1"/>
              <w:jc w:val="center"/>
              <w:rPr>
                <w:color w:val="00000A"/>
              </w:rPr>
            </w:pPr>
            <w:r>
              <w:rPr>
                <w:color w:val="00000A"/>
              </w:rPr>
              <w:t>21</w:t>
            </w:r>
          </w:p>
          <w:p>
            <w:pPr>
              <w:pStyle w:val="Normal1"/>
              <w:jc w:val="center"/>
              <w:rPr>
                <w:color w:val="00000A"/>
              </w:rPr>
            </w:pPr>
            <w:r>
              <w:rPr>
                <w:color w:val="00000A"/>
              </w:rPr>
              <w:t>28</w:t>
            </w:r>
          </w:p>
          <w:p>
            <w:pPr>
              <w:pStyle w:val="Normal1"/>
              <w:jc w:val="center"/>
              <w:rPr>
                <w:color w:val="00000A"/>
              </w:rPr>
            </w:pPr>
            <w:r>
              <w:rPr>
                <w:color w:val="00000A"/>
              </w:rPr>
              <w:t>166</w:t>
            </w:r>
          </w:p>
          <w:p>
            <w:pPr>
              <w:pStyle w:val="Normal1"/>
              <w:jc w:val="center"/>
              <w:rPr>
                <w:color w:val="00000A"/>
              </w:rPr>
            </w:pPr>
            <w:r>
              <w:rPr>
                <w:color w:val="00000A"/>
              </w:rPr>
              <w:t>203</w:t>
            </w:r>
          </w:p>
          <w:p>
            <w:pPr>
              <w:pStyle w:val="Normal1"/>
              <w:jc w:val="center"/>
              <w:rPr>
                <w:color w:val="00000A"/>
              </w:rPr>
            </w:pPr>
            <w:r>
              <w:rPr>
                <w:color w:val="00000A"/>
              </w:rPr>
              <w:t>319</w:t>
            </w:r>
          </w:p>
          <w:p>
            <w:pPr>
              <w:pStyle w:val="Normal1"/>
              <w:jc w:val="center"/>
              <w:rPr>
                <w:color w:val="00000A"/>
              </w:rPr>
            </w:pPr>
            <w:r>
              <w:rPr>
                <w:color w:val="00000A"/>
              </w:rPr>
              <w:t>144</w:t>
            </w:r>
          </w:p>
          <w:p>
            <w:pPr>
              <w:pStyle w:val="Normal1"/>
              <w:jc w:val="center"/>
              <w:rPr>
                <w:color w:val="00000A"/>
              </w:rPr>
            </w:pPr>
            <w:r>
              <w:rPr>
                <w:color w:val="00000A"/>
              </w:rPr>
              <w:t>92</w:t>
            </w:r>
          </w:p>
          <w:p>
            <w:pPr>
              <w:pStyle w:val="Normal1"/>
              <w:jc w:val="center"/>
              <w:rPr>
                <w:color w:val="00000A"/>
              </w:rPr>
            </w:pPr>
            <w:r>
              <w:rPr>
                <w:color w:val="00000A"/>
              </w:rPr>
              <w:t>267</w:t>
            </w:r>
          </w:p>
          <w:p>
            <w:pPr>
              <w:pStyle w:val="Normal1"/>
              <w:jc w:val="center"/>
              <w:rPr>
                <w:color w:val="00000A"/>
              </w:rPr>
            </w:pPr>
            <w:r>
              <w:rPr>
                <w:color w:val="00000A"/>
              </w:rPr>
              <w:t>126</w:t>
            </w:r>
          </w:p>
          <w:p>
            <w:pPr>
              <w:pStyle w:val="Normal1"/>
              <w:spacing w:before="0" w:after="200"/>
              <w:jc w:val="center"/>
              <w:rPr>
                <w:color w:val="00000A"/>
              </w:rPr>
            </w:pPr>
            <w:r>
              <w:rPr>
                <w:color w:val="00000A"/>
              </w:rPr>
              <w:t>161</w:t>
            </w:r>
          </w:p>
        </w:tc>
      </w:tr>
      <w:tr>
        <w:trPr/>
        <w:tc>
          <w:tcPr>
            <w:tcW w:w="46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8DB3E2" w:val="clear"/>
            <w:tcMar>
              <w:left w:w="83" w:type="dxa"/>
            </w:tcMar>
          </w:tcPr>
          <w:p>
            <w:pPr>
              <w:pStyle w:val="Normal1"/>
              <w:widowControl/>
              <w:suppressAutoHyphens w:val="true"/>
              <w:bidi w:val="0"/>
              <w:spacing w:lineRule="atLeast" w:line="100" w:before="0" w:after="200"/>
              <w:jc w:val="left"/>
              <w:rPr>
                <w:color w:val="00000A"/>
              </w:rPr>
            </w:pPr>
            <w:r>
              <w:rPr>
                <w:b/>
                <w:bCs/>
                <w:color w:val="00000A"/>
              </w:rPr>
              <w:t>TOTAL</w:t>
            </w:r>
          </w:p>
        </w:tc>
        <w:tc>
          <w:tcPr>
            <w:tcW w:w="3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8DB3E2" w:val="clear"/>
            <w:tcMar>
              <w:left w:w="83" w:type="dxa"/>
            </w:tcMar>
          </w:tcPr>
          <w:p>
            <w:pPr>
              <w:pStyle w:val="Normal1"/>
              <w:spacing w:before="0" w:after="200"/>
              <w:jc w:val="center"/>
              <w:rPr>
                <w:color w:val="00000A"/>
              </w:rPr>
            </w:pPr>
            <w:r>
              <w:rPr>
                <w:b/>
                <w:color w:val="00000A"/>
              </w:rPr>
              <w:t>5.192</w:t>
            </w:r>
          </w:p>
        </w:tc>
      </w:tr>
    </w:tbl>
    <w:p>
      <w:pPr>
        <w:pStyle w:val="Normal1"/>
        <w:ind w:left="567" w:hanging="0"/>
        <w:jc w:val="center"/>
        <w:rPr>
          <w:color w:val="00000A"/>
        </w:rPr>
      </w:pPr>
      <w:r>
        <w:rPr>
          <w:color w:val="00000A"/>
        </w:rPr>
        <w:t>Fonte: Pró-Reitoria de Graduação – PROGRAD/UFVJM</w:t>
      </w:r>
    </w:p>
    <w:p>
      <w:pPr>
        <w:pStyle w:val="Normal1"/>
        <w:ind w:left="567" w:hanging="0"/>
        <w:jc w:val="both"/>
        <w:rPr>
          <w:color w:val="00000A"/>
        </w:rPr>
      </w:pPr>
      <w:r>
        <w:rPr>
          <w:color w:val="00000A"/>
        </w:rPr>
        <w:t xml:space="preserve">* Cursos remanescentes do Bacharelado em Ciência e Tecnologia </w:t>
      </w:r>
    </w:p>
    <w:p>
      <w:pPr>
        <w:pStyle w:val="Normal1"/>
        <w:spacing w:lineRule="exact" w:line="240"/>
        <w:ind w:left="567" w:hanging="0"/>
        <w:jc w:val="both"/>
        <w:rPr>
          <w:color w:val="00000A"/>
        </w:rPr>
      </w:pPr>
      <w:r>
        <w:rPr>
          <w:color w:val="00000A"/>
        </w:rPr>
        <w:t xml:space="preserve">** Cursos remanescentes do Bacharelado em Humanidades </w:t>
      </w:r>
    </w:p>
    <w:p>
      <w:pPr>
        <w:pStyle w:val="Normal1"/>
        <w:spacing w:lineRule="exact" w:line="240"/>
        <w:jc w:val="both"/>
        <w:rPr>
          <w:color w:val="00000A"/>
        </w:rPr>
      </w:pPr>
      <w:r>
        <w:rPr>
          <w:color w:val="00000A"/>
        </w:rPr>
      </w:r>
    </w:p>
    <w:p>
      <w:pPr>
        <w:pStyle w:val="Normal1"/>
        <w:spacing w:lineRule="auto" w:line="240"/>
        <w:jc w:val="both"/>
        <w:rPr>
          <w:color w:val="00000A"/>
        </w:rPr>
      </w:pPr>
      <w:r>
        <w:rPr>
          <w:b/>
          <w:color w:val="00000A"/>
        </w:rPr>
        <w:t>Tabela 4 - Número de discentes matriculados em cursos de graduação presenciais no ano de 2016 (2º semestre) – Campus em Teófilo Otoni/MG.</w:t>
      </w:r>
    </w:p>
    <w:tbl>
      <w:tblPr>
        <w:tblW w:w="786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tblPr>
      <w:tblGrid>
        <w:gridCol w:w="4675"/>
        <w:gridCol w:w="3189"/>
      </w:tblGrid>
      <w:tr>
        <w:trPr/>
        <w:tc>
          <w:tcPr>
            <w:tcW w:w="4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bCs/>
                <w:color w:val="00000A"/>
              </w:rPr>
              <w:t>Cursos</w:t>
            </w:r>
          </w:p>
        </w:tc>
        <w:tc>
          <w:tcPr>
            <w:tcW w:w="3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bCs/>
                <w:color w:val="00000A"/>
              </w:rPr>
              <w:t>Nº discentes</w:t>
            </w:r>
          </w:p>
        </w:tc>
      </w:tr>
      <w:tr>
        <w:trPr/>
        <w:tc>
          <w:tcPr>
            <w:tcW w:w="4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 xml:space="preserve">Administração </w:t>
            </w:r>
          </w:p>
          <w:p>
            <w:pPr>
              <w:pStyle w:val="Normal1"/>
              <w:jc w:val="both"/>
              <w:rPr>
                <w:color w:val="00000A"/>
              </w:rPr>
            </w:pPr>
            <w:r>
              <w:rPr>
                <w:b/>
                <w:bCs/>
                <w:color w:val="00000A"/>
              </w:rPr>
              <w:t xml:space="preserve">Bacharelado em Ciência da Tecnologia </w:t>
            </w:r>
          </w:p>
          <w:p>
            <w:pPr>
              <w:pStyle w:val="Normal1"/>
              <w:jc w:val="both"/>
              <w:rPr>
                <w:color w:val="00000A"/>
              </w:rPr>
            </w:pPr>
            <w:r>
              <w:rPr>
                <w:b/>
                <w:bCs/>
                <w:color w:val="00000A"/>
              </w:rPr>
              <w:t xml:space="preserve">Ciências Contábeis </w:t>
            </w:r>
          </w:p>
          <w:p>
            <w:pPr>
              <w:pStyle w:val="Normal1"/>
              <w:jc w:val="both"/>
              <w:rPr>
                <w:color w:val="00000A"/>
              </w:rPr>
            </w:pPr>
            <w:r>
              <w:rPr>
                <w:b/>
                <w:bCs/>
                <w:color w:val="00000A"/>
              </w:rPr>
              <w:t xml:space="preserve">Ciências Econômicas </w:t>
            </w:r>
          </w:p>
          <w:p>
            <w:pPr>
              <w:pStyle w:val="Normal1"/>
              <w:jc w:val="both"/>
              <w:rPr>
                <w:color w:val="00000A"/>
              </w:rPr>
            </w:pPr>
            <w:r>
              <w:rPr>
                <w:b/>
                <w:bCs/>
                <w:color w:val="00000A"/>
              </w:rPr>
              <w:t xml:space="preserve">Engenharia Civil* </w:t>
            </w:r>
          </w:p>
          <w:p>
            <w:pPr>
              <w:pStyle w:val="Normal1"/>
              <w:jc w:val="both"/>
              <w:rPr>
                <w:color w:val="00000A"/>
              </w:rPr>
            </w:pPr>
            <w:r>
              <w:rPr>
                <w:b/>
                <w:bCs/>
                <w:color w:val="00000A"/>
              </w:rPr>
              <w:t xml:space="preserve">Engenharia Hídrica* </w:t>
            </w:r>
          </w:p>
          <w:p>
            <w:pPr>
              <w:pStyle w:val="Normal1"/>
              <w:jc w:val="both"/>
              <w:rPr>
                <w:color w:val="00000A"/>
              </w:rPr>
            </w:pPr>
            <w:r>
              <w:rPr>
                <w:b/>
                <w:bCs/>
                <w:color w:val="00000A"/>
              </w:rPr>
              <w:t xml:space="preserve">Engenharia de Produção* </w:t>
            </w:r>
          </w:p>
          <w:p>
            <w:pPr>
              <w:pStyle w:val="Normal1"/>
              <w:jc w:val="both"/>
              <w:rPr>
                <w:color w:val="00000A"/>
              </w:rPr>
            </w:pPr>
            <w:r>
              <w:rPr>
                <w:b/>
                <w:bCs/>
                <w:color w:val="00000A"/>
              </w:rPr>
              <w:t xml:space="preserve">Matemática (Licenciatura) </w:t>
            </w:r>
          </w:p>
          <w:p>
            <w:pPr>
              <w:pStyle w:val="Normal1"/>
              <w:jc w:val="both"/>
              <w:rPr>
                <w:color w:val="00000A"/>
              </w:rPr>
            </w:pPr>
            <w:r>
              <w:rPr>
                <w:b/>
                <w:bCs/>
                <w:color w:val="00000A"/>
              </w:rPr>
              <w:t>Medicina</w:t>
            </w:r>
          </w:p>
          <w:p>
            <w:pPr>
              <w:pStyle w:val="Normal1"/>
              <w:spacing w:before="0" w:after="200"/>
              <w:jc w:val="both"/>
              <w:rPr>
                <w:color w:val="00000A"/>
              </w:rPr>
            </w:pPr>
            <w:r>
              <w:rPr>
                <w:b/>
                <w:bCs/>
                <w:color w:val="00000A"/>
              </w:rPr>
              <w:t xml:space="preserve">Serviço Social </w:t>
            </w:r>
          </w:p>
        </w:tc>
        <w:tc>
          <w:tcPr>
            <w:tcW w:w="3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281</w:t>
            </w:r>
          </w:p>
          <w:p>
            <w:pPr>
              <w:pStyle w:val="Normal1"/>
              <w:jc w:val="both"/>
              <w:rPr>
                <w:color w:val="00000A"/>
              </w:rPr>
            </w:pPr>
            <w:r>
              <w:rPr>
                <w:color w:val="00000A"/>
              </w:rPr>
              <w:t>860</w:t>
            </w:r>
          </w:p>
          <w:p>
            <w:pPr>
              <w:pStyle w:val="Normal1"/>
              <w:jc w:val="both"/>
              <w:rPr>
                <w:color w:val="00000A"/>
              </w:rPr>
            </w:pPr>
            <w:r>
              <w:rPr>
                <w:color w:val="00000A"/>
              </w:rPr>
              <w:t>261</w:t>
            </w:r>
          </w:p>
          <w:p>
            <w:pPr>
              <w:pStyle w:val="Normal1"/>
              <w:jc w:val="both"/>
              <w:rPr>
                <w:color w:val="00000A"/>
              </w:rPr>
            </w:pPr>
            <w:r>
              <w:rPr>
                <w:color w:val="00000A"/>
              </w:rPr>
              <w:t>244</w:t>
            </w:r>
          </w:p>
          <w:p>
            <w:pPr>
              <w:pStyle w:val="Normal1"/>
              <w:jc w:val="both"/>
              <w:rPr>
                <w:color w:val="00000A"/>
              </w:rPr>
            </w:pPr>
            <w:r>
              <w:rPr>
                <w:color w:val="00000A"/>
              </w:rPr>
              <w:t>191</w:t>
            </w:r>
          </w:p>
          <w:p>
            <w:pPr>
              <w:pStyle w:val="Normal1"/>
              <w:jc w:val="both"/>
              <w:rPr>
                <w:color w:val="00000A"/>
              </w:rPr>
            </w:pPr>
            <w:r>
              <w:rPr>
                <w:color w:val="00000A"/>
              </w:rPr>
              <w:t>36</w:t>
            </w:r>
          </w:p>
          <w:p>
            <w:pPr>
              <w:pStyle w:val="Normal1"/>
              <w:jc w:val="both"/>
              <w:rPr>
                <w:color w:val="00000A"/>
              </w:rPr>
            </w:pPr>
            <w:r>
              <w:rPr>
                <w:color w:val="00000A"/>
              </w:rPr>
              <w:t>40</w:t>
            </w:r>
          </w:p>
          <w:p>
            <w:pPr>
              <w:pStyle w:val="Normal1"/>
              <w:jc w:val="both"/>
              <w:rPr>
                <w:color w:val="00000A"/>
              </w:rPr>
            </w:pPr>
            <w:r>
              <w:rPr>
                <w:color w:val="00000A"/>
              </w:rPr>
              <w:t>121</w:t>
            </w:r>
          </w:p>
          <w:p>
            <w:pPr>
              <w:pStyle w:val="Normal1"/>
              <w:jc w:val="both"/>
              <w:rPr>
                <w:color w:val="00000A"/>
              </w:rPr>
            </w:pPr>
            <w:r>
              <w:rPr>
                <w:color w:val="00000A"/>
              </w:rPr>
              <w:t>141</w:t>
            </w:r>
          </w:p>
          <w:p>
            <w:pPr>
              <w:pStyle w:val="Normal1"/>
              <w:spacing w:before="0" w:after="200"/>
              <w:jc w:val="both"/>
              <w:rPr>
                <w:color w:val="00000A"/>
              </w:rPr>
            </w:pPr>
            <w:r>
              <w:rPr>
                <w:color w:val="00000A"/>
              </w:rPr>
              <w:t>230</w:t>
            </w:r>
          </w:p>
        </w:tc>
      </w:tr>
      <w:tr>
        <w:trPr/>
        <w:tc>
          <w:tcPr>
            <w:tcW w:w="4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bCs/>
                <w:color w:val="00000A"/>
              </w:rPr>
              <w:t>Total</w:t>
            </w:r>
          </w:p>
        </w:tc>
        <w:tc>
          <w:tcPr>
            <w:tcW w:w="31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color w:val="00000A"/>
              </w:rPr>
              <w:t>2.405</w:t>
            </w:r>
          </w:p>
        </w:tc>
      </w:tr>
    </w:tbl>
    <w:p>
      <w:pPr>
        <w:pStyle w:val="Normal1"/>
        <w:ind w:left="709" w:hanging="0"/>
        <w:jc w:val="both"/>
        <w:rPr>
          <w:color w:val="00000A"/>
        </w:rPr>
      </w:pPr>
      <w:r>
        <w:rPr>
          <w:color w:val="00000A"/>
        </w:rPr>
        <w:t>Fonte: Pró-Reitoria de Graduação – PROGRAD/UFVJM</w:t>
      </w:r>
    </w:p>
    <w:p>
      <w:pPr>
        <w:pStyle w:val="Normal1"/>
        <w:ind w:left="709" w:hanging="0"/>
        <w:jc w:val="both"/>
        <w:rPr>
          <w:color w:val="00000A"/>
        </w:rPr>
      </w:pPr>
      <w:r>
        <w:rPr>
          <w:color w:val="00000A"/>
        </w:rPr>
        <w:t xml:space="preserve">* Cursos remanescentes do Bacharelado em Ciência e Tecnologia </w:t>
      </w:r>
    </w:p>
    <w:p>
      <w:pPr>
        <w:pStyle w:val="Normal1"/>
        <w:ind w:left="709" w:hanging="0"/>
        <w:jc w:val="both"/>
        <w:rPr>
          <w:color w:val="00000A"/>
        </w:rPr>
      </w:pPr>
      <w:r>
        <w:rPr>
          <w:color w:val="00000A"/>
        </w:rPr>
      </w:r>
    </w:p>
    <w:p>
      <w:pPr>
        <w:pStyle w:val="Normal1"/>
        <w:spacing w:lineRule="auto" w:line="240"/>
        <w:jc w:val="center"/>
        <w:rPr>
          <w:color w:val="00000A"/>
        </w:rPr>
      </w:pPr>
      <w:r>
        <w:rPr>
          <w:b/>
          <w:color w:val="00000A"/>
        </w:rPr>
        <w:t xml:space="preserve">Tabela 5 - Número de discentes matriculados em cursos de graduação presenciais </w:t>
      </w:r>
    </w:p>
    <w:p>
      <w:pPr>
        <w:pStyle w:val="Normal1"/>
        <w:spacing w:lineRule="auto" w:line="240"/>
        <w:jc w:val="center"/>
        <w:rPr>
          <w:color w:val="00000A"/>
        </w:rPr>
      </w:pPr>
      <w:r>
        <w:rPr>
          <w:b/>
          <w:color w:val="00000A"/>
        </w:rPr>
        <w:t>no ano de 2016 (2º semestre) – Campus em Janaúba/MG</w:t>
      </w:r>
    </w:p>
    <w:tbl>
      <w:tblPr>
        <w:tblW w:w="786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tblPr>
      <w:tblGrid>
        <w:gridCol w:w="3967"/>
        <w:gridCol w:w="3897"/>
      </w:tblGrid>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bCs/>
                <w:color w:val="00000A"/>
              </w:rPr>
              <w:t>Cursos</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bCs/>
                <w:color w:val="00000A"/>
              </w:rPr>
              <w:t>Nº discentes</w:t>
            </w:r>
          </w:p>
        </w:tc>
      </w:tr>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 xml:space="preserve">Bacharelado em Ciência e Tecnologia </w:t>
            </w:r>
          </w:p>
          <w:p>
            <w:pPr>
              <w:pStyle w:val="Normal1"/>
              <w:jc w:val="both"/>
              <w:rPr>
                <w:color w:val="00000A"/>
              </w:rPr>
            </w:pPr>
            <w:r>
              <w:rPr>
                <w:b/>
                <w:bCs/>
                <w:color w:val="00000A"/>
              </w:rPr>
              <w:t>Engenharia Física*</w:t>
            </w:r>
          </w:p>
          <w:p>
            <w:pPr>
              <w:pStyle w:val="Normal1"/>
              <w:jc w:val="both"/>
              <w:rPr>
                <w:color w:val="00000A"/>
              </w:rPr>
            </w:pPr>
            <w:r>
              <w:rPr>
                <w:b/>
                <w:bCs/>
                <w:color w:val="00000A"/>
              </w:rPr>
              <w:t xml:space="preserve">Engenharia de Materiais* </w:t>
            </w:r>
          </w:p>
          <w:p>
            <w:pPr>
              <w:pStyle w:val="Normal1"/>
              <w:jc w:val="both"/>
              <w:rPr>
                <w:color w:val="00000A"/>
              </w:rPr>
            </w:pPr>
            <w:r>
              <w:rPr>
                <w:b/>
                <w:bCs/>
                <w:color w:val="00000A"/>
              </w:rPr>
              <w:t xml:space="preserve">Engenharia Metalúrgica* </w:t>
            </w:r>
          </w:p>
          <w:p>
            <w:pPr>
              <w:pStyle w:val="Normal1"/>
              <w:jc w:val="both"/>
              <w:rPr>
                <w:color w:val="00000A"/>
              </w:rPr>
            </w:pPr>
            <w:r>
              <w:rPr>
                <w:b/>
                <w:bCs/>
                <w:color w:val="00000A"/>
              </w:rPr>
              <w:t>Engenharia de Materiais*</w:t>
            </w:r>
          </w:p>
          <w:p>
            <w:pPr>
              <w:pStyle w:val="Normal1"/>
              <w:spacing w:before="0" w:after="200"/>
              <w:jc w:val="both"/>
              <w:rPr>
                <w:color w:val="00000A"/>
              </w:rPr>
            </w:pPr>
            <w:r>
              <w:rPr>
                <w:b/>
                <w:bCs/>
                <w:color w:val="00000A"/>
              </w:rPr>
              <w:t xml:space="preserve">Química Industrial* </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450</w:t>
            </w:r>
          </w:p>
          <w:p>
            <w:pPr>
              <w:pStyle w:val="Normal1"/>
              <w:jc w:val="both"/>
              <w:rPr>
                <w:color w:val="00000A"/>
              </w:rPr>
            </w:pPr>
            <w:r>
              <w:rPr>
                <w:color w:val="00000A"/>
              </w:rPr>
              <w:t>Ainda não houve transição</w:t>
            </w:r>
          </w:p>
          <w:p>
            <w:pPr>
              <w:pStyle w:val="Normal1"/>
              <w:jc w:val="both"/>
              <w:rPr>
                <w:color w:val="00000A"/>
              </w:rPr>
            </w:pPr>
            <w:r>
              <w:rPr>
                <w:color w:val="00000A"/>
              </w:rPr>
              <w:t>Ainda não houve transição</w:t>
            </w:r>
          </w:p>
          <w:p>
            <w:pPr>
              <w:pStyle w:val="Normal1"/>
              <w:jc w:val="both"/>
              <w:rPr>
                <w:color w:val="00000A"/>
              </w:rPr>
            </w:pPr>
            <w:r>
              <w:rPr>
                <w:color w:val="00000A"/>
              </w:rPr>
              <w:t>Ainda não houve transição</w:t>
            </w:r>
          </w:p>
          <w:p>
            <w:pPr>
              <w:pStyle w:val="Normal1"/>
              <w:jc w:val="both"/>
              <w:rPr>
                <w:color w:val="00000A"/>
              </w:rPr>
            </w:pPr>
            <w:r>
              <w:rPr>
                <w:color w:val="00000A"/>
              </w:rPr>
              <w:t>Ainda não houve transição</w:t>
            </w:r>
          </w:p>
          <w:p>
            <w:pPr>
              <w:pStyle w:val="Normal1"/>
              <w:spacing w:before="0" w:after="200"/>
              <w:jc w:val="both"/>
              <w:rPr>
                <w:color w:val="00000A"/>
              </w:rPr>
            </w:pPr>
            <w:r>
              <w:rPr>
                <w:color w:val="00000A"/>
              </w:rPr>
              <w:t>Ainda não houve transição</w:t>
            </w:r>
          </w:p>
        </w:tc>
      </w:tr>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bCs/>
                <w:color w:val="00000A"/>
              </w:rPr>
              <w:t>Total</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color w:val="00000A"/>
              </w:rPr>
              <w:t>450</w:t>
            </w:r>
          </w:p>
        </w:tc>
      </w:tr>
    </w:tbl>
    <w:p>
      <w:pPr>
        <w:pStyle w:val="Normal1"/>
        <w:ind w:left="567" w:hanging="0"/>
        <w:jc w:val="center"/>
        <w:rPr>
          <w:color w:val="00000A"/>
        </w:rPr>
      </w:pPr>
      <w:r>
        <w:rPr>
          <w:color w:val="00000A"/>
        </w:rPr>
        <w:t>Fonte: Pró-Reitoria de Graduação – PROGRAD/UFVJM</w:t>
      </w:r>
    </w:p>
    <w:p>
      <w:pPr>
        <w:pStyle w:val="Normal1"/>
        <w:ind w:left="567" w:hanging="0"/>
        <w:jc w:val="both"/>
        <w:rPr>
          <w:color w:val="00000A"/>
        </w:rPr>
      </w:pPr>
      <w:r>
        <w:rPr>
          <w:color w:val="00000A"/>
        </w:rPr>
        <w:t xml:space="preserve">* Cursos remanescentes do Bacharelado em Ciência e Tecnologia </w:t>
      </w:r>
    </w:p>
    <w:p>
      <w:pPr>
        <w:pStyle w:val="Normal1"/>
        <w:ind w:left="567" w:hanging="0"/>
        <w:jc w:val="both"/>
        <w:rPr>
          <w:color w:val="00000A"/>
        </w:rPr>
      </w:pPr>
      <w:r>
        <w:rPr>
          <w:color w:val="00000A"/>
        </w:rPr>
      </w:r>
    </w:p>
    <w:p>
      <w:pPr>
        <w:pStyle w:val="Normal1"/>
        <w:spacing w:lineRule="auto" w:line="240"/>
        <w:jc w:val="center"/>
        <w:rPr>
          <w:color w:val="00000A"/>
        </w:rPr>
      </w:pPr>
      <w:r>
        <w:rPr>
          <w:b/>
          <w:color w:val="00000A"/>
        </w:rPr>
        <w:t xml:space="preserve">Tabela 6 - Número de discentes matriculados em cursos de graduação presenciais </w:t>
      </w:r>
    </w:p>
    <w:p>
      <w:pPr>
        <w:pStyle w:val="Normal1"/>
        <w:spacing w:lineRule="auto" w:line="240"/>
        <w:jc w:val="center"/>
        <w:rPr>
          <w:color w:val="00000A"/>
        </w:rPr>
      </w:pPr>
      <w:r>
        <w:rPr>
          <w:b/>
          <w:color w:val="00000A"/>
        </w:rPr>
        <w:t>no ano de 2016 (2º semestre) – Campus em Unaí/MG.</w:t>
      </w:r>
    </w:p>
    <w:tbl>
      <w:tblPr>
        <w:tblW w:w="786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4a0"/>
      </w:tblPr>
      <w:tblGrid>
        <w:gridCol w:w="3967"/>
        <w:gridCol w:w="3897"/>
      </w:tblGrid>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bCs/>
                <w:color w:val="00000A"/>
              </w:rPr>
              <w:t>Cursos</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1"/>
              <w:spacing w:before="0" w:after="200"/>
              <w:jc w:val="both"/>
              <w:rPr>
                <w:color w:val="00000A"/>
              </w:rPr>
            </w:pPr>
            <w:r>
              <w:rPr>
                <w:b/>
                <w:bCs/>
                <w:color w:val="00000A"/>
              </w:rPr>
              <w:t>Nº discentes</w:t>
            </w:r>
          </w:p>
        </w:tc>
      </w:tr>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both"/>
              <w:rPr>
                <w:color w:val="00000A"/>
              </w:rPr>
            </w:pPr>
            <w:r>
              <w:rPr>
                <w:b/>
                <w:bCs/>
                <w:color w:val="00000A"/>
              </w:rPr>
              <w:t>Bacharelado em Ciências Agrárias</w:t>
            </w:r>
          </w:p>
          <w:p>
            <w:pPr>
              <w:pStyle w:val="Normal1"/>
              <w:jc w:val="both"/>
              <w:rPr>
                <w:color w:val="00000A"/>
              </w:rPr>
            </w:pPr>
            <w:r>
              <w:rPr>
                <w:b/>
                <w:bCs/>
                <w:color w:val="00000A"/>
              </w:rPr>
              <w:t>Agronomia*</w:t>
            </w:r>
          </w:p>
          <w:p>
            <w:pPr>
              <w:pStyle w:val="Normal1"/>
              <w:jc w:val="both"/>
              <w:rPr>
                <w:color w:val="00000A"/>
              </w:rPr>
            </w:pPr>
            <w:r>
              <w:rPr>
                <w:b/>
                <w:bCs/>
                <w:color w:val="00000A"/>
              </w:rPr>
              <w:t>Engenharia Agrícola e Ambiental*</w:t>
            </w:r>
          </w:p>
          <w:p>
            <w:pPr>
              <w:pStyle w:val="Normal1"/>
              <w:jc w:val="both"/>
              <w:rPr>
                <w:color w:val="00000A"/>
              </w:rPr>
            </w:pPr>
            <w:r>
              <w:rPr>
                <w:b/>
                <w:bCs/>
                <w:color w:val="00000A"/>
              </w:rPr>
              <w:t>Medicina Veterinária*</w:t>
            </w:r>
          </w:p>
          <w:p>
            <w:pPr>
              <w:pStyle w:val="Normal1"/>
              <w:spacing w:before="0" w:after="200"/>
              <w:jc w:val="both"/>
              <w:rPr>
                <w:color w:val="00000A"/>
              </w:rPr>
            </w:pPr>
            <w:r>
              <w:rPr>
                <w:b/>
                <w:bCs/>
                <w:color w:val="00000A"/>
              </w:rPr>
              <w:t xml:space="preserve">Zootecnia* </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3" w:type="dxa"/>
            </w:tcMar>
          </w:tcPr>
          <w:p>
            <w:pPr>
              <w:pStyle w:val="Normal1"/>
              <w:jc w:val="both"/>
              <w:rPr>
                <w:color w:val="00000A"/>
              </w:rPr>
            </w:pPr>
            <w:r>
              <w:rPr>
                <w:color w:val="00000A"/>
              </w:rPr>
              <w:t>482</w:t>
            </w:r>
          </w:p>
          <w:p>
            <w:pPr>
              <w:pStyle w:val="Normal1"/>
              <w:jc w:val="both"/>
              <w:rPr>
                <w:color w:val="00000A"/>
              </w:rPr>
            </w:pPr>
            <w:r>
              <w:rPr>
                <w:color w:val="00000A"/>
              </w:rPr>
              <w:t>Ainda não houve transição</w:t>
            </w:r>
          </w:p>
          <w:p>
            <w:pPr>
              <w:pStyle w:val="Normal1"/>
              <w:jc w:val="both"/>
              <w:rPr>
                <w:color w:val="00000A"/>
              </w:rPr>
            </w:pPr>
            <w:r>
              <w:rPr>
                <w:color w:val="00000A"/>
              </w:rPr>
              <w:t>Ainda não houve transição</w:t>
            </w:r>
          </w:p>
          <w:p>
            <w:pPr>
              <w:pStyle w:val="Normal1"/>
              <w:jc w:val="both"/>
              <w:rPr>
                <w:color w:val="00000A"/>
              </w:rPr>
            </w:pPr>
            <w:r>
              <w:rPr>
                <w:color w:val="00000A"/>
              </w:rPr>
              <w:t>Ainda não houve transição</w:t>
            </w:r>
          </w:p>
          <w:p>
            <w:pPr>
              <w:pStyle w:val="Normal1"/>
              <w:spacing w:before="0" w:after="200"/>
              <w:jc w:val="both"/>
              <w:rPr>
                <w:color w:val="00000A"/>
              </w:rPr>
            </w:pPr>
            <w:r>
              <w:rPr>
                <w:color w:val="00000A"/>
              </w:rPr>
              <w:t>Ainda não houve transição</w:t>
            </w:r>
          </w:p>
        </w:tc>
      </w:tr>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3" w:type="dxa"/>
            </w:tcMar>
          </w:tcPr>
          <w:p>
            <w:pPr>
              <w:pStyle w:val="Normal1"/>
              <w:spacing w:before="0" w:after="200"/>
              <w:jc w:val="both"/>
              <w:rPr>
                <w:color w:val="00000A"/>
              </w:rPr>
            </w:pPr>
            <w:r>
              <w:rPr>
                <w:b/>
                <w:bCs/>
                <w:color w:val="00000A"/>
              </w:rPr>
              <w:t>Total</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3" w:type="dxa"/>
            </w:tcMar>
          </w:tcPr>
          <w:p>
            <w:pPr>
              <w:pStyle w:val="Normal1"/>
              <w:spacing w:before="0" w:after="200"/>
              <w:jc w:val="both"/>
              <w:rPr>
                <w:color w:val="00000A"/>
              </w:rPr>
            </w:pPr>
            <w:r>
              <w:rPr>
                <w:b/>
                <w:color w:val="00000A"/>
              </w:rPr>
              <w:t>482</w:t>
            </w:r>
          </w:p>
        </w:tc>
      </w:tr>
    </w:tbl>
    <w:p>
      <w:pPr>
        <w:pStyle w:val="Normal1"/>
        <w:ind w:left="567" w:hanging="0"/>
        <w:jc w:val="center"/>
        <w:rPr>
          <w:color w:val="00000A"/>
        </w:rPr>
      </w:pPr>
      <w:r>
        <w:rPr>
          <w:color w:val="00000A"/>
        </w:rPr>
        <w:t>Fonte: Pró-Reitoria de Graduação – PROGRAD/UFVJM</w:t>
      </w:r>
    </w:p>
    <w:p>
      <w:pPr>
        <w:pStyle w:val="Normal1"/>
        <w:ind w:left="567" w:hanging="0"/>
        <w:jc w:val="both"/>
        <w:rPr>
          <w:color w:val="00000A"/>
        </w:rPr>
      </w:pPr>
      <w:r>
        <w:rPr>
          <w:color w:val="00000A"/>
        </w:rPr>
        <w:t xml:space="preserve">* Cursos remanescentes do Bacharelado em Ciências </w:t>
      </w:r>
    </w:p>
    <w:p>
      <w:pPr>
        <w:pStyle w:val="Normal1"/>
        <w:ind w:left="567" w:hanging="0"/>
        <w:jc w:val="both"/>
        <w:rPr>
          <w:color w:val="00000A"/>
        </w:rPr>
      </w:pPr>
      <w:r>
        <w:rPr>
          <w:color w:val="00000A"/>
        </w:rPr>
      </w:r>
    </w:p>
    <w:p>
      <w:pPr>
        <w:pStyle w:val="Normal1"/>
        <w:spacing w:lineRule="auto" w:line="240"/>
        <w:jc w:val="center"/>
        <w:rPr>
          <w:color w:val="00000A"/>
        </w:rPr>
      </w:pPr>
      <w:r>
        <w:rPr>
          <w:b/>
          <w:color w:val="00000A"/>
        </w:rPr>
        <w:t xml:space="preserve">Tabela 7 - Número de discentes matriculados em cursos de graduação a distância </w:t>
      </w:r>
    </w:p>
    <w:p>
      <w:pPr>
        <w:pStyle w:val="Normal1"/>
        <w:spacing w:lineRule="auto" w:line="240"/>
        <w:jc w:val="center"/>
        <w:rPr>
          <w:color w:val="00000A"/>
        </w:rPr>
      </w:pPr>
      <w:r>
        <w:rPr>
          <w:b/>
          <w:color w:val="00000A"/>
        </w:rPr>
        <w:t>no ano de 2016 (2º semestre) – UFVJM</w:t>
      </w:r>
    </w:p>
    <w:tbl>
      <w:tblPr>
        <w:tblW w:w="786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tblPr>
      <w:tblGrid>
        <w:gridCol w:w="3967"/>
        <w:gridCol w:w="3897"/>
      </w:tblGrid>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bCs/>
                <w:color w:val="00000A"/>
              </w:rPr>
              <w:t>Cursos</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bCs/>
                <w:color w:val="00000A"/>
              </w:rPr>
              <w:t>Nº discentes</w:t>
            </w:r>
          </w:p>
        </w:tc>
      </w:tr>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 xml:space="preserve">Administração Pública </w:t>
            </w:r>
          </w:p>
          <w:p>
            <w:pPr>
              <w:pStyle w:val="Normal1"/>
              <w:jc w:val="both"/>
              <w:rPr>
                <w:color w:val="00000A"/>
              </w:rPr>
            </w:pPr>
            <w:r>
              <w:rPr>
                <w:b/>
                <w:bCs/>
                <w:color w:val="00000A"/>
              </w:rPr>
              <w:t>Física (Licenciatura)</w:t>
            </w:r>
          </w:p>
          <w:p>
            <w:pPr>
              <w:pStyle w:val="Normal1"/>
              <w:jc w:val="both"/>
              <w:rPr>
                <w:color w:val="00000A"/>
              </w:rPr>
            </w:pPr>
            <w:r>
              <w:rPr>
                <w:b/>
                <w:bCs/>
                <w:color w:val="00000A"/>
              </w:rPr>
              <w:t>Matemática (Licenciatura)</w:t>
            </w:r>
          </w:p>
          <w:p>
            <w:pPr>
              <w:pStyle w:val="Normal1"/>
              <w:spacing w:before="0" w:after="200"/>
              <w:jc w:val="both"/>
              <w:rPr>
                <w:color w:val="00000A"/>
              </w:rPr>
            </w:pPr>
            <w:r>
              <w:rPr>
                <w:b/>
                <w:bCs/>
                <w:color w:val="00000A"/>
              </w:rPr>
              <w:t>Química (Licenciatura)</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234</w:t>
            </w:r>
          </w:p>
          <w:p>
            <w:pPr>
              <w:pStyle w:val="Normal1"/>
              <w:jc w:val="both"/>
              <w:rPr>
                <w:color w:val="00000A"/>
              </w:rPr>
            </w:pPr>
            <w:r>
              <w:rPr>
                <w:color w:val="00000A"/>
              </w:rPr>
              <w:t>14</w:t>
            </w:r>
          </w:p>
          <w:p>
            <w:pPr>
              <w:pStyle w:val="Normal1"/>
              <w:jc w:val="both"/>
              <w:rPr>
                <w:color w:val="00000A"/>
              </w:rPr>
            </w:pPr>
            <w:r>
              <w:rPr>
                <w:color w:val="00000A"/>
              </w:rPr>
              <w:t>72</w:t>
            </w:r>
          </w:p>
          <w:p>
            <w:pPr>
              <w:pStyle w:val="Normal1"/>
              <w:spacing w:before="0" w:after="200"/>
              <w:jc w:val="both"/>
              <w:rPr>
                <w:color w:val="00000A"/>
              </w:rPr>
            </w:pPr>
            <w:r>
              <w:rPr>
                <w:color w:val="00000A"/>
              </w:rPr>
              <w:t>35</w:t>
            </w:r>
          </w:p>
        </w:tc>
      </w:tr>
      <w:tr>
        <w:trPr/>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bCs/>
                <w:color w:val="00000A"/>
              </w:rPr>
              <w:t>Total</w:t>
            </w:r>
          </w:p>
        </w:tc>
        <w:tc>
          <w:tcPr>
            <w:tcW w:w="38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color w:val="00000A"/>
              </w:rPr>
              <w:t>355</w:t>
            </w:r>
          </w:p>
        </w:tc>
      </w:tr>
    </w:tbl>
    <w:p>
      <w:pPr>
        <w:pStyle w:val="Normal1"/>
        <w:ind w:left="567" w:hanging="0"/>
        <w:jc w:val="center"/>
        <w:rPr>
          <w:color w:val="00000A"/>
        </w:rPr>
      </w:pPr>
      <w:r>
        <w:rPr>
          <w:color w:val="00000A"/>
        </w:rPr>
        <w:t>Fonte: Pró-Reitoria de Graduação – PROGRAD/UFVJM</w:t>
      </w:r>
    </w:p>
    <w:p>
      <w:pPr>
        <w:pStyle w:val="Normal1"/>
        <w:spacing w:lineRule="auto" w:line="360"/>
        <w:jc w:val="both"/>
        <w:rPr>
          <w:b/>
          <w:b/>
          <w:color w:val="00000A"/>
        </w:rPr>
      </w:pPr>
      <w:r>
        <w:rPr>
          <w:b/>
          <w:color w:val="00000A"/>
        </w:rPr>
      </w:r>
    </w:p>
    <w:p>
      <w:pPr>
        <w:pStyle w:val="Normal1"/>
        <w:spacing w:lineRule="auto" w:line="360"/>
        <w:jc w:val="both"/>
        <w:rPr>
          <w:color w:val="00000A"/>
        </w:rPr>
      </w:pPr>
      <w:r>
        <w:rPr>
          <w:b/>
          <w:color w:val="00000A"/>
        </w:rPr>
        <w:t>2.4.2. Organização acadêmica dos cursos de graduação</w:t>
      </w:r>
    </w:p>
    <w:p>
      <w:pPr>
        <w:pStyle w:val="Normal1"/>
        <w:spacing w:lineRule="auto" w:line="360"/>
        <w:ind w:firstLine="709"/>
        <w:jc w:val="both"/>
        <w:rPr>
          <w:color w:val="00000A"/>
        </w:rPr>
      </w:pPr>
      <w:r>
        <w:rPr>
          <w:color w:val="00000A"/>
        </w:rPr>
        <w:t xml:space="preserve">Os cursos de graduação da Universidade Federal dos Vales do Jequitinhonha e Mucuri são ofertados em sua maioria, em regime semestral, adotando organização curricular constituída por unidades curriculares, macrodisciplinas, eixos ou módulos. </w:t>
      </w:r>
    </w:p>
    <w:p>
      <w:pPr>
        <w:pStyle w:val="Normal1"/>
        <w:spacing w:lineRule="auto" w:line="360"/>
        <w:ind w:firstLine="709"/>
        <w:jc w:val="both"/>
        <w:rPr>
          <w:color w:val="00000A"/>
        </w:rPr>
      </w:pPr>
      <w:r>
        <w:rPr>
          <w:color w:val="00000A"/>
        </w:rPr>
        <w:t>Consoante com as Diretrizes Curriculares Nacionais de cada área de formação, as estruturas curriculares contemplam componentes obrigatórios, eletivos, optativos, de livre escolha e de opção limitada, possibilitando ao estudante graus de autonomia e flexibilidade para complementar sua formação acadêmica.</w:t>
      </w:r>
    </w:p>
    <w:p>
      <w:pPr>
        <w:pStyle w:val="Normal1"/>
        <w:spacing w:lineRule="auto" w:line="360"/>
        <w:ind w:firstLine="709"/>
        <w:jc w:val="both"/>
        <w:rPr>
          <w:color w:val="00000A"/>
        </w:rPr>
      </w:pPr>
      <w:r>
        <w:rPr>
          <w:color w:val="00000A"/>
        </w:rPr>
        <w:t>Os componentes curriculares são organizados em sistema de créditos, conforme regulamentação interna, e ofertados em blocos, semestralmente, conforme previsão nas estruturas curriculares. A partir do 2º período do curso, o estudante tem a liberdade de compor o seu fluxo formativo, podendo se matricular em unidades curriculares de períodos subsequentes, desde que não estejam vinculadas por pré-requisitos.</w:t>
      </w:r>
    </w:p>
    <w:p>
      <w:pPr>
        <w:pStyle w:val="Normal1"/>
        <w:spacing w:lineRule="auto" w:line="360"/>
        <w:ind w:firstLine="709"/>
        <w:jc w:val="both"/>
        <w:rPr>
          <w:color w:val="00000A"/>
        </w:rPr>
      </w:pPr>
      <w:r>
        <w:rPr>
          <w:color w:val="00000A"/>
        </w:rPr>
        <w:t xml:space="preserve">A implantação de organização acadêmica diferenciada nos cursos da UFVJM decorre de sua adesão ao Programa de Reestruturação e Expansão das Universidades Federais, o qual teve como um de seus pilares, a revisão da estrutura acadêmica dos cursos, diversificando as modalidades de graduação com a criação dos Bacharelados Interdisciplinares. Com essa modalidade, foram implantados regimes curriculares que conduzem à formação sólida e geral no primeiro ciclo de formação, possibilitando graus de autonomia ao estudante para a construção de itinerários formativos e adiando a escolha da profissionalização precoce e especializada. Além disso, buscou-se com essa proposta estimular a autonomia e o amadurecimento do estudante para uma escolha profissional mais assertiva. </w:t>
      </w:r>
    </w:p>
    <w:p>
      <w:pPr>
        <w:pStyle w:val="Normal1"/>
        <w:spacing w:lineRule="auto" w:line="360"/>
        <w:ind w:firstLine="709"/>
        <w:jc w:val="both"/>
        <w:rPr>
          <w:color w:val="00000A"/>
        </w:rPr>
      </w:pPr>
      <w:r>
        <w:rPr>
          <w:color w:val="00000A"/>
        </w:rPr>
        <w:t>Na reorganização dos cursos de graduação também foram criados os cursos de Medicina com organização curricular em módulos e integração das áreas do conhecimento. Essa organização visa também uma maior aproximação dos estudantes com o campo da prática profissional e com a comunidade, desde o início do curso, por meio de componentes curriculares transversais ao currículo, e adoção de abordagem metodológica baseada na resolução de problemas, reais ou simulados, estimulando a construção do conhecimento, o desenvolvimento da autonomia e do raciocínio clínico em equipes de trabalho.</w:t>
      </w:r>
    </w:p>
    <w:p>
      <w:pPr>
        <w:pStyle w:val="Normal1"/>
        <w:spacing w:lineRule="auto" w:line="360"/>
        <w:ind w:firstLine="709"/>
        <w:jc w:val="both"/>
        <w:rPr>
          <w:color w:val="00000A"/>
        </w:rPr>
      </w:pPr>
      <w:r>
        <w:rPr>
          <w:color w:val="00000A"/>
        </w:rPr>
        <w:t xml:space="preserve">O curso de Licenciatura em Educação do Campo foi implantado na instituição em resposta à demanda do Ministério da Educação, que lançou em 2012, edital específico para essa finalidade. Entre as normas para os projetos pedagógicos dos cursos, se inclui que a organização curricular deve ser composta “por etapas equivalentes a semestres regulares cumpridas em Regime de Alternância entre Tempo-Escola e Tempo-Comunidade”, sendo esse último caracterizado por períodos de formação presencial e intensiva, desenvolvidos nas comunidades rurais e compostos de práticas pedagógicas orientadas. </w:t>
      </w:r>
      <w:r>
        <w:rPr>
          <w:color w:val="00000A"/>
          <w:lang w:eastAsia="pt-BR"/>
        </w:rPr>
        <w:t xml:space="preserve">Assim sendo, o Regime de Alternância funciona em períodos concentrados de aulas (Tempo Universidade) e períodos de formação vivencial (Tempo Comunidade) - com a devida orientação dos docentes. A Pedagogia da Alternância promove formação pautada na realidade das comunidades do campo e se volta para o atendimento da demanda social de formação desses povos. A Nota Técnica Conjunta Nº 3/2016/GAB/SECADI/SECADI reitera que os cursos de Educação do Campo têm por objetivo a formação de docentes para a atuação nos anos finais do ensino fundamental e do ensino médio de escolas do campo, de modo que é necessário priorizar o ingresso da população do campo nesses cursos. </w:t>
      </w:r>
    </w:p>
    <w:p>
      <w:pPr>
        <w:pStyle w:val="Normal1"/>
        <w:spacing w:lineRule="auto" w:line="360"/>
        <w:ind w:firstLine="709"/>
        <w:jc w:val="both"/>
        <w:rPr>
          <w:color w:val="00000A"/>
        </w:rPr>
      </w:pPr>
      <w:r>
        <w:rPr>
          <w:color w:val="00000A"/>
        </w:rPr>
        <w:t>Outras mudanças foram empreendidas pelos cursos na organização dos currículos, objetivando a integração de áreas do conhecimento e o aprimoramento da formação, tais como organização em macrodisciplinas e em eixos de formação, integração teoria prática e disseminação de estágios ao longo do curso, respeitado o desenvolvimento de competências e o grau de complexidade de cada área do conhecimento.</w:t>
      </w:r>
    </w:p>
    <w:p>
      <w:pPr>
        <w:pStyle w:val="Normal1"/>
        <w:spacing w:lineRule="auto" w:line="360"/>
        <w:ind w:firstLine="709"/>
        <w:jc w:val="both"/>
        <w:rPr>
          <w:color w:val="00000A"/>
        </w:rPr>
      </w:pPr>
      <w:r>
        <w:rPr>
          <w:color w:val="00000A"/>
        </w:rPr>
        <w:t>Considerando-se a dinâmica da sociedade, bem como a vertiginosa e contínua produção de conhecimentos e tecnologias, propõe-se neste documento, a permanente revisão da estrutura acadêmica dos cursos de graduação, buscando atender aos avanços das áreas de formação e a promoção de constante elevação da qualidade do ensino.</w:t>
      </w:r>
    </w:p>
    <w:p>
      <w:pPr>
        <w:pStyle w:val="Normal1"/>
        <w:spacing w:lineRule="auto" w:line="360"/>
        <w:ind w:firstLine="709"/>
        <w:jc w:val="both"/>
        <w:rPr>
          <w:color w:val="00000A"/>
        </w:rPr>
      </w:pPr>
      <w:r>
        <w:rPr>
          <w:color w:val="00000A"/>
        </w:rPr>
        <w:t xml:space="preserve">Os cursos de graduação da UFVJM têm se direcionado no sentido de promover reflexões sobre os processos formativos, propondo revisões e alterações nas suas formas de organização curricular e do ensino, em até cinco anos de vigência dos projetos pedagógicos, com vistas a alcançar o ideário de formação assumido pela Instituição. </w:t>
      </w:r>
    </w:p>
    <w:p>
      <w:pPr>
        <w:pStyle w:val="Normal1"/>
        <w:spacing w:lineRule="auto" w:line="360"/>
        <w:ind w:firstLine="709"/>
        <w:jc w:val="both"/>
        <w:rPr>
          <w:color w:val="00000A"/>
        </w:rPr>
      </w:pPr>
      <w:r>
        <w:rPr>
          <w:color w:val="00000A"/>
        </w:rPr>
        <w:t>Nesse contexto, nos próximos cinco anos, tanto os bacharelados quanto as licenciaturas da UFVJM passarão por mudanças curriculares, alicerçadas nas reflexões empreendidas pelas comunidades acadêmica e externa que, certamente, agregarão significativa contribuição à formação dos estudantes.</w:t>
      </w:r>
    </w:p>
    <w:p>
      <w:pPr>
        <w:pStyle w:val="Normal1"/>
        <w:spacing w:lineRule="auto" w:line="360"/>
        <w:jc w:val="both"/>
        <w:rPr>
          <w:color w:val="00000A"/>
        </w:rPr>
      </w:pPr>
      <w:r>
        <w:rPr>
          <w:color w:val="00000A"/>
        </w:rPr>
      </w:r>
    </w:p>
    <w:p>
      <w:pPr>
        <w:pStyle w:val="Normal1"/>
        <w:spacing w:lineRule="auto" w:line="360"/>
        <w:jc w:val="both"/>
        <w:rPr>
          <w:color w:val="00000A"/>
        </w:rPr>
      </w:pPr>
      <w:r>
        <w:rPr>
          <w:b/>
          <w:color w:val="00000A"/>
        </w:rPr>
        <w:t xml:space="preserve">2.4.2.2. Avaliação do Ensino </w:t>
      </w:r>
    </w:p>
    <w:p>
      <w:pPr>
        <w:pStyle w:val="Normal1"/>
        <w:spacing w:lineRule="auto" w:line="360"/>
        <w:ind w:firstLine="709"/>
        <w:jc w:val="both"/>
        <w:rPr>
          <w:color w:val="00000A"/>
        </w:rPr>
      </w:pPr>
      <w:r>
        <w:rPr>
          <w:color w:val="00000A"/>
        </w:rPr>
        <w:t>No que se refere à avaliação, a Universidade tem incentivado reflexões e discussões acerca de uma avaliação processual, com o propósito de superar avaliações meramente quantitativas e periódicas. Propõe, portanto, uma avaliação qualitativa, contínua e permanente, objetivando o acompanhamento progressivo do discente.</w:t>
      </w:r>
    </w:p>
    <w:p>
      <w:pPr>
        <w:pStyle w:val="Normal1"/>
        <w:spacing w:lineRule="auto" w:line="360"/>
        <w:ind w:firstLine="709"/>
        <w:jc w:val="both"/>
        <w:rPr>
          <w:color w:val="00000A"/>
        </w:rPr>
      </w:pPr>
      <w:r>
        <w:rPr>
          <w:color w:val="00000A"/>
        </w:rPr>
        <w:t>Há de se ressaltar que não só os discentes, mas também os docentes, os cursos e a instituição devem ser avaliados, tanto na perspectiva interna, quanto externa. Sendo assim, em atenção à missão da Universidade e pautada nos princípios da qualidade, do respeito à diversidade, da gestão democrática, da liberdade e da valorização do ensino, da pesquisa e da extensão, o projeto de avaliação institucional propõe estratégias para a avaliação continuada.</w:t>
      </w:r>
    </w:p>
    <w:p>
      <w:pPr>
        <w:pStyle w:val="Normal1"/>
        <w:spacing w:lineRule="auto" w:line="360"/>
        <w:ind w:firstLine="709"/>
        <w:jc w:val="both"/>
        <w:rPr>
          <w:color w:val="00000A"/>
        </w:rPr>
      </w:pPr>
      <w:r>
        <w:rPr>
          <w:color w:val="00000A"/>
        </w:rPr>
        <w:t>Trata-se de uma proposta ousada porque busca compreender e intervir na instituição como um todo, não se propondo a levantar informações sobre indivíduos isolados, mas sim considerando no processo avaliativo, o coletivo. O principal objetivo da avaliação institucional constitui-se no aprimoramento contínuo e qualitativo das ações da Universidade e no cumprimento de seu papel na transformação da sociedade, buscando aprimorar os instrumentos voltados para a avaliação da qualidade do ensino de graduação na UFVJM, nas modalidades presencial e a distância, implantando estratégias e instrumentos permanentes de avaliação da qualidade.</w:t>
      </w:r>
    </w:p>
    <w:p>
      <w:pPr>
        <w:pStyle w:val="Normal1"/>
        <w:spacing w:lineRule="auto" w:line="360"/>
        <w:ind w:firstLine="709"/>
        <w:jc w:val="both"/>
        <w:rPr>
          <w:color w:val="00000A"/>
        </w:rPr>
      </w:pPr>
      <w:r>
        <w:rPr>
          <w:color w:val="00000A"/>
        </w:rPr>
        <w:t>Com o objetivo de avaliar o ensino de graduação oferecido pela UFVJM, o Conselho de Ensino, Pesquisa e Extensão aprovou em 2010 e reestruturou em 2014, regulamentação interna instituindo o Instrumento de Avaliação do Ensino e das condições de oferta dos cursos (IAE). Entre os aspectos avaliados são incluídos a auto-avaliação discente, avaliação do docente, das unidades curriculares e do curso, além da infraestrutura institucional. Os instrumentos de avaliação foram informatizados no Sistema de Gestão Acadêmica e o processo de avaliação é realizado semestralmente pelos discentes e docentes, em períodos previstos no calendário acadêmico. Em seu processo dialético, a UFVJM se propõe a refletir e adequar sempre que necessário seu próprio instrumento de avaliação.</w:t>
      </w:r>
    </w:p>
    <w:p>
      <w:pPr>
        <w:pStyle w:val="Normal1"/>
        <w:spacing w:lineRule="auto" w:line="360"/>
        <w:ind w:firstLine="709"/>
        <w:jc w:val="both"/>
        <w:rPr>
          <w:color w:val="00000A"/>
        </w:rPr>
      </w:pPr>
      <w:r>
        <w:rPr>
          <w:color w:val="00000A"/>
        </w:rPr>
        <w:t>A UFVJM se propõe a avançar continuamente no processo de avaliação do ensino, estimulando a cultura avaliativa e a participação consciente e reflexiva, bem como criando mecanismos eficientes de monitoramento, levantamento de informações e elaboração de planos de ação que subsidiem o aprimoramento desse processo e concorram para a melhoria do ensino de graduação. Nesse sentido, o papel da Comissão Própria de Avaliação (CPA) é fundamental, à medida em que suas ações contribuem para o conhecimento da realidade institucional e, consequentemente, para a elaboração de estratégias de intervenção que permitam a consecução dos objetivos e metas institucionais.</w:t>
      </w:r>
    </w:p>
    <w:p>
      <w:pPr>
        <w:pStyle w:val="Normal1"/>
        <w:spacing w:lineRule="auto" w:line="360"/>
        <w:ind w:firstLine="709"/>
        <w:jc w:val="both"/>
        <w:rPr>
          <w:color w:val="00000A"/>
        </w:rPr>
      </w:pPr>
      <w:r>
        <w:rPr>
          <w:color w:val="00000A"/>
        </w:rPr>
        <w:t>Outra ação importante consiste no estímulo permanente aos Colegiados de cursos para análise de instrumentos de avaliação externos, tais como, relatórios do Exame Nacional de Estudantes (ENADE), Avaliação Nacional Seriada dos Estudantes de Medicina (ANASEM), relatórios de avaliação dos cursos, bem como análise do perfil do ingressante mediante o rendimento no Exame Nacional do Ensino Médio, o que pode contribuir para um acompanhamento efetivo do mesmo, quando necessário, desde o seu ingresso na UFVJM. Os resultados dessas avaliações podem contribuir significativamente para implantação de ações relevantes de melhoria do ensino.</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b/>
          <w:color w:val="00000A"/>
        </w:rPr>
        <w:t>2.4.2.3. Estratégias para acompanhamento discente</w:t>
      </w:r>
    </w:p>
    <w:p>
      <w:pPr>
        <w:pStyle w:val="Normal1"/>
        <w:spacing w:lineRule="auto" w:line="360"/>
        <w:ind w:firstLine="709"/>
        <w:jc w:val="both"/>
        <w:rPr>
          <w:color w:val="00000A"/>
        </w:rPr>
      </w:pPr>
      <w:r>
        <w:rPr>
          <w:color w:val="00000A"/>
        </w:rPr>
        <w:t>Com o objetivo de alcançar a melhoria do desempenho e o sucesso dos estudantes de graduação, ações de acompanhamento devem ser implementadas pela Pró-Reitoria de Graduação e pelos Colegiados dos Cursos, visando ampliar o suporte didático aos ingressantes em cursos com alto índice de retenção, que apresentem deficiências de conhecimentos prévios nas áreas básicas. O resultado do ingressante na UFVJM, obtido no Exame Nacional do Ensino Médio (ENEM), bem como de outros processos seletivos, poderá oferecer subsídios para aferir o seu nível de desempenho nas áreas do conhecimento e direcioná-lo para os programas de apoio, concomitantemente ao seu fluxo no curso de graduação.</w:t>
      </w:r>
    </w:p>
    <w:p>
      <w:pPr>
        <w:pStyle w:val="Normal1"/>
        <w:spacing w:lineRule="auto" w:line="360"/>
        <w:ind w:firstLine="709"/>
        <w:jc w:val="both"/>
        <w:rPr>
          <w:color w:val="00000A"/>
        </w:rPr>
      </w:pPr>
      <w:r>
        <w:rPr>
          <w:color w:val="00000A"/>
        </w:rPr>
        <w:t>Os dados institucionais referentes ao desempenho discente, os quais são registrados por meio do seu sistema informatizado, são fonte para a busca de informações que permitam identificar correlações entre resultados acadêmicos e tendências de retenção e evasão, de modo a balizar o planejamento de ações preventivas.</w:t>
      </w:r>
    </w:p>
    <w:p>
      <w:pPr>
        <w:pStyle w:val="Normal1"/>
        <w:spacing w:lineRule="auto" w:line="360"/>
        <w:ind w:firstLine="709"/>
        <w:jc w:val="both"/>
        <w:rPr>
          <w:color w:val="00000A"/>
        </w:rPr>
      </w:pPr>
      <w:r>
        <w:rPr>
          <w:color w:val="00000A"/>
        </w:rPr>
        <w:t>Outras ações de acompanhamento sistemático e individualizado do estudante poderão ser implementadas pela Pró-Reitoria de Graduação, em parceria com os Colegiados de cursos e a Pró-Reitoria de Assuntos Comunitários e Estudantis, visando apoiar o estudante na sua adaptação ao ambiente universitário e otimizar seu rendimento no desenvolvimento curricular.</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b/>
          <w:color w:val="00000A"/>
        </w:rPr>
        <w:t>2.4.2.4. Estratégias para combate à retenção e à evasão</w:t>
      </w:r>
    </w:p>
    <w:p>
      <w:pPr>
        <w:pStyle w:val="Normal1"/>
        <w:spacing w:lineRule="auto" w:line="360"/>
        <w:ind w:firstLine="709"/>
        <w:jc w:val="both"/>
        <w:rPr>
          <w:color w:val="00000A"/>
        </w:rPr>
      </w:pPr>
      <w:r>
        <w:rPr>
          <w:color w:val="00000A"/>
        </w:rPr>
        <w:t>As políticas implantadas na última década para ampliação do acesso ao ensino superior se direcionam no sentido da democratização, buscando assegurar a jovens e adultos o direito à educação superior pública. Entretanto, não basta conceder o acesso ao ensino superior, mas é necessário garantir também a permanência e o sucesso dos estudantes. Desse modo, a qualificação do ensino requer a implantação na Instituição, de políticas efetivas de combate à evasão nos cursos de graduação.</w:t>
      </w:r>
    </w:p>
    <w:p>
      <w:pPr>
        <w:pStyle w:val="Normal1"/>
        <w:spacing w:lineRule="auto" w:line="360"/>
        <w:ind w:firstLine="709"/>
        <w:jc w:val="both"/>
        <w:rPr>
          <w:color w:val="00000A"/>
        </w:rPr>
      </w:pPr>
      <w:r>
        <w:rPr>
          <w:color w:val="00000A"/>
        </w:rPr>
        <w:t xml:space="preserve">Nesse sentido, faz-se necessário implantar mecanismos para identificar as causas relacionadas a fatores quer de ordem pessoal, institucional e/ou externo, motivadoras da evasão dos cursos e da Instituição, bem como da retenção em unidades curriculares. </w:t>
      </w:r>
    </w:p>
    <w:p>
      <w:pPr>
        <w:pStyle w:val="Normal1"/>
        <w:spacing w:lineRule="auto" w:line="360"/>
        <w:ind w:firstLine="709"/>
        <w:jc w:val="both"/>
        <w:rPr>
          <w:color w:val="00000A"/>
        </w:rPr>
      </w:pPr>
      <w:r>
        <w:rPr>
          <w:color w:val="00000A"/>
        </w:rPr>
        <w:t xml:space="preserve">Para estabelecer políticas eficazes que contribuam para fortalecer o processo formativo e minimizar os índices de retenção e evasão, torna-se fundamental conhecer essas causas, definir claramente objetivos e metas a serem alcançados e operacionalizar programas estruturados em variadas frentes, a fim de reduzir os índices apresentados pela Instituição. Nessa perspectiva, torna-se fundamental a implantação e/ou consolidação de programas e ações que abranjam: a) o acolhimento e apoio acadêmico ao ingressante e ao estudante em curso; b) a formação pedagógica e apoio didático aos docentes; c) a revisão curricular dos cursos e inserção de tecnologias educacionais no ensino; e d) a promoção de melhorias na infraestrutura dos cursos. </w:t>
      </w:r>
    </w:p>
    <w:p>
      <w:pPr>
        <w:pStyle w:val="Normal1"/>
        <w:spacing w:lineRule="auto" w:line="360"/>
        <w:ind w:firstLine="709"/>
        <w:jc w:val="both"/>
        <w:rPr>
          <w:color w:val="00000A"/>
        </w:rPr>
      </w:pPr>
      <w:r>
        <w:rPr>
          <w:color w:val="00000A"/>
        </w:rPr>
        <w:t>Atualmente, a UFVJM conta com os seguintes programas: Programa de Monitoria, Programa de Apoio ao Ensino de Graduação (PROAE), Programa de Educação Tutorial pelo Trabalho (PET), Programa Institucional de Bolsa de Iniciação à Docência (PIBID) e Programa de Formação Pedagógica Continuada Docente (FORPED), voltados para a melhoria da formação dos estudantes, para a proposição de práticas e metodologias de ensino diferenciadas e para o combate à retenção e evasão. Além disso, propõe-se implantar outros programas nessa direção, tais como o Programa de Enfrentamento à Retenção e Evasão (PROGER) que abrigará os projetos de “Tutoria”, “Sem Dúvida”, o Ciclo de Reorientação para o Desempenho Acadêmico – CIRANDA</w:t>
      </w:r>
      <w:r>
        <w:rPr>
          <w:rFonts w:eastAsia="Times New Roman"/>
          <w:color w:val="00000A"/>
          <w:lang w:eastAsia="pt-BR"/>
        </w:rPr>
        <w:t>.</w:t>
      </w:r>
    </w:p>
    <w:p>
      <w:pPr>
        <w:pStyle w:val="Normal1"/>
        <w:spacing w:lineRule="auto" w:line="360"/>
        <w:ind w:firstLine="709"/>
        <w:jc w:val="both"/>
        <w:rPr>
          <w:color w:val="00000A"/>
        </w:rPr>
      </w:pPr>
      <w:r>
        <w:rPr>
          <w:color w:val="00000A"/>
        </w:rPr>
        <w:t>Em atenção à Lei de Diretrizes e Bases da Educação Nacional (LDB, Lei 9394/1996), que determina a integração entre a Educação Superior e a Educação Básica, a UFVJM tem engendrado esforços para a construção de projetos voltados para a formação inicial e continuada de professores para esse nível de ensino. As propostas são construídas pelo Comitê Gestor (COMFOR) com base nos Planos Estaduais e Municipais de Ações Articuladas (PARFOR). Outras ações estão vinculadas a convênios de integração institucional firmados entre a UFVJM e a Secretaria de Estado da Educação de Minas Gerais, as quais abrangem propostas para a melhoria da Educação Básica. Tais medidas se contextualizam na meta institucional de contribuir para o desenvolvimento das regiões de abrangência e constituem ação que deve refletir em uma melhor formação e aquisição de conhecimentos fundamentais do futuro ingressante da UFVJM.</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b/>
          <w:color w:val="00000A"/>
        </w:rPr>
        <w:t xml:space="preserve">2.4.2.4.1 Programas de Bolsas Coordenados pela Pró-Reitoria de Graduação </w:t>
      </w:r>
    </w:p>
    <w:p>
      <w:pPr>
        <w:pStyle w:val="Normal1"/>
        <w:spacing w:lineRule="auto" w:line="360"/>
        <w:ind w:firstLine="709"/>
        <w:jc w:val="both"/>
        <w:rPr>
          <w:color w:val="00000A"/>
        </w:rPr>
      </w:pPr>
      <w:r>
        <w:rPr>
          <w:color w:val="00000A"/>
        </w:rPr>
        <w:t>A Pró-Reitoria de Graduação da UFVJM desenvolve um conjunto de atividades administrativas e pedagógicas destinadas aos cursos de graduação. É responsável pela política de ensino de graduação e pelo gerenciamento do sistema acadêmico. No cumprimento de seu papel institucional, são gerenciados programas de bolsas de ensino para os discentes de graduação, os quais objetivam o desenvolvimento das competências e habilidades para o futuro exercício da prática profissional pautado nas realidades sociais, além de estimular o pensamento crítico, a postura reflexiva e transformadora.</w:t>
      </w:r>
    </w:p>
    <w:p>
      <w:pPr>
        <w:pStyle w:val="Normal1"/>
        <w:spacing w:lineRule="auto" w:line="360"/>
        <w:ind w:firstLine="709"/>
        <w:jc w:val="both"/>
        <w:rPr>
          <w:color w:val="00000A"/>
        </w:rPr>
      </w:pPr>
      <w:r>
        <w:rPr>
          <w:color w:val="00000A"/>
        </w:rPr>
        <w:t>Entre os programas de bolsas mantidos ou gerenciados pela Pró-Reitoria de Graduação, mostrados na Tabela 8, encontram-se o Programa de Bolsas de Iniciação à Docência (PIBID), Programa de Educação Tutorial (PET), Programa de Apoio ao Ensino (PROAE), Programa de Monitoria. É objetivo da Pró-Reitoria de Graduação estimular o desenvolvimento de projetos e ações voluntários que estejam em consonância com a política de ensino.</w:t>
      </w:r>
    </w:p>
    <w:p>
      <w:pPr>
        <w:pStyle w:val="Normal1"/>
        <w:spacing w:lineRule="auto" w:line="360"/>
        <w:ind w:firstLine="709"/>
        <w:jc w:val="both"/>
        <w:rPr>
          <w:color w:val="00000A"/>
        </w:rPr>
      </w:pPr>
      <w:r>
        <w:rPr>
          <w:color w:val="00000A"/>
        </w:rPr>
      </w:r>
    </w:p>
    <w:p>
      <w:pPr>
        <w:pStyle w:val="Normal1"/>
        <w:numPr>
          <w:ilvl w:val="0"/>
          <w:numId w:val="0"/>
        </w:numPr>
        <w:jc w:val="center"/>
        <w:outlineLvl w:val="0"/>
        <w:rPr>
          <w:color w:val="00000A"/>
        </w:rPr>
      </w:pPr>
      <w:r>
        <w:rPr>
          <w:b/>
          <w:color w:val="00000A"/>
        </w:rPr>
        <w:t>Tabela 8 – Grupos PET da UFVJM e o número de discentes bolsistas</w:t>
      </w:r>
    </w:p>
    <w:tbl>
      <w:tblPr>
        <w:tblW w:w="786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tblPr>
      <w:tblGrid>
        <w:gridCol w:w="4430"/>
        <w:gridCol w:w="1717"/>
        <w:gridCol w:w="1719"/>
      </w:tblGrid>
      <w:tr>
        <w:trPr/>
        <w:tc>
          <w:tcPr>
            <w:tcW w:w="4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color w:val="00000A"/>
              </w:rPr>
              <w:t>Grupo PET</w:t>
            </w:r>
          </w:p>
        </w:tc>
        <w:tc>
          <w:tcPr>
            <w:tcW w:w="17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color w:val="00000A"/>
              </w:rPr>
              <w:t xml:space="preserve">Número de bolsistas </w:t>
            </w:r>
          </w:p>
        </w:tc>
        <w:tc>
          <w:tcPr>
            <w:tcW w:w="17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spacing w:before="0" w:after="200"/>
              <w:jc w:val="both"/>
              <w:rPr>
                <w:color w:val="00000A"/>
              </w:rPr>
            </w:pPr>
            <w:r>
              <w:rPr>
                <w:b/>
                <w:color w:val="00000A"/>
              </w:rPr>
              <w:t xml:space="preserve">Número de não bolsistas </w:t>
            </w:r>
          </w:p>
        </w:tc>
      </w:tr>
      <w:tr>
        <w:trPr/>
        <w:tc>
          <w:tcPr>
            <w:tcW w:w="4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color w:val="00000A"/>
              </w:rPr>
              <w:t>Grupo Química para o Vale do Jequitinhonha</w:t>
            </w:r>
          </w:p>
          <w:p>
            <w:pPr>
              <w:pStyle w:val="Normal1"/>
              <w:jc w:val="both"/>
              <w:rPr>
                <w:color w:val="00000A"/>
              </w:rPr>
            </w:pPr>
            <w:r>
              <w:rPr>
                <w:b/>
                <w:color w:val="00000A"/>
              </w:rPr>
              <w:t>Grupo Odontologia no Vale</w:t>
            </w:r>
          </w:p>
          <w:p>
            <w:pPr>
              <w:pStyle w:val="Normal1"/>
              <w:jc w:val="both"/>
              <w:rPr>
                <w:color w:val="00000A"/>
              </w:rPr>
            </w:pPr>
            <w:r>
              <w:rPr>
                <w:b/>
                <w:color w:val="00000A"/>
              </w:rPr>
              <w:t>Grupo Conexão de Saberes</w:t>
            </w:r>
          </w:p>
          <w:p>
            <w:pPr>
              <w:pStyle w:val="Normal1"/>
              <w:jc w:val="both"/>
              <w:rPr>
                <w:color w:val="00000A"/>
              </w:rPr>
            </w:pPr>
            <w:r>
              <w:rPr>
                <w:b/>
                <w:color w:val="00000A"/>
              </w:rPr>
              <w:t xml:space="preserve">Grupo Biologia no Vale do Jequitinhonha </w:t>
            </w:r>
          </w:p>
          <w:p>
            <w:pPr>
              <w:pStyle w:val="Normal1"/>
              <w:jc w:val="both"/>
              <w:rPr>
                <w:color w:val="00000A"/>
              </w:rPr>
            </w:pPr>
            <w:r>
              <w:rPr>
                <w:b/>
                <w:color w:val="00000A"/>
              </w:rPr>
              <w:t>Grupo Estratégias para diminuir a retenção e a evasão</w:t>
            </w:r>
          </w:p>
          <w:p>
            <w:pPr>
              <w:pStyle w:val="Normal1"/>
              <w:jc w:val="both"/>
              <w:rPr>
                <w:color w:val="00000A"/>
              </w:rPr>
            </w:pPr>
            <w:r>
              <w:rPr>
                <w:b/>
                <w:color w:val="00000A"/>
              </w:rPr>
              <w:t>Grupo Novas Tecnologias Voltadas para o Ensino</w:t>
            </w:r>
          </w:p>
          <w:p>
            <w:pPr>
              <w:pStyle w:val="Normal1"/>
              <w:spacing w:before="0" w:after="200"/>
              <w:jc w:val="both"/>
              <w:rPr>
                <w:color w:val="00000A"/>
              </w:rPr>
            </w:pPr>
            <w:r>
              <w:rPr>
                <w:color w:val="00000A"/>
              </w:rPr>
            </w:r>
          </w:p>
        </w:tc>
        <w:tc>
          <w:tcPr>
            <w:tcW w:w="17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08</w:t>
            </w:r>
          </w:p>
          <w:p>
            <w:pPr>
              <w:pStyle w:val="Normal1"/>
              <w:jc w:val="both"/>
              <w:rPr>
                <w:color w:val="00000A"/>
              </w:rPr>
            </w:pPr>
            <w:r>
              <w:rPr>
                <w:color w:val="00000A"/>
              </w:rPr>
            </w:r>
          </w:p>
          <w:p>
            <w:pPr>
              <w:pStyle w:val="Normal1"/>
              <w:jc w:val="both"/>
              <w:rPr>
                <w:color w:val="00000A"/>
              </w:rPr>
            </w:pPr>
            <w:r>
              <w:rPr>
                <w:color w:val="00000A"/>
              </w:rPr>
              <w:t>11</w:t>
            </w:r>
          </w:p>
          <w:p>
            <w:pPr>
              <w:pStyle w:val="Normal1"/>
              <w:jc w:val="both"/>
              <w:rPr>
                <w:color w:val="00000A"/>
              </w:rPr>
            </w:pPr>
            <w:r>
              <w:rPr>
                <w:color w:val="00000A"/>
              </w:rPr>
              <w:t>07</w:t>
            </w:r>
          </w:p>
          <w:p>
            <w:pPr>
              <w:pStyle w:val="Normal1"/>
              <w:jc w:val="both"/>
              <w:rPr>
                <w:color w:val="00000A"/>
              </w:rPr>
            </w:pPr>
            <w:r>
              <w:rPr>
                <w:color w:val="00000A"/>
              </w:rPr>
              <w:t>07</w:t>
            </w:r>
          </w:p>
          <w:p>
            <w:pPr>
              <w:pStyle w:val="Normal1"/>
              <w:jc w:val="both"/>
              <w:rPr>
                <w:color w:val="00000A"/>
              </w:rPr>
            </w:pPr>
            <w:r>
              <w:rPr>
                <w:color w:val="00000A"/>
              </w:rPr>
              <w:t>12</w:t>
            </w:r>
          </w:p>
          <w:p>
            <w:pPr>
              <w:pStyle w:val="Normal1"/>
              <w:jc w:val="both"/>
              <w:rPr>
                <w:color w:val="00000A"/>
              </w:rPr>
            </w:pPr>
            <w:r>
              <w:rPr>
                <w:color w:val="00000A"/>
              </w:rPr>
            </w:r>
          </w:p>
          <w:p>
            <w:pPr>
              <w:pStyle w:val="Normal1"/>
              <w:spacing w:before="0" w:after="200"/>
              <w:jc w:val="both"/>
              <w:rPr>
                <w:color w:val="00000A"/>
              </w:rPr>
            </w:pPr>
            <w:r>
              <w:rPr>
                <w:color w:val="00000A"/>
              </w:rPr>
              <w:t>08</w:t>
            </w:r>
          </w:p>
        </w:tc>
        <w:tc>
          <w:tcPr>
            <w:tcW w:w="17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00</w:t>
            </w:r>
          </w:p>
          <w:p>
            <w:pPr>
              <w:pStyle w:val="Normal1"/>
              <w:jc w:val="both"/>
              <w:rPr>
                <w:color w:val="00000A"/>
              </w:rPr>
            </w:pPr>
            <w:r>
              <w:rPr>
                <w:color w:val="00000A"/>
              </w:rPr>
            </w:r>
          </w:p>
          <w:p>
            <w:pPr>
              <w:pStyle w:val="Normal1"/>
              <w:jc w:val="both"/>
              <w:rPr>
                <w:color w:val="00000A"/>
              </w:rPr>
            </w:pPr>
            <w:r>
              <w:rPr>
                <w:color w:val="00000A"/>
              </w:rPr>
              <w:t>00</w:t>
            </w:r>
          </w:p>
          <w:p>
            <w:pPr>
              <w:pStyle w:val="Normal1"/>
              <w:jc w:val="both"/>
              <w:rPr>
                <w:color w:val="00000A"/>
              </w:rPr>
            </w:pPr>
            <w:r>
              <w:rPr>
                <w:color w:val="00000A"/>
              </w:rPr>
              <w:t>01</w:t>
            </w:r>
          </w:p>
          <w:p>
            <w:pPr>
              <w:pStyle w:val="Normal1"/>
              <w:jc w:val="both"/>
              <w:rPr>
                <w:color w:val="00000A"/>
              </w:rPr>
            </w:pPr>
            <w:r>
              <w:rPr>
                <w:color w:val="00000A"/>
              </w:rPr>
              <w:t>00</w:t>
            </w:r>
          </w:p>
          <w:p>
            <w:pPr>
              <w:pStyle w:val="Normal1"/>
              <w:jc w:val="both"/>
              <w:rPr>
                <w:color w:val="00000A"/>
              </w:rPr>
            </w:pPr>
            <w:r>
              <w:rPr>
                <w:color w:val="00000A"/>
              </w:rPr>
              <w:t>03</w:t>
            </w:r>
          </w:p>
          <w:p>
            <w:pPr>
              <w:pStyle w:val="Normal1"/>
              <w:jc w:val="both"/>
              <w:rPr>
                <w:color w:val="00000A"/>
              </w:rPr>
            </w:pPr>
            <w:r>
              <w:rPr>
                <w:color w:val="00000A"/>
              </w:rPr>
            </w:r>
          </w:p>
          <w:p>
            <w:pPr>
              <w:pStyle w:val="Normal1"/>
              <w:spacing w:before="0" w:after="200"/>
              <w:jc w:val="both"/>
              <w:rPr>
                <w:color w:val="00000A"/>
              </w:rPr>
            </w:pPr>
            <w:r>
              <w:rPr>
                <w:color w:val="00000A"/>
              </w:rPr>
              <w:t>01</w:t>
            </w:r>
          </w:p>
        </w:tc>
      </w:tr>
      <w:tr>
        <w:trPr/>
        <w:tc>
          <w:tcPr>
            <w:tcW w:w="4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color w:val="00000A"/>
              </w:rPr>
              <w:t xml:space="preserve">Grupo </w:t>
            </w:r>
          </w:p>
        </w:tc>
        <w:tc>
          <w:tcPr>
            <w:tcW w:w="17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b/>
                <w:color w:val="00000A"/>
              </w:rPr>
              <w:t>53</w:t>
            </w:r>
          </w:p>
        </w:tc>
        <w:tc>
          <w:tcPr>
            <w:tcW w:w="17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both"/>
              <w:rPr>
                <w:color w:val="00000A"/>
              </w:rPr>
            </w:pPr>
            <w:r>
              <w:rPr>
                <w:color w:val="00000A"/>
              </w:rPr>
              <w:t>05</w:t>
            </w:r>
          </w:p>
        </w:tc>
      </w:tr>
    </w:tbl>
    <w:p>
      <w:pPr>
        <w:pStyle w:val="Normal1"/>
        <w:jc w:val="center"/>
        <w:rPr>
          <w:color w:val="00000A"/>
        </w:rPr>
      </w:pPr>
      <w:r>
        <w:rPr>
          <w:color w:val="00000A"/>
        </w:rPr>
        <w:t>Fonte: Pró-Reitoria de Graduação – PROGRAD/UFVJM</w:t>
      </w:r>
    </w:p>
    <w:p>
      <w:pPr>
        <w:pStyle w:val="Normal1"/>
        <w:numPr>
          <w:ilvl w:val="0"/>
          <w:numId w:val="0"/>
        </w:numPr>
        <w:spacing w:lineRule="auto" w:line="360"/>
        <w:jc w:val="both"/>
        <w:outlineLvl w:val="0"/>
        <w:rPr>
          <w:color w:val="00000A"/>
        </w:rPr>
      </w:pPr>
      <w:r>
        <w:rPr>
          <w:color w:val="00000A"/>
        </w:rPr>
      </w:r>
    </w:p>
    <w:p>
      <w:pPr>
        <w:pStyle w:val="Normal1"/>
        <w:numPr>
          <w:ilvl w:val="0"/>
          <w:numId w:val="0"/>
        </w:numPr>
        <w:spacing w:lineRule="auto" w:line="360"/>
        <w:jc w:val="both"/>
        <w:outlineLvl w:val="0"/>
        <w:rPr>
          <w:color w:val="00000A"/>
        </w:rPr>
      </w:pPr>
      <w:r>
        <w:rPr>
          <w:b/>
          <w:color w:val="00000A"/>
        </w:rPr>
        <w:t>Programa de Educação Tutorial – PET</w:t>
      </w:r>
    </w:p>
    <w:p>
      <w:pPr>
        <w:pStyle w:val="Normal1"/>
        <w:spacing w:lineRule="auto" w:line="360"/>
        <w:ind w:firstLine="709"/>
        <w:jc w:val="both"/>
        <w:rPr>
          <w:color w:val="00000A"/>
        </w:rPr>
      </w:pPr>
      <w:r>
        <w:rPr>
          <w:color w:val="00000A"/>
        </w:rPr>
        <w:t>O PET é composto por grupos tutoriais de aprendizagem e busca propiciar aos estudantes dos cursos de graduação, sob a orientação de um professor tutor, condições para a realização de atividades extracurriculares que complementem a formação acadêmica. É um programa de longo prazo que visa realizar, dentro da Universidade, a prática da indissociabilidade entre ensino, pesquisa e extensão. Os</w:t>
      </w:r>
    </w:p>
    <w:p>
      <w:pPr>
        <w:pStyle w:val="Normal1"/>
        <w:spacing w:lineRule="auto" w:line="360"/>
        <w:jc w:val="both"/>
        <w:rPr>
          <w:color w:val="00000A"/>
        </w:rPr>
      </w:pPr>
      <w:r>
        <w:rPr>
          <w:color w:val="00000A"/>
        </w:rPr>
        <w:t>estudantes podem participar do programa como bolsistas ou não-bolsistas. Atualmente a UFVJM conta com seis grupos PET, conforme mostrado na Tabela 8.</w:t>
      </w:r>
    </w:p>
    <w:p>
      <w:pPr>
        <w:pStyle w:val="Normal1"/>
        <w:spacing w:lineRule="auto" w:line="360"/>
        <w:jc w:val="both"/>
        <w:rPr>
          <w:color w:val="00000A"/>
        </w:rPr>
      </w:pPr>
      <w:r>
        <w:rPr>
          <w:color w:val="00000A"/>
        </w:rPr>
      </w:r>
    </w:p>
    <w:p>
      <w:pPr>
        <w:pStyle w:val="Normal1"/>
        <w:numPr>
          <w:ilvl w:val="0"/>
          <w:numId w:val="0"/>
        </w:numPr>
        <w:spacing w:lineRule="auto" w:line="360"/>
        <w:jc w:val="both"/>
        <w:outlineLvl w:val="0"/>
        <w:rPr>
          <w:color w:val="00000A"/>
        </w:rPr>
      </w:pPr>
      <w:r>
        <w:rPr>
          <w:b/>
          <w:color w:val="00000A"/>
        </w:rPr>
        <w:t>Programa de Monitoria</w:t>
      </w:r>
    </w:p>
    <w:p>
      <w:pPr>
        <w:pStyle w:val="Normal1"/>
        <w:spacing w:lineRule="auto" w:line="360"/>
        <w:ind w:firstLine="709"/>
        <w:jc w:val="both"/>
        <w:rPr>
          <w:color w:val="00000A"/>
        </w:rPr>
      </w:pPr>
      <w:r>
        <w:rPr>
          <w:color w:val="00000A"/>
        </w:rPr>
        <w:t xml:space="preserve">O Programa de Monitoria visa proporcionar aos discentes da UFVJM a participação efetiva e dinâmica em projeto acadêmico de ensino, no âmbito de determinada unidade curricular ou conjunto de unidades curriculares, sob a orientação direta de um professor supervisor. A Monitoria poderá ser exercida mediante recebimento de auxilio financeiro (bolsa) ou de forma voluntária. No ano de 2016 foram 313 discentes contemplados com bolsas de monitoria e 72 discentes que atuaram como monitores voluntários, selecionados em editais próprios, segundo as normas institucionais. O Programa de Monitoria passa por um processo de reformulação com o propósito de revitalizar suas ações e integrá-las mais eficazmente ao Programa de Enfrentamento à Retenção (PROGER), desenvolvido pela Pró-Reitoria de Graduação. </w:t>
      </w:r>
    </w:p>
    <w:p>
      <w:pPr>
        <w:pStyle w:val="Normal1"/>
        <w:spacing w:lineRule="auto" w:line="360"/>
        <w:ind w:firstLine="709"/>
        <w:jc w:val="both"/>
        <w:rPr>
          <w:color w:val="00000A"/>
        </w:rPr>
      </w:pPr>
      <w:r>
        <w:rPr>
          <w:color w:val="00000A"/>
        </w:rPr>
      </w:r>
    </w:p>
    <w:p>
      <w:pPr>
        <w:pStyle w:val="Normal1"/>
        <w:numPr>
          <w:ilvl w:val="0"/>
          <w:numId w:val="0"/>
        </w:numPr>
        <w:spacing w:lineRule="auto" w:line="360"/>
        <w:jc w:val="both"/>
        <w:outlineLvl w:val="0"/>
        <w:rPr>
          <w:color w:val="00000A"/>
        </w:rPr>
      </w:pPr>
      <w:r>
        <w:rPr>
          <w:b/>
          <w:color w:val="00000A"/>
        </w:rPr>
        <w:t xml:space="preserve">Programa Institucional de Bolsa de Iniciação à Docência – PIBID </w:t>
      </w:r>
    </w:p>
    <w:p>
      <w:pPr>
        <w:pStyle w:val="Normal1"/>
        <w:spacing w:lineRule="auto" w:line="360"/>
        <w:ind w:firstLine="709"/>
        <w:jc w:val="both"/>
        <w:rPr>
          <w:color w:val="00000A"/>
        </w:rPr>
      </w:pPr>
      <w:r>
        <w:rPr>
          <w:color w:val="00000A"/>
        </w:rPr>
        <w:t>O PIBID visa promover a articulação entre Educação Superior e as escolas de Educação Básica, com o objetivo de valorizar o espaço escola como campo de experiências metodológicas e práticas docentes inovadoras, fortalecendo as licenciaturas e melhorando a educação. O Programa oferece bolsas nas seguintes modalidades:</w:t>
      </w:r>
    </w:p>
    <w:p>
      <w:pPr>
        <w:pStyle w:val="ListParagraph"/>
        <w:numPr>
          <w:ilvl w:val="0"/>
          <w:numId w:val="3"/>
        </w:numPr>
        <w:spacing w:lineRule="auto" w:line="360"/>
        <w:ind w:left="1418" w:hanging="709"/>
        <w:jc w:val="both"/>
        <w:rPr>
          <w:rFonts w:ascii="Arial" w:hAnsi="Arial" w:cs="Arial"/>
        </w:rPr>
      </w:pPr>
      <w:r>
        <w:rPr>
          <w:rFonts w:cs="Arial"/>
        </w:rPr>
        <w:t>Bolsa para o Coordenador Institucional (docente da UFVJM);</w:t>
      </w:r>
    </w:p>
    <w:p>
      <w:pPr>
        <w:pStyle w:val="ListParagraph"/>
        <w:numPr>
          <w:ilvl w:val="0"/>
          <w:numId w:val="3"/>
        </w:numPr>
        <w:spacing w:lineRule="auto" w:line="360"/>
        <w:ind w:left="1418" w:hanging="709"/>
        <w:jc w:val="both"/>
        <w:rPr>
          <w:rFonts w:ascii="Arial" w:hAnsi="Arial" w:cs="Arial"/>
        </w:rPr>
      </w:pPr>
      <w:r>
        <w:rPr>
          <w:rFonts w:cs="Arial"/>
        </w:rPr>
        <w:t>Bolsa para cada Coordenador de Área no PIBID no Curso (docente da UFVJM, hoje com representação nos seguintes cursos: Ciências Biológicas, Educação Física, Física EaD, Geografia, História, Humanidades, Letras Espanhol, Letras Inglês, Letras Português, Matemática, Pedagogia e Química);</w:t>
      </w:r>
    </w:p>
    <w:p>
      <w:pPr>
        <w:pStyle w:val="ListParagraph"/>
        <w:numPr>
          <w:ilvl w:val="0"/>
          <w:numId w:val="3"/>
        </w:numPr>
        <w:spacing w:lineRule="auto" w:line="360"/>
        <w:ind w:left="1418" w:hanging="709"/>
        <w:jc w:val="both"/>
        <w:rPr>
          <w:rFonts w:ascii="Arial" w:hAnsi="Arial" w:cs="Arial"/>
        </w:rPr>
      </w:pPr>
      <w:r>
        <w:rPr>
          <w:rFonts w:cs="Arial"/>
        </w:rPr>
        <w:t>Bolsa para cada Professor Supervisor (professores do ensino médio);</w:t>
      </w:r>
    </w:p>
    <w:p>
      <w:pPr>
        <w:pStyle w:val="ListParagraph"/>
        <w:numPr>
          <w:ilvl w:val="0"/>
          <w:numId w:val="3"/>
        </w:numPr>
        <w:spacing w:lineRule="auto" w:line="360"/>
        <w:ind w:left="1418" w:hanging="709"/>
        <w:jc w:val="both"/>
        <w:rPr>
          <w:rFonts w:ascii="Arial" w:hAnsi="Arial" w:cs="Arial"/>
        </w:rPr>
      </w:pPr>
      <w:r>
        <w:rPr>
          <w:rFonts w:cs="Arial"/>
        </w:rPr>
        <w:t>Bolsa para discentes (estudantes da UFVJM presencial e a distância).</w:t>
      </w:r>
    </w:p>
    <w:p>
      <w:pPr>
        <w:pStyle w:val="ListParagraph"/>
        <w:spacing w:lineRule="auto" w:line="360"/>
        <w:ind w:left="0" w:firstLine="709"/>
        <w:jc w:val="both"/>
        <w:rPr>
          <w:rFonts w:ascii="Arial" w:hAnsi="Arial" w:cs="Arial"/>
        </w:rPr>
      </w:pPr>
      <w:r>
        <w:rPr>
          <w:rFonts w:cs="Arial"/>
        </w:rPr>
        <w:t>A Tabela 9 apresenta os números relativos a docentes (da UFVJM e da rede pública de ensino) e discentes bolsistas envolvidos com o PIBID na UFVJM em janeiro 2017.</w:t>
      </w:r>
    </w:p>
    <w:p>
      <w:pPr>
        <w:pStyle w:val="ListParagraph"/>
        <w:spacing w:lineRule="auto" w:line="360"/>
        <w:ind w:left="0" w:firstLine="709"/>
        <w:jc w:val="both"/>
        <w:rPr>
          <w:rFonts w:ascii="Arial" w:hAnsi="Arial" w:cs="Arial"/>
        </w:rPr>
      </w:pPr>
      <w:r>
        <w:rPr>
          <w:rFonts w:cs="Arial"/>
        </w:rPr>
      </w:r>
    </w:p>
    <w:p>
      <w:pPr>
        <w:pStyle w:val="Normal1"/>
        <w:numPr>
          <w:ilvl w:val="0"/>
          <w:numId w:val="0"/>
        </w:numPr>
        <w:spacing w:lineRule="auto" w:line="360"/>
        <w:jc w:val="center"/>
        <w:outlineLvl w:val="0"/>
        <w:rPr>
          <w:color w:val="00000A"/>
        </w:rPr>
      </w:pPr>
      <w:r>
        <w:rPr>
          <w:b/>
          <w:color w:val="00000A"/>
        </w:rPr>
        <w:t>Tabela 9 – Cursos, número de docentes e discentes atuantes no PIBID – ano 2017</w:t>
      </w:r>
    </w:p>
    <w:tbl>
      <w:tblPr>
        <w:tblW w:w="8717" w:type="dxa"/>
        <w:jc w:val="left"/>
        <w:tblInd w:w="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tblPr>
      <w:tblGrid>
        <w:gridCol w:w="3825"/>
        <w:gridCol w:w="1589"/>
        <w:gridCol w:w="1692"/>
        <w:gridCol w:w="1610"/>
      </w:tblGrid>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widowControl/>
              <w:suppressAutoHyphens w:val="true"/>
              <w:bidi w:val="0"/>
              <w:spacing w:lineRule="atLeast" w:line="100" w:before="0" w:after="200"/>
              <w:jc w:val="left"/>
              <w:rPr>
                <w:color w:val="00000A"/>
              </w:rPr>
            </w:pPr>
            <w:bookmarkStart w:id="1" w:name="__UnoMark__1972_211384282"/>
            <w:bookmarkEnd w:id="1"/>
            <w:r>
              <w:rPr>
                <w:b/>
                <w:bCs/>
                <w:color w:val="00000A"/>
              </w:rPr>
              <w:t>Licenciatura (nome)</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widowControl/>
              <w:suppressAutoHyphens w:val="true"/>
              <w:bidi w:val="0"/>
              <w:spacing w:lineRule="atLeast" w:line="100" w:before="0" w:after="200"/>
              <w:jc w:val="left"/>
              <w:rPr>
                <w:color w:val="00000A"/>
              </w:rPr>
            </w:pPr>
            <w:bookmarkStart w:id="2" w:name="__UnoMark__1973_211384282"/>
            <w:bookmarkStart w:id="3" w:name="__UnoMark__1974_211384282"/>
            <w:bookmarkEnd w:id="2"/>
            <w:bookmarkEnd w:id="3"/>
            <w:r>
              <w:rPr>
                <w:b/>
                <w:bCs/>
                <w:color w:val="00000A"/>
              </w:rPr>
              <w:t>Professores da UFVJM</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widowControl/>
              <w:suppressAutoHyphens w:val="true"/>
              <w:bidi w:val="0"/>
              <w:spacing w:lineRule="atLeast" w:line="100" w:before="0" w:after="200"/>
              <w:jc w:val="left"/>
              <w:rPr>
                <w:color w:val="00000A"/>
              </w:rPr>
            </w:pPr>
            <w:bookmarkStart w:id="4" w:name="__UnoMark__1975_211384282"/>
            <w:bookmarkStart w:id="5" w:name="__UnoMark__1976_211384282"/>
            <w:bookmarkEnd w:id="4"/>
            <w:bookmarkEnd w:id="5"/>
            <w:r>
              <w:rPr>
                <w:b/>
                <w:bCs/>
                <w:color w:val="00000A"/>
              </w:rPr>
              <w:t>Professores da rede pública</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Normal1"/>
              <w:widowControl/>
              <w:suppressAutoHyphens w:val="true"/>
              <w:bidi w:val="0"/>
              <w:spacing w:lineRule="atLeast" w:line="100" w:before="0" w:after="200"/>
              <w:jc w:val="left"/>
              <w:rPr>
                <w:color w:val="00000A"/>
              </w:rPr>
            </w:pPr>
            <w:bookmarkStart w:id="6" w:name="__UnoMark__1977_211384282"/>
            <w:bookmarkStart w:id="7" w:name="__UnoMark__1978_211384282"/>
            <w:bookmarkEnd w:id="6"/>
            <w:bookmarkEnd w:id="7"/>
            <w:r>
              <w:rPr>
                <w:b/>
                <w:bCs/>
                <w:color w:val="00000A"/>
              </w:rPr>
              <w:t>Discentes da UFVJM</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8" w:name="__UnoMark__1979_211384282"/>
            <w:bookmarkStart w:id="9" w:name="__UnoMark__1980_211384282"/>
            <w:bookmarkEnd w:id="8"/>
            <w:bookmarkEnd w:id="9"/>
            <w:r>
              <w:rPr>
                <w:b/>
                <w:bCs/>
                <w:color w:val="00000A"/>
              </w:rPr>
              <w:t>Ciências Biológicas</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0" w:name="__UnoMark__1981_211384282"/>
            <w:bookmarkStart w:id="11" w:name="__UnoMark__1982_211384282"/>
            <w:bookmarkEnd w:id="10"/>
            <w:bookmarkEnd w:id="11"/>
            <w:r>
              <w:rPr>
                <w:color w:val="00000A"/>
              </w:rPr>
              <w:t>2</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2" w:name="__UnoMark__1983_211384282"/>
            <w:bookmarkStart w:id="13" w:name="__UnoMark__1984_211384282"/>
            <w:bookmarkEnd w:id="12"/>
            <w:bookmarkEnd w:id="13"/>
            <w:r>
              <w:rPr>
                <w:color w:val="00000A"/>
              </w:rPr>
              <w:t>4</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4" w:name="__UnoMark__1985_211384282"/>
            <w:bookmarkStart w:id="15" w:name="__UnoMark__1986_211384282"/>
            <w:bookmarkEnd w:id="14"/>
            <w:bookmarkEnd w:id="15"/>
            <w:r>
              <w:rPr>
                <w:b/>
                <w:bCs/>
                <w:color w:val="00000A"/>
              </w:rPr>
              <w:t>22</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6" w:name="__UnoMark__1987_211384282"/>
            <w:bookmarkStart w:id="17" w:name="__UnoMark__1988_211384282"/>
            <w:bookmarkEnd w:id="16"/>
            <w:bookmarkEnd w:id="17"/>
            <w:r>
              <w:rPr>
                <w:b/>
                <w:bCs/>
                <w:color w:val="00000A"/>
              </w:rPr>
              <w:t>Educação Física</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8" w:name="__UnoMark__1989_211384282"/>
            <w:bookmarkStart w:id="19" w:name="__UnoMark__1990_211384282"/>
            <w:bookmarkEnd w:id="18"/>
            <w:bookmarkEnd w:id="19"/>
            <w:r>
              <w:rPr>
                <w:color w:val="00000A"/>
              </w:rPr>
              <w:t>2</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20" w:name="__UnoMark__1991_211384282"/>
            <w:bookmarkStart w:id="21" w:name="__UnoMark__1992_211384282"/>
            <w:bookmarkEnd w:id="20"/>
            <w:bookmarkEnd w:id="21"/>
            <w:r>
              <w:rPr>
                <w:color w:val="00000A"/>
              </w:rPr>
              <w:t>3</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22" w:name="__UnoMark__1993_211384282"/>
            <w:bookmarkStart w:id="23" w:name="__UnoMark__1994_211384282"/>
            <w:bookmarkEnd w:id="22"/>
            <w:bookmarkEnd w:id="23"/>
            <w:r>
              <w:rPr>
                <w:b/>
                <w:bCs/>
                <w:color w:val="00000A"/>
              </w:rPr>
              <w:t>22</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24" w:name="__UnoMark__1995_211384282"/>
            <w:bookmarkStart w:id="25" w:name="__UnoMark__1996_211384282"/>
            <w:bookmarkEnd w:id="24"/>
            <w:bookmarkEnd w:id="25"/>
            <w:r>
              <w:rPr>
                <w:b/>
                <w:bCs/>
                <w:color w:val="00000A"/>
              </w:rPr>
              <w:t>Física EaD</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26" w:name="__UnoMark__1997_211384282"/>
            <w:bookmarkStart w:id="27" w:name="__UnoMark__1998_211384282"/>
            <w:bookmarkEnd w:id="26"/>
            <w:bookmarkEnd w:id="27"/>
            <w:r>
              <w:rPr>
                <w:color w:val="00000A"/>
              </w:rPr>
              <w:t>1</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28" w:name="__UnoMark__1999_211384282"/>
            <w:bookmarkStart w:id="29" w:name="__UnoMark__2000_211384282"/>
            <w:bookmarkEnd w:id="28"/>
            <w:bookmarkEnd w:id="29"/>
            <w:r>
              <w:rPr>
                <w:color w:val="00000A"/>
              </w:rPr>
              <w:t>1</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30" w:name="__UnoMark__2001_211384282"/>
            <w:bookmarkStart w:id="31" w:name="__UnoMark__2002_211384282"/>
            <w:bookmarkEnd w:id="30"/>
            <w:bookmarkEnd w:id="31"/>
            <w:r>
              <w:rPr>
                <w:b/>
                <w:bCs/>
                <w:color w:val="00000A"/>
              </w:rPr>
              <w:t>10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32" w:name="__UnoMark__2003_211384282"/>
            <w:bookmarkStart w:id="33" w:name="__UnoMark__2004_211384282"/>
            <w:bookmarkEnd w:id="32"/>
            <w:bookmarkEnd w:id="33"/>
            <w:r>
              <w:rPr>
                <w:b/>
                <w:bCs/>
                <w:color w:val="00000A"/>
              </w:rPr>
              <w:t>Geografia</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34" w:name="__UnoMark__2005_211384282"/>
            <w:bookmarkStart w:id="35" w:name="__UnoMark__2006_211384282"/>
            <w:bookmarkEnd w:id="34"/>
            <w:bookmarkEnd w:id="35"/>
            <w:r>
              <w:rPr>
                <w:color w:val="00000A"/>
              </w:rPr>
              <w:t>2</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36" w:name="__UnoMark__2007_211384282"/>
            <w:bookmarkStart w:id="37" w:name="__UnoMark__2008_211384282"/>
            <w:bookmarkEnd w:id="36"/>
            <w:bookmarkEnd w:id="37"/>
            <w:r>
              <w:rPr>
                <w:color w:val="00000A"/>
              </w:rPr>
              <w:t>6</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38" w:name="__UnoMark__2009_211384282"/>
            <w:bookmarkStart w:id="39" w:name="__UnoMark__2010_211384282"/>
            <w:bookmarkEnd w:id="38"/>
            <w:bookmarkEnd w:id="39"/>
            <w:r>
              <w:rPr>
                <w:b/>
                <w:bCs/>
                <w:color w:val="00000A"/>
              </w:rPr>
              <w:t>34</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40" w:name="__UnoMark__2011_211384282"/>
            <w:bookmarkStart w:id="41" w:name="__UnoMark__2012_211384282"/>
            <w:bookmarkEnd w:id="40"/>
            <w:bookmarkEnd w:id="41"/>
            <w:r>
              <w:rPr>
                <w:b/>
                <w:bCs/>
                <w:color w:val="00000A"/>
              </w:rPr>
              <w:t>História</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42" w:name="__UnoMark__2013_211384282"/>
            <w:bookmarkStart w:id="43" w:name="__UnoMark__2014_211384282"/>
            <w:bookmarkEnd w:id="42"/>
            <w:bookmarkEnd w:id="43"/>
            <w:r>
              <w:rPr>
                <w:color w:val="00000A"/>
              </w:rPr>
              <w:t>3</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44" w:name="__UnoMark__2015_211384282"/>
            <w:bookmarkStart w:id="45" w:name="__UnoMark__2016_211384282"/>
            <w:bookmarkEnd w:id="44"/>
            <w:bookmarkEnd w:id="45"/>
            <w:r>
              <w:rPr>
                <w:color w:val="00000A"/>
              </w:rPr>
              <w:t>8</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46" w:name="__UnoMark__2017_211384282"/>
            <w:bookmarkStart w:id="47" w:name="__UnoMark__2018_211384282"/>
            <w:bookmarkEnd w:id="46"/>
            <w:bookmarkEnd w:id="47"/>
            <w:r>
              <w:rPr>
                <w:b/>
                <w:bCs/>
                <w:color w:val="00000A"/>
              </w:rPr>
              <w:t>43</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48" w:name="__UnoMark__2019_211384282"/>
            <w:bookmarkStart w:id="49" w:name="__UnoMark__2020_211384282"/>
            <w:bookmarkEnd w:id="48"/>
            <w:bookmarkEnd w:id="49"/>
            <w:r>
              <w:rPr>
                <w:b/>
                <w:bCs/>
                <w:color w:val="00000A"/>
              </w:rPr>
              <w:t>Interdisciplinar Mucuri</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50" w:name="__UnoMark__2021_211384282"/>
            <w:bookmarkStart w:id="51" w:name="__UnoMark__2022_211384282"/>
            <w:bookmarkEnd w:id="50"/>
            <w:bookmarkEnd w:id="51"/>
            <w:r>
              <w:rPr>
                <w:color w:val="00000A"/>
              </w:rPr>
              <w:t>1</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52" w:name="__UnoMark__2023_211384282"/>
            <w:bookmarkStart w:id="53" w:name="__UnoMark__2024_211384282"/>
            <w:bookmarkEnd w:id="52"/>
            <w:bookmarkEnd w:id="53"/>
            <w:r>
              <w:rPr>
                <w:color w:val="00000A"/>
              </w:rPr>
              <w:t>2</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54" w:name="__UnoMark__2025_211384282"/>
            <w:bookmarkStart w:id="55" w:name="__UnoMark__2026_211384282"/>
            <w:bookmarkEnd w:id="54"/>
            <w:bookmarkEnd w:id="55"/>
            <w:r>
              <w:rPr>
                <w:b/>
                <w:bCs/>
                <w:color w:val="00000A"/>
              </w:rPr>
              <w:t>10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56" w:name="__UnoMark__2027_211384282"/>
            <w:bookmarkStart w:id="57" w:name="__UnoMark__2028_211384282"/>
            <w:bookmarkEnd w:id="56"/>
            <w:bookmarkEnd w:id="57"/>
            <w:r>
              <w:rPr>
                <w:b/>
                <w:bCs/>
                <w:color w:val="00000A"/>
              </w:rPr>
              <w:t>Interdisciplinar JK (Educação Física, Pedagogia, Humanidades)</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58" w:name="__UnoMark__2029_211384282"/>
            <w:bookmarkStart w:id="59" w:name="__UnoMark__2030_211384282"/>
            <w:bookmarkEnd w:id="58"/>
            <w:bookmarkEnd w:id="59"/>
            <w:r>
              <w:rPr>
                <w:color w:val="00000A"/>
              </w:rPr>
              <w:t>3</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60" w:name="__UnoMark__2031_211384282"/>
            <w:bookmarkStart w:id="61" w:name="__UnoMark__2032_211384282"/>
            <w:bookmarkEnd w:id="60"/>
            <w:bookmarkEnd w:id="61"/>
            <w:r>
              <w:rPr>
                <w:color w:val="00000A"/>
              </w:rPr>
              <w:t>8</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62" w:name="__UnoMark__2033_211384282"/>
            <w:bookmarkStart w:id="63" w:name="__UnoMark__2034_211384282"/>
            <w:bookmarkEnd w:id="62"/>
            <w:bookmarkEnd w:id="63"/>
            <w:r>
              <w:rPr>
                <w:b/>
                <w:bCs/>
                <w:color w:val="00000A"/>
              </w:rPr>
              <w:t>42</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64" w:name="__UnoMark__2035_211384282"/>
            <w:bookmarkStart w:id="65" w:name="__UnoMark__2036_211384282"/>
            <w:bookmarkEnd w:id="64"/>
            <w:bookmarkEnd w:id="65"/>
            <w:r>
              <w:rPr>
                <w:b/>
                <w:bCs/>
                <w:color w:val="00000A"/>
              </w:rPr>
              <w:t>Letras Espanhol</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66" w:name="__UnoMark__2037_211384282"/>
            <w:bookmarkStart w:id="67" w:name="__UnoMark__2038_211384282"/>
            <w:bookmarkEnd w:id="66"/>
            <w:bookmarkEnd w:id="67"/>
            <w:r>
              <w:rPr>
                <w:color w:val="00000A"/>
              </w:rPr>
              <w:t>1</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68" w:name="__UnoMark__2039_211384282"/>
            <w:bookmarkStart w:id="69" w:name="__UnoMark__2040_211384282"/>
            <w:bookmarkEnd w:id="68"/>
            <w:bookmarkEnd w:id="69"/>
            <w:r>
              <w:rPr>
                <w:color w:val="00000A"/>
              </w:rPr>
              <w:t>1</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70" w:name="__UnoMark__2041_211384282"/>
            <w:bookmarkStart w:id="71" w:name="__UnoMark__2042_211384282"/>
            <w:bookmarkEnd w:id="70"/>
            <w:bookmarkEnd w:id="71"/>
            <w:r>
              <w:rPr>
                <w:b/>
                <w:bCs/>
                <w:color w:val="00000A"/>
              </w:rPr>
              <w:t>10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72" w:name="__UnoMark__2043_211384282"/>
            <w:bookmarkStart w:id="73" w:name="__UnoMark__2044_211384282"/>
            <w:bookmarkEnd w:id="72"/>
            <w:bookmarkEnd w:id="73"/>
            <w:r>
              <w:rPr>
                <w:b/>
                <w:bCs/>
                <w:color w:val="00000A"/>
              </w:rPr>
              <w:t>Letras Inglês</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74" w:name="__UnoMark__2045_211384282"/>
            <w:bookmarkStart w:id="75" w:name="__UnoMark__2046_211384282"/>
            <w:bookmarkEnd w:id="74"/>
            <w:bookmarkEnd w:id="75"/>
            <w:r>
              <w:rPr>
                <w:color w:val="00000A"/>
              </w:rPr>
              <w:t>1</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76" w:name="__UnoMark__2047_211384282"/>
            <w:bookmarkStart w:id="77" w:name="__UnoMark__2048_211384282"/>
            <w:bookmarkEnd w:id="76"/>
            <w:bookmarkEnd w:id="77"/>
            <w:r>
              <w:rPr>
                <w:color w:val="00000A"/>
              </w:rPr>
              <w:t>2</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78" w:name="__UnoMark__2049_211384282"/>
            <w:bookmarkStart w:id="79" w:name="__UnoMark__2050_211384282"/>
            <w:bookmarkEnd w:id="78"/>
            <w:bookmarkEnd w:id="79"/>
            <w:r>
              <w:rPr>
                <w:b/>
                <w:bCs/>
                <w:color w:val="00000A"/>
              </w:rPr>
              <w:t>10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80" w:name="__UnoMark__2051_211384282"/>
            <w:bookmarkStart w:id="81" w:name="__UnoMark__2052_211384282"/>
            <w:bookmarkEnd w:id="80"/>
            <w:bookmarkEnd w:id="81"/>
            <w:r>
              <w:rPr>
                <w:b/>
                <w:bCs/>
                <w:color w:val="00000A"/>
              </w:rPr>
              <w:t>Letras Português</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82" w:name="__UnoMark__2053_211384282"/>
            <w:bookmarkStart w:id="83" w:name="__UnoMark__2054_211384282"/>
            <w:bookmarkEnd w:id="82"/>
            <w:bookmarkEnd w:id="83"/>
            <w:r>
              <w:rPr>
                <w:color w:val="00000A"/>
              </w:rPr>
              <w:t>2</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84" w:name="__UnoMark__2055_211384282"/>
            <w:bookmarkStart w:id="85" w:name="__UnoMark__2056_211384282"/>
            <w:bookmarkEnd w:id="84"/>
            <w:bookmarkEnd w:id="85"/>
            <w:r>
              <w:rPr>
                <w:color w:val="00000A"/>
              </w:rPr>
              <w:t>4</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86" w:name="__UnoMark__2057_211384282"/>
            <w:bookmarkStart w:id="87" w:name="__UnoMark__2058_211384282"/>
            <w:bookmarkEnd w:id="86"/>
            <w:bookmarkEnd w:id="87"/>
            <w:r>
              <w:rPr>
                <w:b/>
                <w:bCs/>
                <w:color w:val="00000A"/>
              </w:rPr>
              <w:t>21</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88" w:name="__UnoMark__2059_211384282"/>
            <w:bookmarkStart w:id="89" w:name="__UnoMark__2060_211384282"/>
            <w:bookmarkEnd w:id="88"/>
            <w:bookmarkEnd w:id="89"/>
            <w:r>
              <w:rPr>
                <w:b/>
                <w:bCs/>
                <w:color w:val="00000A"/>
              </w:rPr>
              <w:t>Matemática – Campus Mucuri</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90" w:name="__UnoMark__2061_211384282"/>
            <w:bookmarkStart w:id="91" w:name="__UnoMark__2062_211384282"/>
            <w:bookmarkEnd w:id="90"/>
            <w:bookmarkEnd w:id="91"/>
            <w:r>
              <w:rPr>
                <w:color w:val="00000A"/>
              </w:rPr>
              <w:t>1</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92" w:name="__UnoMark__2063_211384282"/>
            <w:bookmarkStart w:id="93" w:name="__UnoMark__2064_211384282"/>
            <w:bookmarkEnd w:id="92"/>
            <w:bookmarkEnd w:id="93"/>
            <w:r>
              <w:rPr>
                <w:color w:val="00000A"/>
              </w:rPr>
              <w:t>2</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94" w:name="__UnoMark__2065_211384282"/>
            <w:bookmarkStart w:id="95" w:name="__UnoMark__2066_211384282"/>
            <w:bookmarkEnd w:id="94"/>
            <w:bookmarkEnd w:id="95"/>
            <w:r>
              <w:rPr>
                <w:b/>
                <w:bCs/>
                <w:color w:val="00000A"/>
              </w:rPr>
              <w:t>12</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96" w:name="__UnoMark__2067_211384282"/>
            <w:bookmarkStart w:id="97" w:name="__UnoMark__2068_211384282"/>
            <w:bookmarkEnd w:id="96"/>
            <w:bookmarkEnd w:id="97"/>
            <w:r>
              <w:rPr>
                <w:b/>
                <w:bCs/>
                <w:color w:val="00000A"/>
              </w:rPr>
              <w:t>Matemática EaD</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98" w:name="__UnoMark__2069_211384282"/>
            <w:bookmarkStart w:id="99" w:name="__UnoMark__2070_211384282"/>
            <w:bookmarkEnd w:id="98"/>
            <w:bookmarkEnd w:id="99"/>
            <w:r>
              <w:rPr>
                <w:color w:val="00000A"/>
              </w:rPr>
              <w:t>2</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00" w:name="__UnoMark__2071_211384282"/>
            <w:bookmarkStart w:id="101" w:name="__UnoMark__2072_211384282"/>
            <w:bookmarkEnd w:id="100"/>
            <w:bookmarkEnd w:id="101"/>
            <w:r>
              <w:rPr>
                <w:color w:val="00000A"/>
              </w:rPr>
              <w:t>6</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02" w:name="__UnoMark__2073_211384282"/>
            <w:bookmarkStart w:id="103" w:name="__UnoMark__2074_211384282"/>
            <w:bookmarkEnd w:id="102"/>
            <w:bookmarkEnd w:id="103"/>
            <w:r>
              <w:rPr>
                <w:b/>
                <w:bCs/>
                <w:color w:val="00000A"/>
              </w:rPr>
              <w:t>30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04" w:name="__UnoMark__2075_211384282"/>
            <w:bookmarkStart w:id="105" w:name="__UnoMark__2076_211384282"/>
            <w:bookmarkEnd w:id="104"/>
            <w:bookmarkEnd w:id="105"/>
            <w:r>
              <w:rPr>
                <w:b/>
                <w:bCs/>
                <w:color w:val="00000A"/>
              </w:rPr>
              <w:t>Pedagogia</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06" w:name="__UnoMark__2077_211384282"/>
            <w:bookmarkStart w:id="107" w:name="__UnoMark__2078_211384282"/>
            <w:bookmarkEnd w:id="106"/>
            <w:bookmarkEnd w:id="107"/>
            <w:r>
              <w:rPr>
                <w:color w:val="00000A"/>
              </w:rPr>
              <w:t>2</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08" w:name="__UnoMark__2079_211384282"/>
            <w:bookmarkStart w:id="109" w:name="__UnoMark__2080_211384282"/>
            <w:bookmarkEnd w:id="108"/>
            <w:bookmarkEnd w:id="109"/>
            <w:r>
              <w:rPr>
                <w:color w:val="00000A"/>
              </w:rPr>
              <w:t>6</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10" w:name="__UnoMark__2081_211384282"/>
            <w:bookmarkStart w:id="111" w:name="__UnoMark__2082_211384282"/>
            <w:bookmarkEnd w:id="110"/>
            <w:bookmarkEnd w:id="111"/>
            <w:r>
              <w:rPr>
                <w:b/>
                <w:bCs/>
                <w:color w:val="00000A"/>
              </w:rPr>
              <w:t>30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12" w:name="__UnoMark__2083_211384282"/>
            <w:bookmarkStart w:id="113" w:name="__UnoMark__2084_211384282"/>
            <w:bookmarkEnd w:id="112"/>
            <w:bookmarkEnd w:id="113"/>
            <w:r>
              <w:rPr>
                <w:b/>
                <w:bCs/>
                <w:color w:val="00000A"/>
              </w:rPr>
              <w:t>Química</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14" w:name="__UnoMark__2085_211384282"/>
            <w:bookmarkStart w:id="115" w:name="__UnoMark__2086_211384282"/>
            <w:bookmarkEnd w:id="114"/>
            <w:bookmarkEnd w:id="115"/>
            <w:r>
              <w:rPr>
                <w:color w:val="00000A"/>
              </w:rPr>
              <w:t>3</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16" w:name="__UnoMark__2087_211384282"/>
            <w:bookmarkStart w:id="117" w:name="__UnoMark__2088_211384282"/>
            <w:bookmarkEnd w:id="116"/>
            <w:bookmarkEnd w:id="117"/>
            <w:r>
              <w:rPr>
                <w:color w:val="00000A"/>
              </w:rPr>
              <w:t>10</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18" w:name="__UnoMark__2089_211384282"/>
            <w:bookmarkStart w:id="119" w:name="__UnoMark__2090_211384282"/>
            <w:bookmarkEnd w:id="118"/>
            <w:bookmarkEnd w:id="119"/>
            <w:r>
              <w:rPr>
                <w:b/>
                <w:bCs/>
                <w:color w:val="00000A"/>
              </w:rPr>
              <w:t>50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20" w:name="__UnoMark__2091_211384282"/>
            <w:bookmarkStart w:id="121" w:name="__UnoMark__2092_211384282"/>
            <w:bookmarkEnd w:id="120"/>
            <w:bookmarkEnd w:id="121"/>
            <w:r>
              <w:rPr>
                <w:b/>
                <w:bCs/>
                <w:color w:val="00000A"/>
              </w:rPr>
              <w:t>Coordenação Institucional</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22" w:name="__UnoMark__2093_211384282"/>
            <w:bookmarkStart w:id="123" w:name="__UnoMark__2094_211384282"/>
            <w:bookmarkEnd w:id="122"/>
            <w:bookmarkEnd w:id="123"/>
            <w:r>
              <w:rPr>
                <w:color w:val="00000A"/>
              </w:rPr>
              <w:t>4</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24" w:name="__UnoMark__2095_211384282"/>
            <w:bookmarkStart w:id="125" w:name="__UnoMark__2096_211384282"/>
            <w:bookmarkEnd w:id="124"/>
            <w:bookmarkEnd w:id="125"/>
            <w:r>
              <w:rPr>
                <w:color w:val="00000A"/>
              </w:rPr>
              <w:t>0</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widowControl/>
              <w:suppressAutoHyphens w:val="true"/>
              <w:bidi w:val="0"/>
              <w:spacing w:lineRule="atLeast" w:line="100" w:before="0" w:after="200"/>
              <w:jc w:val="left"/>
              <w:rPr>
                <w:color w:val="00000A"/>
              </w:rPr>
            </w:pPr>
            <w:bookmarkStart w:id="126" w:name="__UnoMark__2097_211384282"/>
            <w:bookmarkStart w:id="127" w:name="__UnoMark__2098_211384282"/>
            <w:bookmarkEnd w:id="126"/>
            <w:bookmarkEnd w:id="127"/>
            <w:r>
              <w:rPr>
                <w:b/>
                <w:bCs/>
                <w:color w:val="00000A"/>
              </w:rPr>
              <w:t>0</w:t>
            </w:r>
          </w:p>
        </w:tc>
      </w:tr>
      <w:tr>
        <w:trPr/>
        <w:tc>
          <w:tcPr>
            <w:tcW w:w="3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widowControl/>
              <w:suppressAutoHyphens w:val="true"/>
              <w:bidi w:val="0"/>
              <w:spacing w:lineRule="atLeast" w:line="100" w:before="0" w:after="200"/>
              <w:jc w:val="left"/>
              <w:rPr>
                <w:color w:val="00000A"/>
              </w:rPr>
            </w:pPr>
            <w:bookmarkStart w:id="128" w:name="__UnoMark__2099_211384282"/>
            <w:bookmarkStart w:id="129" w:name="__UnoMark__2100_211384282"/>
            <w:bookmarkEnd w:id="128"/>
            <w:bookmarkEnd w:id="129"/>
            <w:r>
              <w:rPr>
                <w:b/>
                <w:bCs/>
                <w:color w:val="00000A"/>
              </w:rPr>
              <w:t>TOTAL DE BOLSISTAS</w:t>
            </w:r>
          </w:p>
        </w:tc>
        <w:tc>
          <w:tcPr>
            <w:tcW w:w="15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widowControl/>
              <w:suppressAutoHyphens w:val="true"/>
              <w:bidi w:val="0"/>
              <w:spacing w:lineRule="atLeast" w:line="100" w:before="0" w:after="200"/>
              <w:jc w:val="left"/>
              <w:rPr>
                <w:color w:val="00000A"/>
              </w:rPr>
            </w:pPr>
            <w:bookmarkStart w:id="130" w:name="__UnoMark__2101_211384282"/>
            <w:bookmarkStart w:id="131" w:name="__UnoMark__2102_211384282"/>
            <w:bookmarkEnd w:id="130"/>
            <w:bookmarkEnd w:id="131"/>
            <w:r>
              <w:rPr>
                <w:b/>
                <w:bCs/>
                <w:color w:val="00000A"/>
              </w:rPr>
              <w:t>30</w:t>
            </w:r>
          </w:p>
        </w:tc>
        <w:tc>
          <w:tcPr>
            <w:tcW w:w="16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widowControl/>
              <w:suppressAutoHyphens w:val="true"/>
              <w:bidi w:val="0"/>
              <w:spacing w:lineRule="atLeast" w:line="100" w:before="0" w:after="200"/>
              <w:jc w:val="left"/>
              <w:rPr>
                <w:color w:val="00000A"/>
              </w:rPr>
            </w:pPr>
            <w:bookmarkStart w:id="132" w:name="__UnoMark__2103_211384282"/>
            <w:bookmarkStart w:id="133" w:name="__UnoMark__2104_211384282"/>
            <w:bookmarkEnd w:id="132"/>
            <w:bookmarkEnd w:id="133"/>
            <w:r>
              <w:rPr>
                <w:b/>
                <w:bCs/>
                <w:color w:val="00000A"/>
              </w:rPr>
              <w:t>63</w:t>
            </w:r>
          </w:p>
        </w:tc>
        <w:tc>
          <w:tcPr>
            <w:tcW w:w="16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widowControl/>
              <w:suppressAutoHyphens w:val="true"/>
              <w:bidi w:val="0"/>
              <w:spacing w:lineRule="atLeast" w:line="100" w:before="0" w:after="200"/>
              <w:jc w:val="left"/>
              <w:rPr>
                <w:color w:val="00000A"/>
              </w:rPr>
            </w:pPr>
            <w:bookmarkStart w:id="134" w:name="__UnoMark__2105_211384282"/>
            <w:bookmarkEnd w:id="134"/>
            <w:r>
              <w:rPr>
                <w:b/>
                <w:bCs/>
                <w:color w:val="00000A"/>
              </w:rPr>
              <w:t>346</w:t>
            </w:r>
          </w:p>
        </w:tc>
      </w:tr>
    </w:tbl>
    <w:p>
      <w:pPr>
        <w:pStyle w:val="Normal1"/>
        <w:spacing w:lineRule="auto" w:line="360"/>
        <w:jc w:val="center"/>
        <w:rPr>
          <w:color w:val="00000A"/>
        </w:rPr>
      </w:pPr>
      <w:r>
        <w:rPr>
          <w:color w:val="00000A"/>
        </w:rPr>
        <w:t>Fonte: Coordenação Institucional do PIBID/UFVJM</w:t>
      </w:r>
    </w:p>
    <w:p>
      <w:pPr>
        <w:pStyle w:val="Normal1"/>
        <w:numPr>
          <w:ilvl w:val="0"/>
          <w:numId w:val="0"/>
        </w:numPr>
        <w:spacing w:lineRule="auto" w:line="360"/>
        <w:jc w:val="both"/>
        <w:outlineLvl w:val="0"/>
        <w:rPr>
          <w:b/>
          <w:b/>
          <w:color w:val="00000A"/>
        </w:rPr>
      </w:pPr>
      <w:r>
        <w:rPr>
          <w:b/>
          <w:color w:val="00000A"/>
        </w:rPr>
      </w:r>
    </w:p>
    <w:p>
      <w:pPr>
        <w:pStyle w:val="Normal1"/>
        <w:numPr>
          <w:ilvl w:val="0"/>
          <w:numId w:val="0"/>
        </w:numPr>
        <w:spacing w:lineRule="auto" w:line="360"/>
        <w:jc w:val="both"/>
        <w:outlineLvl w:val="0"/>
        <w:rPr>
          <w:color w:val="00000A"/>
        </w:rPr>
      </w:pPr>
      <w:r>
        <w:rPr>
          <w:b/>
          <w:color w:val="00000A"/>
        </w:rPr>
        <w:t xml:space="preserve">Programa de Apoio a Participação em Eventos – PROAPE </w:t>
      </w:r>
    </w:p>
    <w:p>
      <w:pPr>
        <w:pStyle w:val="Normal1"/>
        <w:spacing w:lineRule="auto" w:line="360"/>
        <w:ind w:firstLine="709"/>
        <w:jc w:val="both"/>
        <w:rPr>
          <w:color w:val="00000A"/>
        </w:rPr>
      </w:pPr>
      <w:r>
        <w:rPr>
          <w:color w:val="00000A"/>
        </w:rPr>
        <w:t>Esse Programa tem por finalidade fomentar, mediante concessão de auxílio financeiro, a participação de discentes dos cursos de graduação em eventos acadêmico-científico-culturais, nacionais e internacionais, como: congressos, simpósios, seminários e similares, considerados importantes para a integração do ensino, pesquisa e extensão.</w:t>
      </w:r>
    </w:p>
    <w:p>
      <w:pPr>
        <w:pStyle w:val="Normal1"/>
        <w:spacing w:lineRule="auto" w:line="360"/>
        <w:ind w:firstLine="709"/>
        <w:jc w:val="both"/>
        <w:rPr>
          <w:color w:val="00000A"/>
        </w:rPr>
      </w:pPr>
      <w:r>
        <w:rPr>
          <w:color w:val="00000A"/>
        </w:rPr>
        <w:t>A continuidade do Proape, ano a ano, é avaliada segundo a dotação orçamentária da UFVJM e os recursos repassados à Prograd, a fim de que sejam priorizados os programas que atendem institucionalmente o maior número possível de discentes.</w:t>
      </w:r>
    </w:p>
    <w:p>
      <w:pPr>
        <w:pStyle w:val="Normal1"/>
        <w:spacing w:lineRule="auto" w:line="360"/>
        <w:ind w:firstLine="709"/>
        <w:jc w:val="both"/>
        <w:rPr>
          <w:color w:val="00000A"/>
        </w:rPr>
      </w:pPr>
      <w:r>
        <w:rPr>
          <w:color w:val="00000A"/>
        </w:rPr>
      </w:r>
    </w:p>
    <w:p>
      <w:pPr>
        <w:pStyle w:val="Normal1"/>
        <w:numPr>
          <w:ilvl w:val="0"/>
          <w:numId w:val="0"/>
        </w:numPr>
        <w:spacing w:lineRule="auto" w:line="360"/>
        <w:jc w:val="both"/>
        <w:outlineLvl w:val="0"/>
        <w:rPr>
          <w:color w:val="00000A"/>
        </w:rPr>
      </w:pPr>
      <w:r>
        <w:rPr>
          <w:b/>
          <w:color w:val="00000A"/>
        </w:rPr>
        <w:t xml:space="preserve">Programa de Apoio ao Ensino de Graduação – PROAE </w:t>
      </w:r>
    </w:p>
    <w:p>
      <w:pPr>
        <w:pStyle w:val="Normal1"/>
        <w:spacing w:lineRule="auto" w:line="360"/>
        <w:ind w:firstLine="709"/>
        <w:jc w:val="both"/>
        <w:rPr>
          <w:color w:val="00000A"/>
        </w:rPr>
      </w:pPr>
      <w:r>
        <w:rPr>
          <w:color w:val="00000A"/>
        </w:rPr>
        <w:t>O Proae visa estimular e apoiar a apresentação de projetos que resultem em ações concretas para a melhoria das condições de oferta dos cursos e componentes curriculares de graduação, intensificando a cooperação acadêmica entre discentes e</w:t>
      </w:r>
    </w:p>
    <w:p>
      <w:pPr>
        <w:pStyle w:val="Normal1"/>
        <w:spacing w:lineRule="auto" w:line="360"/>
        <w:jc w:val="both"/>
        <w:rPr>
          <w:color w:val="00000A"/>
        </w:rPr>
      </w:pPr>
      <w:r>
        <w:rPr>
          <w:color w:val="00000A"/>
        </w:rPr>
        <w:t>docentes, mediante novas práticas e experiências pedagógicas e profissionais, tendo como objetivos:</w:t>
      </w:r>
    </w:p>
    <w:p>
      <w:pPr>
        <w:pStyle w:val="ListParagraph"/>
        <w:spacing w:lineRule="auto" w:line="360"/>
        <w:ind w:left="709" w:hanging="0"/>
        <w:jc w:val="both"/>
        <w:rPr>
          <w:rFonts w:ascii="Arial" w:hAnsi="Arial" w:cs="Arial"/>
        </w:rPr>
      </w:pPr>
      <w:r>
        <w:rPr>
          <w:rFonts w:cs="Arial"/>
        </w:rPr>
        <w:t xml:space="preserve">I- incentivar o estudo e a apresentação de propostas visando o aprimoramento das condições de oferta do ensino de graduação da UFVJM; </w:t>
      </w:r>
    </w:p>
    <w:p>
      <w:pPr>
        <w:pStyle w:val="ListParagraph"/>
        <w:spacing w:lineRule="auto" w:line="360"/>
        <w:ind w:left="709" w:hanging="0"/>
        <w:jc w:val="both"/>
        <w:rPr>
          <w:rFonts w:ascii="Arial" w:hAnsi="Arial" w:cs="Arial"/>
        </w:rPr>
      </w:pPr>
      <w:r>
        <w:rPr>
          <w:rFonts w:cs="Arial"/>
        </w:rPr>
        <w:t xml:space="preserve">II- ampliar a participação dos discentes de graduação no processo educacional, nas atividades relativas ao ensino e na vida acadêmica da Universidade; </w:t>
      </w:r>
    </w:p>
    <w:p>
      <w:pPr>
        <w:pStyle w:val="ListParagraph"/>
        <w:spacing w:lineRule="auto" w:line="360"/>
        <w:ind w:left="709" w:hanging="0"/>
        <w:jc w:val="both"/>
        <w:rPr>
          <w:rFonts w:ascii="Arial" w:hAnsi="Arial" w:cs="Arial"/>
        </w:rPr>
      </w:pPr>
      <w:r>
        <w:rPr>
          <w:rFonts w:cs="Arial"/>
        </w:rPr>
        <w:t xml:space="preserve">III- estimular a iniciação à pesquisa no ensino e o desenvolvimento de habilidades relacionadas a esta atividade; </w:t>
      </w:r>
    </w:p>
    <w:p>
      <w:pPr>
        <w:pStyle w:val="ListParagraph"/>
        <w:spacing w:lineRule="auto" w:line="360"/>
        <w:ind w:left="709" w:hanging="0"/>
        <w:jc w:val="both"/>
        <w:rPr>
          <w:rFonts w:ascii="Arial" w:hAnsi="Arial" w:cs="Arial"/>
        </w:rPr>
      </w:pPr>
      <w:r>
        <w:rPr>
          <w:rFonts w:cs="Arial"/>
        </w:rPr>
        <w:t xml:space="preserve">IV- contribuir com a dinamização do processo de ensino, sua relação com o conhecimento e com a produção de aprendizagens; </w:t>
      </w:r>
    </w:p>
    <w:p>
      <w:pPr>
        <w:pStyle w:val="ListParagraph"/>
        <w:spacing w:lineRule="auto" w:line="360"/>
        <w:ind w:left="709" w:hanging="0"/>
        <w:jc w:val="both"/>
        <w:rPr>
          <w:rFonts w:ascii="Arial" w:hAnsi="Arial" w:cs="Arial"/>
        </w:rPr>
      </w:pPr>
      <w:r>
        <w:rPr>
          <w:rFonts w:cs="Arial"/>
        </w:rPr>
        <w:t>V- promover a socialização de experiências em práticas de ensino na Instituição.</w:t>
      </w:r>
    </w:p>
    <w:p>
      <w:pPr>
        <w:pStyle w:val="ListParagraph"/>
        <w:spacing w:lineRule="auto" w:line="360"/>
        <w:ind w:left="0" w:firstLine="709"/>
        <w:jc w:val="both"/>
        <w:rPr>
          <w:rFonts w:ascii="Arial" w:hAnsi="Arial" w:cs="Arial"/>
        </w:rPr>
      </w:pPr>
      <w:r>
        <w:rPr>
          <w:rFonts w:cs="Arial"/>
        </w:rPr>
        <w:t>Cabe destacar que no período de 2012 a 2017 observou-se uma crescente evolução no número de estudantes beneficiados com bolsas, conforme demonstrado na Tabela 10. Esses dados refletem a busca por implementação de melhorias no ensino de graduação. Além dos estudantes bolsistas, os projetos podem contemplar a participação de voluntários em sua execução, oportunizando aos estudantes o desenvolvimento de experiências com os processos de ensino e aprendizagem.</w:t>
      </w:r>
    </w:p>
    <w:p>
      <w:pPr>
        <w:pStyle w:val="ListParagraph"/>
        <w:spacing w:lineRule="auto" w:line="360"/>
        <w:ind w:left="0" w:firstLine="709"/>
        <w:jc w:val="both"/>
        <w:rPr>
          <w:rFonts w:ascii="Arial" w:hAnsi="Arial" w:cs="Arial"/>
        </w:rPr>
      </w:pPr>
      <w:r>
        <w:rPr>
          <w:rFonts w:cs="Arial"/>
        </w:rPr>
      </w:r>
    </w:p>
    <w:p>
      <w:pPr>
        <w:pStyle w:val="ListParagraph"/>
        <w:spacing w:lineRule="auto" w:line="360"/>
        <w:ind w:left="0" w:hanging="0"/>
        <w:jc w:val="center"/>
        <w:rPr>
          <w:rFonts w:ascii="Arial" w:hAnsi="Arial" w:cs="Arial"/>
        </w:rPr>
      </w:pPr>
      <w:r>
        <w:rPr>
          <w:rFonts w:cs="Arial"/>
          <w:b/>
        </w:rPr>
        <w:t>Tabela 10 – Número de projetos de apoio ao ensino, desenvolvidos anualmente</w:t>
      </w:r>
    </w:p>
    <w:p>
      <w:pPr>
        <w:pStyle w:val="ListParagraph"/>
        <w:spacing w:lineRule="auto" w:line="360"/>
        <w:ind w:left="0" w:hanging="0"/>
        <w:jc w:val="center"/>
        <w:rPr>
          <w:rFonts w:ascii="Arial" w:hAnsi="Arial" w:cs="Arial"/>
        </w:rPr>
      </w:pPr>
      <w:r>
        <w:rPr>
          <w:rFonts w:cs="Arial"/>
          <w:b/>
        </w:rPr>
        <w:t>no período de 2012 a 2016.</w:t>
      </w:r>
    </w:p>
    <w:tbl>
      <w:tblPr>
        <w:tblW w:w="9211"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tblPr>
      <w:tblGrid>
        <w:gridCol w:w="1949"/>
        <w:gridCol w:w="4191"/>
        <w:gridCol w:w="3071"/>
      </w:tblGrid>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ListParagraph"/>
              <w:spacing w:before="0" w:after="200"/>
              <w:ind w:left="0" w:hanging="0"/>
              <w:contextualSpacing/>
              <w:jc w:val="center"/>
              <w:rPr>
                <w:rFonts w:ascii="Arial" w:hAnsi="Arial" w:cs="Arial"/>
              </w:rPr>
            </w:pPr>
            <w:r>
              <w:rPr>
                <w:rFonts w:cs="Arial"/>
                <w:b/>
                <w:bCs/>
              </w:rPr>
              <w:t>ANO</w:t>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ListParagraph"/>
              <w:spacing w:before="0" w:after="200"/>
              <w:ind w:left="0" w:hanging="0"/>
              <w:contextualSpacing/>
              <w:jc w:val="center"/>
              <w:rPr>
                <w:rFonts w:ascii="Arial" w:hAnsi="Arial" w:cs="Arial"/>
              </w:rPr>
            </w:pPr>
            <w:r>
              <w:rPr>
                <w:rFonts w:cs="Arial"/>
                <w:b/>
                <w:bCs/>
              </w:rPr>
              <w:t>Nº DE PROJETOS</w:t>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tcPr>
          <w:p>
            <w:pPr>
              <w:pStyle w:val="ListParagraph"/>
              <w:spacing w:before="0" w:after="200"/>
              <w:ind w:left="0" w:hanging="0"/>
              <w:contextualSpacing/>
              <w:jc w:val="center"/>
              <w:rPr>
                <w:rFonts w:ascii="Arial" w:hAnsi="Arial" w:cs="Arial"/>
              </w:rPr>
            </w:pPr>
            <w:r>
              <w:rPr>
                <w:rFonts w:cs="Arial"/>
                <w:b/>
                <w:bCs/>
              </w:rPr>
              <w:t>Nº DE BOLSISTAS</w:t>
            </w:r>
          </w:p>
        </w:tc>
      </w:tr>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b/>
                <w:bCs/>
              </w:rPr>
              <w:t>2012</w:t>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26</w:t>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52</w:t>
            </w:r>
          </w:p>
        </w:tc>
      </w:tr>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b/>
                <w:bCs/>
              </w:rPr>
              <w:t>2013</w:t>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25</w:t>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47</w:t>
            </w:r>
          </w:p>
        </w:tc>
      </w:tr>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b/>
                <w:bCs/>
              </w:rPr>
              <w:t>2014</w:t>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33</w:t>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66</w:t>
            </w:r>
          </w:p>
        </w:tc>
      </w:tr>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b/>
                <w:bCs/>
              </w:rPr>
              <w:t>2015</w:t>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50</w:t>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50</w:t>
            </w:r>
          </w:p>
        </w:tc>
      </w:tr>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b/>
                <w:bCs/>
              </w:rPr>
              <w:t>2016</w:t>
            </w:r>
            <w:r>
              <w:rPr>
                <w:rStyle w:val="Ncoradanotaderodap"/>
                <w:rFonts w:cs="Arial"/>
                <w:b/>
                <w:bCs/>
              </w:rPr>
              <w:footnoteReference w:id="4"/>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w:t>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w:t>
            </w:r>
          </w:p>
        </w:tc>
      </w:tr>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b/>
                <w:bCs/>
              </w:rPr>
              <w:t>2017</w:t>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35</w:t>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ListParagraph"/>
              <w:spacing w:before="0" w:after="200"/>
              <w:ind w:left="0" w:hanging="0"/>
              <w:contextualSpacing/>
              <w:jc w:val="center"/>
              <w:rPr>
                <w:rFonts w:ascii="Arial" w:hAnsi="Arial" w:cs="Arial"/>
              </w:rPr>
            </w:pPr>
            <w:r>
              <w:rPr>
                <w:rFonts w:cs="Arial"/>
              </w:rPr>
              <w:t>70</w:t>
            </w:r>
          </w:p>
        </w:tc>
      </w:tr>
      <w:tr>
        <w:trPr/>
        <w:tc>
          <w:tcPr>
            <w:tcW w:w="19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ListParagraph"/>
              <w:spacing w:before="0" w:after="200"/>
              <w:ind w:left="0" w:hanging="0"/>
              <w:contextualSpacing/>
              <w:jc w:val="center"/>
              <w:rPr>
                <w:rFonts w:ascii="Arial" w:hAnsi="Arial" w:cs="Arial"/>
              </w:rPr>
            </w:pPr>
            <w:r>
              <w:rPr>
                <w:rFonts w:cs="Arial"/>
                <w:b/>
                <w:bCs/>
              </w:rPr>
              <w:t>Total</w:t>
            </w:r>
          </w:p>
        </w:tc>
        <w:tc>
          <w:tcPr>
            <w:tcW w:w="4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ListParagraph"/>
              <w:spacing w:before="0" w:after="200"/>
              <w:ind w:left="0" w:hanging="0"/>
              <w:contextualSpacing/>
              <w:jc w:val="center"/>
              <w:rPr>
                <w:rFonts w:ascii="Arial" w:hAnsi="Arial" w:cs="Arial"/>
              </w:rPr>
            </w:pPr>
            <w:r>
              <w:rPr>
                <w:rFonts w:cs="Arial"/>
              </w:rPr>
            </w:r>
          </w:p>
        </w:tc>
        <w:tc>
          <w:tcPr>
            <w:tcW w:w="30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ListParagraph"/>
              <w:spacing w:before="0" w:after="200"/>
              <w:ind w:left="0" w:hanging="0"/>
              <w:contextualSpacing/>
              <w:jc w:val="center"/>
              <w:rPr>
                <w:rFonts w:ascii="Arial" w:hAnsi="Arial" w:cs="Arial"/>
              </w:rPr>
            </w:pPr>
            <w:r>
              <w:rPr>
                <w:rFonts w:cs="Arial"/>
              </w:rPr>
            </w:r>
          </w:p>
        </w:tc>
      </w:tr>
    </w:tbl>
    <w:p>
      <w:pPr>
        <w:pStyle w:val="ListParagraph"/>
        <w:spacing w:lineRule="auto" w:line="360"/>
        <w:ind w:left="0" w:hanging="0"/>
        <w:jc w:val="center"/>
        <w:rPr>
          <w:rFonts w:ascii="Arial" w:hAnsi="Arial" w:cs="Arial"/>
        </w:rPr>
      </w:pPr>
      <w:r>
        <w:rPr>
          <w:rFonts w:cs="Arial"/>
          <w:bCs/>
        </w:rPr>
        <w:t>Fonte: Pró-Reitoria de Graduação.</w:t>
      </w:r>
    </w:p>
    <w:p>
      <w:pPr>
        <w:pStyle w:val="Normal1"/>
        <w:spacing w:lineRule="auto" w:line="360"/>
        <w:ind w:firstLine="709"/>
        <w:jc w:val="both"/>
        <w:rPr>
          <w:color w:val="00000A"/>
        </w:rPr>
      </w:pPr>
      <w:r>
        <w:rPr>
          <w:color w:val="00000A"/>
        </w:rPr>
      </w:r>
    </w:p>
    <w:p>
      <w:pPr>
        <w:pStyle w:val="Normal1"/>
        <w:spacing w:lineRule="auto" w:line="360"/>
        <w:ind w:firstLine="709"/>
        <w:jc w:val="both"/>
        <w:rPr>
          <w:color w:val="00000A"/>
        </w:rPr>
      </w:pPr>
      <w:r>
        <w:rPr>
          <w:color w:val="00000A"/>
        </w:rPr>
        <w:t>A partir de 2017, os Editais do PROAE terão como foco o fomento a ações de combate à retenção e evasão no âmbito da UFVJM, buscando contribuir para o cumprimento das metas previstas no Programa de Enfrentamento à Retenção e Evasão (PROGER).</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b/>
          <w:color w:val="00000A"/>
        </w:rPr>
        <w:t>2.4.2.5. Práticas Acadêmico-Profissionais</w:t>
      </w:r>
    </w:p>
    <w:p>
      <w:pPr>
        <w:pStyle w:val="Normal1"/>
        <w:spacing w:lineRule="auto" w:line="360"/>
        <w:ind w:firstLine="709"/>
        <w:jc w:val="both"/>
        <w:rPr>
          <w:color w:val="00000A"/>
        </w:rPr>
      </w:pPr>
      <w:r>
        <w:rPr>
          <w:bCs/>
          <w:color w:val="00000A"/>
        </w:rPr>
        <w:t>As práticas acadêmico-profissionais são extremamente importantes para a busca da excelência do ensino e para a formação de um profissional consoante à realidade do seu tempo e do mundo do trabalho. Nesse sentido, a UFVJM propõe, em conformidade com a legislação e diretrizes curriculares nacionais para cada curso, práticas formativas e mantém espaços específicos para tais atividades.</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b/>
          <w:color w:val="00000A"/>
        </w:rPr>
        <w:t>2.4.2.5.1 Estágios</w:t>
      </w:r>
    </w:p>
    <w:p>
      <w:pPr>
        <w:pStyle w:val="Normal1"/>
        <w:spacing w:lineRule="auto" w:line="360"/>
        <w:ind w:firstLine="709"/>
        <w:jc w:val="both"/>
        <w:rPr>
          <w:color w:val="00000A"/>
        </w:rPr>
      </w:pPr>
      <w:r>
        <w:rPr>
          <w:color w:val="00000A"/>
        </w:rPr>
        <w:t>A organização dos estágios da UFVJM fundamenta-se na legislação e nas normas jurídicas relativas aos cursos de graduação, bem como nas Diretrizes Curriculares, Pareceres e Resoluções do Conselho Nacional de Educações (CNE) pertinentes às áreas de formação profissional. O estágio é considerado um ato educativo, de aprendizagem social, profissional e cultural, que proporciona ao discente a participação em situações reais de vida e trabalho e a aplicação de conhecimentos teóricos.</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b/>
          <w:color w:val="00000A"/>
        </w:rPr>
        <w:t xml:space="preserve">2.4.2.5.2 Formação Acadêmica em Unidades e Centros Especiais </w:t>
      </w:r>
    </w:p>
    <w:p>
      <w:pPr>
        <w:pStyle w:val="Normal1"/>
        <w:spacing w:lineRule="auto" w:line="360"/>
        <w:ind w:firstLine="709"/>
        <w:jc w:val="both"/>
        <w:rPr>
          <w:color w:val="00000A"/>
        </w:rPr>
      </w:pPr>
      <w:r>
        <w:rPr>
          <w:color w:val="00000A"/>
        </w:rPr>
        <w:t xml:space="preserve">Entre os centros de formação acadêmica e também de apoio à comunidade, a UFVJM conta com: </w:t>
      </w:r>
    </w:p>
    <w:p>
      <w:pPr>
        <w:pStyle w:val="Normal1"/>
        <w:spacing w:lineRule="auto" w:line="360"/>
        <w:jc w:val="both"/>
        <w:rPr>
          <w:color w:val="00000A"/>
        </w:rPr>
      </w:pPr>
      <w:r>
        <w:rPr>
          <w:color w:val="00000A"/>
        </w:rPr>
        <w:t>A) Fazendas Experimentais</w:t>
      </w:r>
    </w:p>
    <w:p>
      <w:pPr>
        <w:pStyle w:val="Normal1"/>
        <w:spacing w:lineRule="auto" w:line="360"/>
        <w:ind w:firstLine="709"/>
        <w:jc w:val="both"/>
        <w:rPr>
          <w:color w:val="00000A"/>
        </w:rPr>
      </w:pPr>
      <w:r>
        <w:rPr>
          <w:color w:val="00000A"/>
        </w:rPr>
        <w:t>Os órgãos complementares da Faculdade de Ciências Agrárias são a Fazenda Experimental do Moura, a Fazenda Rio Manso e a Fazenda Chácara.</w:t>
      </w:r>
    </w:p>
    <w:p>
      <w:pPr>
        <w:pStyle w:val="Normal1"/>
        <w:spacing w:lineRule="auto" w:line="360"/>
        <w:ind w:firstLine="709"/>
        <w:jc w:val="both"/>
        <w:rPr>
          <w:color w:val="00000A"/>
        </w:rPr>
      </w:pPr>
      <w:r>
        <w:rPr>
          <w:color w:val="00000A"/>
        </w:rPr>
        <w:t>A Fazenda Experimental do Moura (FEM), no município de Curvelo MG, constitui outra disponibilidade patrimonial da UFVJM, sendo um órgão complementar da Faculdade de Ciências Agrárias. Está sob regime de contrato de concessão de direito real de uso, entre a Prefeitura Municipal de Curvelo e a UFVJM, com início no</w:t>
      </w:r>
    </w:p>
    <w:p>
      <w:pPr>
        <w:pStyle w:val="Normal1"/>
        <w:spacing w:lineRule="auto" w:line="360"/>
        <w:jc w:val="both"/>
        <w:rPr>
          <w:color w:val="00000A"/>
        </w:rPr>
      </w:pPr>
      <w:r>
        <w:rPr>
          <w:color w:val="00000A"/>
        </w:rPr>
        <w:t>ano 2000 e com duração de 20 anos.</w:t>
      </w:r>
    </w:p>
    <w:p>
      <w:pPr>
        <w:pStyle w:val="Normal1"/>
        <w:spacing w:lineRule="auto" w:line="360"/>
        <w:ind w:firstLine="709"/>
        <w:jc w:val="both"/>
        <w:rPr>
          <w:color w:val="00000A"/>
        </w:rPr>
      </w:pPr>
      <w:r>
        <w:rPr>
          <w:color w:val="00000A"/>
        </w:rPr>
        <w:t>A FEM compreende uma área de aproximadamente 400,00 ha distribuídos da seguinte forma:</w:t>
      </w:r>
    </w:p>
    <w:p>
      <w:pPr>
        <w:pStyle w:val="ListParagraph"/>
        <w:numPr>
          <w:ilvl w:val="0"/>
          <w:numId w:val="1"/>
        </w:numPr>
        <w:spacing w:lineRule="auto" w:line="360"/>
        <w:ind w:left="1418" w:hanging="709"/>
        <w:jc w:val="both"/>
        <w:rPr>
          <w:rFonts w:ascii="Arial" w:hAnsi="Arial" w:cs="Arial"/>
        </w:rPr>
      </w:pPr>
      <w:r>
        <w:rPr>
          <w:rFonts w:cs="Arial"/>
        </w:rPr>
        <w:t>Reserva Florestal → 292,50 ha;</w:t>
      </w:r>
    </w:p>
    <w:p>
      <w:pPr>
        <w:pStyle w:val="ListParagraph"/>
        <w:numPr>
          <w:ilvl w:val="0"/>
          <w:numId w:val="1"/>
        </w:numPr>
        <w:spacing w:lineRule="auto" w:line="360"/>
        <w:ind w:left="1418" w:hanging="709"/>
        <w:jc w:val="both"/>
        <w:rPr>
          <w:rFonts w:ascii="Arial" w:hAnsi="Arial" w:cs="Arial"/>
        </w:rPr>
      </w:pPr>
      <w:r>
        <w:rPr>
          <w:rFonts w:cs="Arial"/>
        </w:rPr>
        <w:t>Setor de Bovinocultura de Leite → 26,00 ha, com infra estrutura contendo curral de espera, sala de ordenha, sala para resfriamento de leite, conjunto de brete/tronco/balança/embarcadouro, dois silos trincheiras e área para pastagem;</w:t>
      </w:r>
    </w:p>
    <w:p>
      <w:pPr>
        <w:pStyle w:val="ListParagraph"/>
        <w:numPr>
          <w:ilvl w:val="0"/>
          <w:numId w:val="1"/>
        </w:numPr>
        <w:spacing w:lineRule="auto" w:line="360"/>
        <w:ind w:left="1418" w:hanging="709"/>
        <w:jc w:val="both"/>
        <w:rPr>
          <w:rFonts w:ascii="Arial" w:hAnsi="Arial" w:cs="Arial"/>
        </w:rPr>
      </w:pPr>
      <w:r>
        <w:rPr>
          <w:rFonts w:cs="Arial"/>
        </w:rPr>
        <w:t>Setor de Bovinocultura de Corte → 25,00 ha com cocheira para confinamento e terminação de 80 bois;</w:t>
      </w:r>
    </w:p>
    <w:p>
      <w:pPr>
        <w:pStyle w:val="ListParagraph"/>
        <w:numPr>
          <w:ilvl w:val="0"/>
          <w:numId w:val="1"/>
        </w:numPr>
        <w:spacing w:lineRule="auto" w:line="360"/>
        <w:ind w:left="1418" w:hanging="709"/>
        <w:jc w:val="both"/>
        <w:rPr>
          <w:rFonts w:ascii="Arial" w:hAnsi="Arial" w:cs="Arial"/>
        </w:rPr>
      </w:pPr>
      <w:r>
        <w:rPr>
          <w:rFonts w:cs="Arial"/>
        </w:rPr>
        <w:t>Setor para produção de grãos → 20,00 ha;</w:t>
      </w:r>
    </w:p>
    <w:p>
      <w:pPr>
        <w:pStyle w:val="ListParagraph"/>
        <w:numPr>
          <w:ilvl w:val="0"/>
          <w:numId w:val="1"/>
        </w:numPr>
        <w:spacing w:lineRule="auto" w:line="360"/>
        <w:ind w:left="1418" w:hanging="709"/>
        <w:jc w:val="both"/>
        <w:rPr>
          <w:rFonts w:ascii="Arial" w:hAnsi="Arial" w:cs="Arial"/>
        </w:rPr>
      </w:pPr>
      <w:r>
        <w:rPr>
          <w:rFonts w:cs="Arial"/>
        </w:rPr>
        <w:t xml:space="preserve">Canavial → 3,0 ha </w:t>
      </w:r>
    </w:p>
    <w:p>
      <w:pPr>
        <w:pStyle w:val="ListParagraph"/>
        <w:numPr>
          <w:ilvl w:val="0"/>
          <w:numId w:val="1"/>
        </w:numPr>
        <w:spacing w:lineRule="auto" w:line="360"/>
        <w:ind w:left="1418" w:hanging="709"/>
        <w:jc w:val="both"/>
        <w:rPr>
          <w:rFonts w:ascii="Arial" w:hAnsi="Arial" w:cs="Arial"/>
        </w:rPr>
      </w:pPr>
      <w:r>
        <w:rPr>
          <w:rFonts w:cs="Arial"/>
        </w:rPr>
        <w:t>Setor de Ovinocultura → 10 ha, contemplando estábulo com divisória de baias para alojamento e arraçoamento dos animais além de um curral de manejo;</w:t>
      </w:r>
    </w:p>
    <w:p>
      <w:pPr>
        <w:pStyle w:val="ListParagraph"/>
        <w:numPr>
          <w:ilvl w:val="0"/>
          <w:numId w:val="1"/>
        </w:numPr>
        <w:spacing w:lineRule="auto" w:line="360"/>
        <w:ind w:left="1418" w:hanging="709"/>
        <w:jc w:val="both"/>
        <w:rPr>
          <w:rFonts w:ascii="Arial" w:hAnsi="Arial" w:cs="Arial"/>
        </w:rPr>
      </w:pPr>
      <w:r>
        <w:rPr>
          <w:rFonts w:cs="Arial"/>
        </w:rPr>
        <w:t>Setor de Forragicultura e Pastagem → 23,00 ha (destinada a produção de silagem);</w:t>
      </w:r>
    </w:p>
    <w:p>
      <w:pPr>
        <w:pStyle w:val="ListParagraph"/>
        <w:numPr>
          <w:ilvl w:val="0"/>
          <w:numId w:val="1"/>
        </w:numPr>
        <w:spacing w:lineRule="auto" w:line="360"/>
        <w:ind w:left="1418" w:hanging="709"/>
        <w:jc w:val="both"/>
        <w:rPr>
          <w:rFonts w:ascii="Arial" w:hAnsi="Arial" w:cs="Arial"/>
        </w:rPr>
      </w:pPr>
      <w:r>
        <w:rPr>
          <w:rFonts w:cs="Arial"/>
        </w:rPr>
        <w:t>Setor de Fruticultura → dispersas na área do Setor de Gado de Leite.</w:t>
      </w:r>
    </w:p>
    <w:p>
      <w:pPr>
        <w:pStyle w:val="Normal1"/>
        <w:spacing w:lineRule="auto" w:line="360"/>
        <w:ind w:firstLine="709"/>
        <w:jc w:val="both"/>
        <w:rPr>
          <w:color w:val="00000A"/>
        </w:rPr>
      </w:pPr>
      <w:r>
        <w:rPr>
          <w:color w:val="00000A"/>
        </w:rPr>
        <w:t>Além da infraestrutura inerente a cada setor, a FEM conta com:</w:t>
      </w:r>
    </w:p>
    <w:p>
      <w:pPr>
        <w:pStyle w:val="ListParagraph"/>
        <w:numPr>
          <w:ilvl w:val="0"/>
          <w:numId w:val="2"/>
        </w:numPr>
        <w:spacing w:lineRule="auto" w:line="360"/>
        <w:ind w:left="1418" w:hanging="709"/>
        <w:jc w:val="both"/>
        <w:rPr>
          <w:rFonts w:ascii="Arial" w:hAnsi="Arial" w:cs="Arial"/>
        </w:rPr>
      </w:pPr>
      <w:r>
        <w:rPr>
          <w:rFonts w:cs="Arial"/>
        </w:rPr>
        <w:t>Alojamento de estudantes: composto por 02 quartos com banheiro com capacidade para 10 estudantes cada (masculino e feminino);</w:t>
      </w:r>
    </w:p>
    <w:p>
      <w:pPr>
        <w:pStyle w:val="ListParagraph"/>
        <w:numPr>
          <w:ilvl w:val="0"/>
          <w:numId w:val="2"/>
        </w:numPr>
        <w:spacing w:lineRule="auto" w:line="360"/>
        <w:ind w:left="1418" w:hanging="709"/>
        <w:jc w:val="both"/>
        <w:rPr>
          <w:rFonts w:ascii="Arial" w:hAnsi="Arial" w:cs="Arial"/>
        </w:rPr>
      </w:pPr>
      <w:r>
        <w:rPr>
          <w:rFonts w:cs="Arial"/>
        </w:rPr>
        <w:t>Alojamento de funcionários: composto por 02 quartos com banheiro com capacidade para 04 funcionários cada (masculino e feminino);</w:t>
      </w:r>
    </w:p>
    <w:p>
      <w:pPr>
        <w:pStyle w:val="ListParagraph"/>
        <w:numPr>
          <w:ilvl w:val="0"/>
          <w:numId w:val="2"/>
        </w:numPr>
        <w:spacing w:lineRule="auto" w:line="360"/>
        <w:ind w:left="1418" w:hanging="709"/>
        <w:jc w:val="both"/>
        <w:rPr>
          <w:rFonts w:ascii="Arial" w:hAnsi="Arial" w:cs="Arial"/>
        </w:rPr>
      </w:pPr>
      <w:r>
        <w:rPr>
          <w:rFonts w:cs="Arial"/>
        </w:rPr>
        <w:t>Casa dos professores: composta por 02 quartos, 02 salas, banheiro e cozinha;</w:t>
      </w:r>
    </w:p>
    <w:p>
      <w:pPr>
        <w:pStyle w:val="ListParagraph"/>
        <w:numPr>
          <w:ilvl w:val="0"/>
          <w:numId w:val="2"/>
        </w:numPr>
        <w:spacing w:lineRule="auto" w:line="360"/>
        <w:ind w:left="1418" w:hanging="709"/>
        <w:jc w:val="both"/>
        <w:rPr>
          <w:rFonts w:ascii="Arial" w:hAnsi="Arial" w:cs="Arial"/>
        </w:rPr>
      </w:pPr>
      <w:r>
        <w:rPr>
          <w:rFonts w:cs="Arial"/>
        </w:rPr>
        <w:t>Escritório: anexo à casa dos professores e destinado à administração da FEM;</w:t>
      </w:r>
    </w:p>
    <w:p>
      <w:pPr>
        <w:pStyle w:val="ListParagraph"/>
        <w:numPr>
          <w:ilvl w:val="0"/>
          <w:numId w:val="2"/>
        </w:numPr>
        <w:spacing w:lineRule="auto" w:line="360"/>
        <w:ind w:left="1418" w:hanging="709"/>
        <w:jc w:val="both"/>
        <w:rPr>
          <w:rFonts w:ascii="Arial" w:hAnsi="Arial" w:cs="Arial"/>
        </w:rPr>
      </w:pPr>
      <w:r>
        <w:rPr>
          <w:rFonts w:cs="Arial"/>
        </w:rPr>
        <w:t>Fábrica de ração: composta por um cômodo para a confecção de rações para a alimentação animal;</w:t>
      </w:r>
    </w:p>
    <w:p>
      <w:pPr>
        <w:pStyle w:val="ListParagraph"/>
        <w:numPr>
          <w:ilvl w:val="0"/>
          <w:numId w:val="2"/>
        </w:numPr>
        <w:spacing w:lineRule="auto" w:line="360"/>
        <w:ind w:left="1418" w:hanging="709"/>
        <w:jc w:val="both"/>
        <w:rPr>
          <w:rFonts w:ascii="Arial" w:hAnsi="Arial" w:cs="Arial"/>
        </w:rPr>
      </w:pPr>
      <w:r>
        <w:rPr>
          <w:rFonts w:cs="Arial"/>
        </w:rPr>
        <w:t>Depósito: para armazenamento de insumos agrícolas Trator e implementos agrícolas.</w:t>
      </w:r>
    </w:p>
    <w:p>
      <w:pPr>
        <w:pStyle w:val="ListParagraph"/>
        <w:spacing w:lineRule="auto" w:line="360"/>
        <w:ind w:left="1418" w:hanging="0"/>
        <w:jc w:val="both"/>
        <w:rPr>
          <w:rFonts w:ascii="Arial" w:hAnsi="Arial" w:cs="Arial"/>
        </w:rPr>
      </w:pPr>
      <w:r>
        <w:rPr>
          <w:rFonts w:cs="Arial"/>
        </w:rPr>
      </w:r>
    </w:p>
    <w:p>
      <w:pPr>
        <w:pStyle w:val="Normal1"/>
        <w:spacing w:lineRule="auto" w:line="360"/>
        <w:ind w:firstLine="709"/>
        <w:jc w:val="both"/>
        <w:rPr>
          <w:color w:val="00000A"/>
        </w:rPr>
      </w:pPr>
      <w:r>
        <w:rPr>
          <w:color w:val="00000A"/>
        </w:rPr>
        <w:t>A Fazenda Rio Manso, localizada no município de Couto de Magalhães de Minas, MG, cedida em regime de comodato pelo governo de Minas Gerais, possui uma área de 100 hectares, sendo 22 ha como área para produção e 78 ha de reserva ecológica. Estão sendo construídos laboratórios, depósitos, salas de aula e casas de vegetação (estufas) para dar apoio às pesquisas, projetos de extensão e ensino. Está previsto a recuperação de uma represa, a edificação de guarita e garagem (destinada a tratores e demais implementos agrícolas) e a estruturação da rede elétrica, hidráulica e sanitária para dar suporte às atividades nas diversas áreas de atuação e localidades da fazenda. De acordo com o plano de ocupação de áreas da Fazenda Rio Manso, estão previstos atividades e estudos relacionados com as seguintes áreas: silvicultura; ecologia; grandes culturas; conservação e uso do solo; banco de gemoplasma de pequi e de plantas exóticas; milho e sorgo/multiuso perenes; pastagem; preservação ambiental; aquicultura; olericultura.</w:t>
      </w:r>
    </w:p>
    <w:p>
      <w:pPr>
        <w:pStyle w:val="Normal1"/>
        <w:spacing w:lineRule="auto" w:line="360"/>
        <w:ind w:firstLine="709"/>
        <w:jc w:val="both"/>
        <w:rPr>
          <w:color w:val="00000A"/>
        </w:rPr>
      </w:pPr>
      <w:r>
        <w:rPr>
          <w:color w:val="00000A"/>
        </w:rPr>
        <w:t xml:space="preserve">A Fazenda Chácara, localizada no município de Serro, MG, possui uma área de 121 hectares, constituída por área de preservação permanente (10 ha), reserva legal e de preservação (67 ha) e área de atividades </w:t>
      </w:r>
      <w:r>
        <w:rPr>
          <w:i/>
          <w:color w:val="00000A"/>
        </w:rPr>
        <w:t>silvipastoris</w:t>
      </w:r>
      <w:r>
        <w:rPr>
          <w:color w:val="00000A"/>
        </w:rPr>
        <w:t xml:space="preserve"> (44 ha). A Fazenda foi doada à UFVJM com o objetivo de viabilizar o desenvolvimento de atividades acadêmicas. Estão previstos: a implantação e a condução de floresta de eucalipto, com o objetivo de produção de madeira e realização de estudos envolvendo, principalmente, a ciência florestal; a realização de práticas de ensino e estudos com enfoque no bioma Mata Atlântica; e o desenvolvimento de pesquisas, ensino e extensão relacionados a todos os cursos da UFVJM.</w:t>
      </w:r>
    </w:p>
    <w:p>
      <w:pPr>
        <w:pStyle w:val="Normal1"/>
        <w:spacing w:lineRule="auto" w:line="360"/>
        <w:ind w:firstLine="709"/>
        <w:jc w:val="both"/>
        <w:rPr>
          <w:color w:val="00000A"/>
        </w:rPr>
      </w:pPr>
      <w:r>
        <w:rPr>
          <w:color w:val="00000A"/>
        </w:rPr>
        <w:t>O órgão complementar do Instituto de Ciências Agrárias é a Fazenda Experimental Santa Paula (FESPE), que é continua ao Campus de Unaí. Sua área contempla um total de 103,8781 hectares distribuídos da seguinte forma:</w:t>
      </w:r>
    </w:p>
    <w:p>
      <w:pPr>
        <w:pStyle w:val="ListParagraph"/>
        <w:numPr>
          <w:ilvl w:val="0"/>
          <w:numId w:val="1"/>
        </w:numPr>
        <w:spacing w:lineRule="auto" w:line="360"/>
        <w:ind w:left="1418" w:hanging="709"/>
        <w:jc w:val="both"/>
        <w:rPr>
          <w:rFonts w:ascii="Arial" w:hAnsi="Arial" w:cs="Arial"/>
        </w:rPr>
      </w:pPr>
      <w:r>
        <w:rPr>
          <w:rFonts w:cs="Arial"/>
        </w:rPr>
        <w:t>Área de regeneração natural → 18,0807 ha;</w:t>
      </w:r>
    </w:p>
    <w:p>
      <w:pPr>
        <w:pStyle w:val="ListParagraph"/>
        <w:numPr>
          <w:ilvl w:val="0"/>
          <w:numId w:val="1"/>
        </w:numPr>
        <w:spacing w:lineRule="auto" w:line="360"/>
        <w:ind w:left="1418" w:hanging="709"/>
        <w:jc w:val="both"/>
        <w:rPr>
          <w:rFonts w:ascii="Arial" w:hAnsi="Arial" w:cs="Arial"/>
        </w:rPr>
      </w:pPr>
      <w:r>
        <w:rPr>
          <w:rFonts w:cs="Arial"/>
        </w:rPr>
        <w:t>Área de pastagem → 60,2894 ha;</w:t>
      </w:r>
    </w:p>
    <w:p>
      <w:pPr>
        <w:pStyle w:val="ListParagraph"/>
        <w:numPr>
          <w:ilvl w:val="0"/>
          <w:numId w:val="1"/>
        </w:numPr>
        <w:spacing w:lineRule="auto" w:line="360"/>
        <w:ind w:left="1418" w:hanging="709"/>
        <w:jc w:val="both"/>
        <w:rPr>
          <w:rFonts w:ascii="Arial" w:hAnsi="Arial" w:cs="Arial"/>
        </w:rPr>
      </w:pPr>
      <w:r>
        <w:rPr>
          <w:rFonts w:cs="Arial"/>
        </w:rPr>
        <w:t>Área de Cerrado → 7,9395 ha;</w:t>
      </w:r>
    </w:p>
    <w:p>
      <w:pPr>
        <w:pStyle w:val="ListParagraph"/>
        <w:numPr>
          <w:ilvl w:val="0"/>
          <w:numId w:val="1"/>
        </w:numPr>
        <w:spacing w:lineRule="auto" w:line="360"/>
        <w:ind w:left="1418" w:hanging="709"/>
        <w:jc w:val="both"/>
        <w:rPr>
          <w:rFonts w:ascii="Arial" w:hAnsi="Arial" w:cs="Arial"/>
        </w:rPr>
      </w:pPr>
      <w:r>
        <w:rPr>
          <w:rFonts w:cs="Arial"/>
        </w:rPr>
        <w:t>Área de Fazenda → 1,3493 ha;</w:t>
      </w:r>
    </w:p>
    <w:p>
      <w:pPr>
        <w:pStyle w:val="ListParagraph"/>
        <w:numPr>
          <w:ilvl w:val="0"/>
          <w:numId w:val="1"/>
        </w:numPr>
        <w:spacing w:lineRule="auto" w:line="360"/>
        <w:ind w:left="1418" w:hanging="709"/>
        <w:jc w:val="both"/>
        <w:rPr>
          <w:rFonts w:ascii="Arial" w:hAnsi="Arial" w:cs="Arial"/>
        </w:rPr>
      </w:pPr>
      <w:r>
        <w:rPr>
          <w:rFonts w:cs="Arial"/>
        </w:rPr>
        <w:t>Área de Cocheira → 2,4780 ha;</w:t>
      </w:r>
    </w:p>
    <w:p>
      <w:pPr>
        <w:pStyle w:val="ListParagraph"/>
        <w:numPr>
          <w:ilvl w:val="0"/>
          <w:numId w:val="1"/>
        </w:numPr>
        <w:spacing w:lineRule="auto" w:line="360"/>
        <w:ind w:left="1418" w:hanging="709"/>
        <w:jc w:val="both"/>
        <w:rPr>
          <w:rFonts w:ascii="Arial" w:hAnsi="Arial" w:cs="Arial"/>
        </w:rPr>
      </w:pPr>
      <w:r>
        <w:rPr>
          <w:rFonts w:cs="Arial"/>
        </w:rPr>
        <w:t>APP → 10,9840 ha;</w:t>
      </w:r>
    </w:p>
    <w:p>
      <w:pPr>
        <w:pStyle w:val="ListParagraph"/>
        <w:numPr>
          <w:ilvl w:val="0"/>
          <w:numId w:val="1"/>
        </w:numPr>
        <w:spacing w:lineRule="auto" w:line="360"/>
        <w:ind w:left="1418" w:hanging="709"/>
        <w:jc w:val="both"/>
        <w:rPr>
          <w:rFonts w:ascii="Arial" w:hAnsi="Arial" w:cs="Arial"/>
        </w:rPr>
      </w:pPr>
      <w:r>
        <w:rPr>
          <w:rFonts w:cs="Arial"/>
        </w:rPr>
        <w:t>Área de Mata → 1,5788 ha;</w:t>
      </w:r>
    </w:p>
    <w:p>
      <w:pPr>
        <w:pStyle w:val="ListParagraph"/>
        <w:numPr>
          <w:ilvl w:val="0"/>
          <w:numId w:val="1"/>
        </w:numPr>
        <w:spacing w:lineRule="auto" w:line="360"/>
        <w:ind w:left="1418" w:hanging="709"/>
        <w:jc w:val="both"/>
        <w:rPr>
          <w:rFonts w:ascii="Arial" w:hAnsi="Arial" w:cs="Arial"/>
        </w:rPr>
      </w:pPr>
      <w:r>
        <w:rPr>
          <w:rFonts w:cs="Arial"/>
        </w:rPr>
        <w:t>Área de Barracão e casas → 1,0108 ha;</w:t>
      </w:r>
    </w:p>
    <w:p>
      <w:pPr>
        <w:pStyle w:val="ListParagraph"/>
        <w:numPr>
          <w:ilvl w:val="0"/>
          <w:numId w:val="1"/>
        </w:numPr>
        <w:spacing w:lineRule="auto" w:line="360"/>
        <w:ind w:left="1418" w:hanging="709"/>
        <w:jc w:val="both"/>
        <w:rPr>
          <w:rFonts w:ascii="Arial" w:hAnsi="Arial" w:cs="Arial"/>
        </w:rPr>
      </w:pPr>
      <w:r>
        <w:rPr>
          <w:rFonts w:cs="Arial"/>
        </w:rPr>
        <w:t>Área de Curral → 0,1676 ha.</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B) Clínica Escola de Fisioterapia e Laboratórios de Fisioterapia</w:t>
      </w:r>
    </w:p>
    <w:p>
      <w:pPr>
        <w:pStyle w:val="Normal1"/>
        <w:spacing w:lineRule="auto" w:line="360"/>
        <w:ind w:firstLine="709"/>
        <w:jc w:val="both"/>
        <w:rPr>
          <w:color w:val="00000A"/>
        </w:rPr>
      </w:pPr>
      <w:r>
        <w:rPr>
          <w:color w:val="00000A"/>
        </w:rPr>
        <w:t xml:space="preserve">A Clínica Escola de Fisioterapia realiza 120 atendimentos diários nas seguintes especialidades: ortopedia, urologia, ginecologia/obstetrícia/mastologia, neurologia, fisioterapia respiratória e neuropediatria. </w:t>
      </w:r>
    </w:p>
    <w:p>
      <w:pPr>
        <w:pStyle w:val="Normal1"/>
        <w:spacing w:lineRule="auto" w:line="360"/>
        <w:ind w:firstLine="709"/>
        <w:jc w:val="both"/>
        <w:rPr>
          <w:color w:val="00000A"/>
        </w:rPr>
      </w:pPr>
      <w:r>
        <w:rPr>
          <w:color w:val="00000A"/>
        </w:rPr>
        <w:t>A clínica é atualmente referência em atendimento fisioterápico para a população de Diamantina.</w:t>
      </w:r>
    </w:p>
    <w:p>
      <w:pPr>
        <w:pStyle w:val="Ttulo1"/>
        <w:spacing w:lineRule="auto" w:line="360" w:before="0" w:after="0"/>
        <w:ind w:firstLine="709"/>
        <w:jc w:val="both"/>
        <w:rPr>
          <w:rFonts w:ascii="Arial" w:hAnsi="Arial" w:cs="Arial"/>
          <w:color w:val="00000A"/>
          <w:sz w:val="24"/>
          <w:szCs w:val="24"/>
        </w:rPr>
      </w:pPr>
      <w:r>
        <w:rPr>
          <w:rFonts w:cs="Arial" w:ascii="Arial" w:hAnsi="Arial"/>
          <w:b w:val="false"/>
          <w:color w:val="00000A"/>
          <w:sz w:val="24"/>
          <w:szCs w:val="24"/>
        </w:rPr>
        <w:t xml:space="preserve">Além da clínica, o curso de Fisioterapia conta com Piscinas, </w:t>
      </w:r>
      <w:r>
        <w:rPr>
          <w:rFonts w:cs="Arial" w:ascii="Arial" w:hAnsi="Arial"/>
          <w:b w:val="false"/>
          <w:bCs w:val="false"/>
          <w:color w:val="00000A"/>
          <w:sz w:val="24"/>
          <w:szCs w:val="24"/>
        </w:rPr>
        <w:t>Laboratório de Análise de Movimento</w:t>
      </w:r>
      <w:r>
        <w:rPr>
          <w:rFonts w:cs="Arial" w:ascii="Arial" w:hAnsi="Arial"/>
          <w:b w:val="false"/>
          <w:color w:val="00000A"/>
          <w:sz w:val="24"/>
          <w:szCs w:val="24"/>
        </w:rPr>
        <w:t xml:space="preserve">, </w:t>
      </w:r>
      <w:r>
        <w:rPr>
          <w:rFonts w:cs="Arial" w:ascii="Arial" w:hAnsi="Arial"/>
          <w:b w:val="false"/>
          <w:bCs w:val="false"/>
          <w:color w:val="00000A"/>
          <w:sz w:val="24"/>
          <w:szCs w:val="24"/>
        </w:rPr>
        <w:t xml:space="preserve">Laboratório de Cardiologia, </w:t>
      </w:r>
      <w:r>
        <w:rPr>
          <w:rFonts w:cs="Arial" w:ascii="Arial" w:hAnsi="Arial"/>
          <w:b w:val="false"/>
          <w:color w:val="00000A"/>
          <w:sz w:val="24"/>
          <w:szCs w:val="24"/>
        </w:rPr>
        <w:t>Laboratório de Próteses e Órteses, Laboratório de Pneumologia, Laboratório de Recursos Terapêuticos, Dermato- funcional e Uroginecologia e Obstetrícia, Laboratório de Pediatria, Laboratório de Gerontologia, Laboratório de Cinesioterapia e Cinesiologia, Laboratório Neurofuncional,</w:t>
      </w:r>
      <w:r>
        <w:rPr>
          <w:rFonts w:cs="Arial" w:ascii="Arial" w:hAnsi="Arial"/>
          <w:b w:val="false"/>
          <w:bCs w:val="false"/>
          <w:color w:val="00000A"/>
          <w:sz w:val="24"/>
          <w:szCs w:val="24"/>
        </w:rPr>
        <w:t xml:space="preserve"> Núcleo de Experimentação Animal. Nesses espaços são desenvolvidas atividades de ensino, pesquisa e extensão.</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C) Clínica Odontológica</w:t>
      </w:r>
    </w:p>
    <w:p>
      <w:pPr>
        <w:pStyle w:val="Normal1"/>
        <w:spacing w:lineRule="auto" w:line="360"/>
        <w:ind w:firstLine="709"/>
        <w:jc w:val="both"/>
        <w:rPr>
          <w:color w:val="00000A"/>
        </w:rPr>
      </w:pPr>
      <w:r>
        <w:rPr>
          <w:color w:val="00000A"/>
        </w:rPr>
        <w:t>É composta por varias clínicas, divididas pelo grau de complexidade de atendimento, sendo baixo, médio ou alto, oferecendo tratamentos em diferentes especialidades: cirurgia, restauração, reabilitação, periodontia e endodontia para pacientes da cidade e da região circunvizinha, diariamente em dois turnos. Semestralmente, são realizados, em média 600 atendimentos distribuídos entre as clínicas, além do atendimento prestado fora da Unidade, em atividades extramurais computadas no Estágio Supervisionado, com dedicação integral dos estudantes no último período do curso.</w:t>
      </w:r>
    </w:p>
    <w:p>
      <w:pPr>
        <w:pStyle w:val="Normal1"/>
        <w:spacing w:lineRule="auto" w:line="360"/>
        <w:ind w:firstLine="709"/>
        <w:jc w:val="both"/>
        <w:rPr>
          <w:color w:val="00000A"/>
        </w:rPr>
      </w:pPr>
      <w:r>
        <w:rPr>
          <w:color w:val="00000A"/>
        </w:rPr>
        <w:t xml:space="preserve">• </w:t>
      </w:r>
      <w:r>
        <w:rPr>
          <w:color w:val="00000A"/>
        </w:rPr>
        <w:t>C.1 - Clínica Odontológica Odontopediátrica: atendimento exclusivo e especializado a crianças de 0 a 7 anos.</w:t>
      </w:r>
    </w:p>
    <w:p>
      <w:pPr>
        <w:pStyle w:val="Normal1"/>
        <w:spacing w:lineRule="auto" w:line="360"/>
        <w:ind w:firstLine="709"/>
        <w:jc w:val="both"/>
        <w:rPr>
          <w:color w:val="00000A"/>
        </w:rPr>
      </w:pPr>
      <w:r>
        <w:rPr>
          <w:color w:val="00000A"/>
        </w:rPr>
        <w:t xml:space="preserve">• </w:t>
      </w:r>
      <w:r>
        <w:rPr>
          <w:color w:val="00000A"/>
        </w:rPr>
        <w:t>C.2 - Clínica Odontológica de Plantão: constituída para atendimentos diários em caráter de urgência, direcionados aos pacientes com quadro clínico-patológico agudo, com dor e/ou infecção, envolvendo os dentes e estruturas adjacentes. Em média, são atendidos seis pacientes por dia, totalizando por volta de 350 procedimentos no semestre letivo.</w:t>
      </w:r>
    </w:p>
    <w:p>
      <w:pPr>
        <w:pStyle w:val="Normal1"/>
        <w:spacing w:lineRule="auto" w:line="360"/>
        <w:ind w:firstLine="709"/>
        <w:jc w:val="both"/>
        <w:rPr>
          <w:color w:val="00000A"/>
        </w:rPr>
      </w:pPr>
      <w:r>
        <w:rPr>
          <w:color w:val="00000A"/>
        </w:rPr>
        <w:t xml:space="preserve">• </w:t>
      </w:r>
      <w:r>
        <w:rPr>
          <w:color w:val="00000A"/>
        </w:rPr>
        <w:t>C.3 - Clínica Odontológica de Estomatologia: clínica especializada com atendimento ininterrupto para diagnóstico e tratamento de doenças que afetam a cavidade bucal, bem como no diagnóstico de doenças sistêmicas que se manifestam na boca, realização de biópsias para confirmação diagnóstica. Atua também na prevenção, diagnóstico precoce e controle do câncer bucal, por meio de orientações sobre hábitos de risco, realização do auto-exame de boca, monitoramento periódico dos portadores de desordens potencialmente malignas, além de acompanhamento dos pacientes durante e após o tratamento oncológico.</w:t>
      </w:r>
    </w:p>
    <w:p>
      <w:pPr>
        <w:pStyle w:val="Normal1"/>
        <w:spacing w:lineRule="auto" w:line="360"/>
        <w:ind w:firstLine="709"/>
        <w:jc w:val="both"/>
        <w:rPr>
          <w:color w:val="00000A"/>
        </w:rPr>
      </w:pPr>
      <w:r>
        <w:rPr>
          <w:color w:val="00000A"/>
        </w:rPr>
        <w:t xml:space="preserve">• </w:t>
      </w:r>
      <w:r>
        <w:rPr>
          <w:color w:val="00000A"/>
        </w:rPr>
        <w:t>C.5. - Clínica Odontológica de Traumatismo Dentário: nesta clínica, realiza-se o diagnóstico e o tratamento interdisciplinar do paciente com traumatismo dentário, objetivando minimizar os danos e recuperar os elementos dentários acometidos. Neste processo, além do tratamento de urgência, realiza-se também o tratamento eletivo reabilitador, sendo atendidos em média seis pacientes por clínica.</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D) Clínica Escola de Nutrição</w:t>
      </w:r>
    </w:p>
    <w:p>
      <w:pPr>
        <w:pStyle w:val="Normal1"/>
        <w:spacing w:lineRule="auto" w:line="360"/>
        <w:jc w:val="both"/>
        <w:rPr>
          <w:color w:val="00000A"/>
        </w:rPr>
      </w:pPr>
      <w:r>
        <w:rPr>
          <w:color w:val="00000A"/>
        </w:rPr>
        <w:t>A clínica-escola de Nutrição contribui diretamente para a formação acadêmico-profissional por meio de seus projetos e programas de extensão direcionados para o atendimento nutricional tanto de indivíduos portadores de patologias quanto de indivíduos saudáveis.</w:t>
      </w:r>
    </w:p>
    <w:p>
      <w:pPr>
        <w:pStyle w:val="Normal1"/>
        <w:spacing w:lineRule="auto" w:line="360"/>
        <w:ind w:firstLine="708"/>
        <w:jc w:val="both"/>
        <w:rPr>
          <w:color w:val="00000A"/>
        </w:rPr>
      </w:pPr>
      <w:r>
        <w:rPr>
          <w:color w:val="00000A"/>
        </w:rPr>
        <w:t>No contexto de patologias, destaca-se o Programa de Atendimento Nutricional – PROAN, o qual tem como objetivo prestar atendimento nutricional a pacientes portadores de patologias nas quais a alimentação tem importante papel, tanto na incidência como no seu controle, tais como: obesidade, dislipidemia, diabetes, hipertensão, doenças renais, doenças da tireoide dentre outras.</w:t>
      </w:r>
    </w:p>
    <w:p>
      <w:pPr>
        <w:pStyle w:val="Normal1"/>
        <w:spacing w:lineRule="auto" w:line="360"/>
        <w:jc w:val="both"/>
        <w:rPr>
          <w:color w:val="00000A"/>
        </w:rPr>
      </w:pPr>
      <w:r>
        <w:rPr>
          <w:color w:val="00000A"/>
        </w:rPr>
        <w:tab/>
        <w:t>A Clínica também presta atendimento a pacientes saudáveis, mas que necessitam de orientação nutricional para uma alimentação adequada e balanceada nos diferentes ciclos da vida: infância, adolescência, gestação, atletas, além de praticantes de exercício físico, dentre outros.</w:t>
      </w:r>
    </w:p>
    <w:p>
      <w:pPr>
        <w:pStyle w:val="Normal1"/>
        <w:spacing w:lineRule="auto" w:line="360"/>
        <w:jc w:val="both"/>
        <w:rPr>
          <w:color w:val="00000A"/>
        </w:rPr>
      </w:pPr>
      <w:r>
        <w:rPr>
          <w:color w:val="00000A"/>
        </w:rPr>
        <w:tab/>
      </w:r>
      <w:r>
        <w:rPr>
          <w:rFonts w:eastAsia="Times New Roman"/>
          <w:color w:val="00000A"/>
        </w:rPr>
        <w:t>O atendimento é gratuito e individualizado e</w:t>
      </w:r>
      <w:r>
        <w:rPr>
          <w:color w:val="00000A"/>
        </w:rPr>
        <w:t xml:space="preserve"> ocorre no período letivo da Universidade. É</w:t>
      </w:r>
      <w:r>
        <w:rPr>
          <w:rFonts w:eastAsia="Times New Roman"/>
          <w:color w:val="00000A"/>
        </w:rPr>
        <w:t xml:space="preserve"> realizado por discentes do curso de Nutrição, sob supervisão de nutricionista e, em alguns casos, de um professor orientador. Desta forma, os pacientes têm um atendimento de qualidade e os acadêmicos têm oportunidade de vivenciar a prática do nutricionista em ambiente ambulatorial.</w:t>
      </w:r>
    </w:p>
    <w:p>
      <w:pPr>
        <w:pStyle w:val="Normal1"/>
        <w:spacing w:lineRule="auto" w:line="360"/>
        <w:jc w:val="both"/>
        <w:rPr>
          <w:rFonts w:eastAsia="Times New Roman"/>
          <w:color w:val="00000A"/>
        </w:rPr>
      </w:pPr>
      <w:r>
        <w:rPr>
          <w:rFonts w:eastAsia="Times New Roman"/>
          <w:color w:val="00000A"/>
        </w:rPr>
      </w:r>
    </w:p>
    <w:p>
      <w:pPr>
        <w:pStyle w:val="Normal1"/>
        <w:spacing w:lineRule="auto" w:line="360"/>
        <w:jc w:val="both"/>
        <w:rPr>
          <w:color w:val="00000A"/>
        </w:rPr>
      </w:pPr>
      <w:r>
        <w:rPr>
          <w:rFonts w:eastAsia="Times New Roman"/>
          <w:color w:val="00000A"/>
        </w:rPr>
        <w:t>E) Laboratórios do Curso de Nutrição</w:t>
      </w:r>
    </w:p>
    <w:p>
      <w:pPr>
        <w:pStyle w:val="Normal1"/>
        <w:spacing w:lineRule="auto" w:line="360"/>
        <w:ind w:firstLine="709"/>
        <w:jc w:val="both"/>
        <w:rPr>
          <w:color w:val="00000A"/>
        </w:rPr>
      </w:pPr>
      <w:r>
        <w:rPr>
          <w:color w:val="00000A"/>
        </w:rPr>
        <w:t>Além da Clínica de Nutrição, o curso de Nutrição da UFVJM possui Laboratórios de Análise de Alimentos e Matérias-primas do Cerrado, onde são realizadas atividades práticas das unidades curriculares do curso de graduação em Nutrição, bem como da pós-graduação, além de outros cursos e de dar suporte ao desenvolvimento de pesquisas. São realizados estudos e pesquisas relacionados à química, físico-química e bioquímica de alimentos.</w:t>
      </w:r>
    </w:p>
    <w:p>
      <w:pPr>
        <w:pStyle w:val="Normal1"/>
        <w:spacing w:lineRule="auto" w:line="360"/>
        <w:ind w:firstLine="709"/>
        <w:jc w:val="both"/>
        <w:rPr>
          <w:color w:val="00000A"/>
        </w:rPr>
      </w:pPr>
      <w:r>
        <w:rPr>
          <w:color w:val="00000A"/>
        </w:rPr>
        <w:t xml:space="preserve">O laboratório de Higiene de Alimentos está equipado para realização de análises microbiológicas e métodos moleculares baseados em DNA. Permite o desenvolvimento de aulas práticas e de atividades de ensino da pós-graduação, bem como o desenvolvimento de projetos depesquisa envolvendo discentes de iniciação científica e trabalhos de conclusão de curso. Como atividade de extensão, o laboratório presta serviço de análise microbiológica sanitária para pequenos produtores e comerciantes. </w:t>
      </w:r>
    </w:p>
    <w:p>
      <w:pPr>
        <w:pStyle w:val="Normal1"/>
        <w:spacing w:lineRule="auto" w:line="360"/>
        <w:ind w:firstLine="709"/>
        <w:jc w:val="both"/>
        <w:rPr>
          <w:color w:val="00000A"/>
        </w:rPr>
      </w:pPr>
      <w:r>
        <w:rPr>
          <w:color w:val="00000A"/>
        </w:rPr>
        <w:t>O Laboratório de Análise Sensorial é utilizado para a realização de atividades do ensino de graduação, incluindo desenvolvimento de trabalhos de conclusão de curso, além de pesquisas de pós-graduação e atividades de extensão.</w:t>
      </w:r>
    </w:p>
    <w:p>
      <w:pPr>
        <w:pStyle w:val="Normal1"/>
        <w:spacing w:lineRule="auto" w:line="360"/>
        <w:ind w:firstLine="709"/>
        <w:jc w:val="both"/>
        <w:rPr>
          <w:color w:val="00000A"/>
        </w:rPr>
      </w:pPr>
      <w:r>
        <w:rPr>
          <w:color w:val="00000A"/>
        </w:rPr>
        <w:t>O Laboratório de Nutrição Experimental, devido às suas instalações físicas e equipamentos, oferece suporte para o desenvolvimento de pesquisas nas áreas de avaliação da qualidade nutricional, aplicabilidade de alimentos convencionais e não convencionais e toxicidade de alimentos, além do uso para aulas práticas.</w:t>
      </w:r>
    </w:p>
    <w:p>
      <w:pPr>
        <w:pStyle w:val="Normal1"/>
        <w:spacing w:lineRule="auto" w:line="360"/>
        <w:ind w:firstLine="709"/>
        <w:jc w:val="both"/>
        <w:rPr>
          <w:color w:val="00000A"/>
        </w:rPr>
      </w:pPr>
      <w:r>
        <w:rPr>
          <w:color w:val="00000A"/>
        </w:rPr>
        <w:t>O Laboratório de Estudos Metabólicos – LABMET é destinado a realização de estudos relacionados ao metabolismo humano, especificamente para investigações de fatores que contribuem para o desenvolvimento e/ou a terapêutica de doenças crônicas não transmissíveis. Outros estudos realizados relacionam dieta e condicionamento físico, tanto para a saúde, quanto para a prática esportiva. Agregando uma variedade de áreas internas, incluídos o espaço de composição corporal, espaço de gasto energético e refeitório e armazenagem, o laboratório recebe pessoas que o utilizam para o desenvolvimento de atividades de ensino de graduação e de pós-graduação, além de projetos de pesquisa.</w:t>
      </w:r>
    </w:p>
    <w:p>
      <w:pPr>
        <w:pStyle w:val="Normal1"/>
        <w:spacing w:lineRule="auto" w:line="360"/>
        <w:ind w:firstLine="709"/>
        <w:jc w:val="both"/>
        <w:rPr>
          <w:color w:val="00000A"/>
        </w:rPr>
      </w:pPr>
      <w:r>
        <w:rPr>
          <w:color w:val="00000A"/>
        </w:rPr>
        <w:t>O Laboratório de Avaliação Nutricional é utilizado para atividades de ensino, pesquisa e extensão relacionadas à avaliação do estado nutricional de indivíduos e populações. É equipado com aparelhos de padronização de técnicas antropométricas destinado a treinar discentes, bem como ao desenvolvimento de projetos de pesquisa e extensão. Nesse laboratório atuam estudantes de graduação e pós-graduação.</w:t>
      </w:r>
    </w:p>
    <w:p>
      <w:pPr>
        <w:pStyle w:val="Normal1"/>
        <w:spacing w:lineRule="auto" w:line="360"/>
        <w:ind w:firstLine="709"/>
        <w:jc w:val="both"/>
        <w:rPr>
          <w:color w:val="00000A"/>
        </w:rPr>
      </w:pPr>
      <w:r>
        <w:rPr>
          <w:color w:val="00000A"/>
        </w:rPr>
        <w:t>Os Laboratórios de Segurança Alimentar e Nutricional-LABSANS, de Epidemiologia, de Educação Alimentar e Nutricional-LEAN, bem como o de Consumo Alimentar são, assim como os demais, equipados para a realização de atividades de aulas práticas e para o desenvolvimento de projetos de pesquisa e de extensão. O LEAN também é utilizado para o desenvolvimento de cursos institucionais.</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F) Laboratório de Patologia Bucal</w:t>
      </w:r>
    </w:p>
    <w:p>
      <w:pPr>
        <w:pStyle w:val="Normal1"/>
        <w:spacing w:lineRule="auto" w:line="360"/>
        <w:ind w:firstLine="709"/>
        <w:jc w:val="both"/>
        <w:rPr>
          <w:color w:val="00000A"/>
        </w:rPr>
      </w:pPr>
      <w:r>
        <w:rPr>
          <w:color w:val="00000A"/>
        </w:rPr>
        <w:t>O Laboratório de Patologia Bucal, além de suporte acadêmico ao curso de Odontologia, realiza análises de amostras teciduais oriundas de biópsias de lesões bucais, visando emissão de laudo histopatológico.</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G) Farmácia Escola</w:t>
      </w:r>
    </w:p>
    <w:p>
      <w:pPr>
        <w:pStyle w:val="Normal1"/>
        <w:spacing w:lineRule="auto" w:line="360"/>
        <w:ind w:firstLine="709"/>
        <w:jc w:val="both"/>
        <w:rPr>
          <w:color w:val="00000A"/>
        </w:rPr>
      </w:pPr>
      <w:r>
        <w:rPr>
          <w:color w:val="00000A"/>
        </w:rPr>
        <w:t>Localizada no Campus JK da UFVJM, a Farmácia Escola é mais um espaço destinado à prática farmacêutica proporcionado pelo Departamento de Farmácia. Além de ampliar as oportunidades de estágio aos discentes, servirá como mais um estabelecimento de assistência à saúde na região. Na Farmácia Escola poderão ser manipulados medicamentos e cosméticos, além da prestação de assistência e atenção farmacêuticas. Essas atividades são importantes para a formação generalista do Farmacêutico. O projeto para funcionamento já se encontra aprovado pela Gerência de Infraestrutura Física da Vigilância Sanitária de Minas Gerais (GIEFVISA/MG).</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H) Laboratório Escola de Análises Clínicas</w:t>
      </w:r>
    </w:p>
    <w:p>
      <w:pPr>
        <w:pStyle w:val="Normal1"/>
        <w:spacing w:lineRule="auto" w:line="360"/>
        <w:ind w:firstLine="709"/>
        <w:jc w:val="both"/>
        <w:rPr>
          <w:color w:val="00000A"/>
        </w:rPr>
      </w:pPr>
      <w:r>
        <w:rPr>
          <w:color w:val="00000A"/>
        </w:rPr>
        <w:t>Localizado anexo ao Prédio do Curso de Farmácia, o Laboratório Escola de Análises Clínicas pretende oferecer uma variedade de exames laboratoriais de rotina e especializados em diagnóstico e acompanhamento da maioria das patologias prevalentes na nossa região. Nesse sentido, será também uma oportunidade para os acadêmicos do Curso de Farmácia realizarem estágio na área de análises clínicas, a qual é fundamental para a formação generalista. Para isso, o Laboratório compreenderá os seguintes setores: hematologia, bioquímica, parasitologia, microbiologia, uroanálise e imunologia.</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I) Laboratórios de Práticas e Técnicas Corporais do Curso de Educação Física</w:t>
      </w:r>
    </w:p>
    <w:p>
      <w:pPr>
        <w:pStyle w:val="Normal1"/>
        <w:spacing w:lineRule="auto" w:line="360"/>
        <w:ind w:firstLine="709"/>
        <w:jc w:val="both"/>
        <w:rPr>
          <w:color w:val="00000A"/>
        </w:rPr>
      </w:pPr>
      <w:r>
        <w:rPr>
          <w:color w:val="00000A"/>
        </w:rPr>
        <w:t>O prédio do curso de Educação Física é um espaço destinado ao ensino, à pesquisa e à extensão de práticas e técnicas corporais diversas. Possui um prédio central no qual se encontram diversos laboratórios de pesquisa e estudo de práticas corporais. Anexo ao prédio central encontra-se o complexo aquático e o laboratório de ginástica. Possui também campo de futebol e pista de atletismo, além de um ginásio poliesportivo coberto.</w:t>
      </w:r>
    </w:p>
    <w:p>
      <w:pPr>
        <w:pStyle w:val="Normal1"/>
        <w:spacing w:lineRule="auto" w:line="360"/>
        <w:jc w:val="both"/>
        <w:rPr>
          <w:color w:val="00000A"/>
        </w:rPr>
      </w:pPr>
      <w:r>
        <w:rPr>
          <w:color w:val="00000A"/>
        </w:rPr>
        <w:tab/>
        <w:t>Além de ampliar as oportunidades de estudo e prática de atividades corporais, o complexo serve também como um local de assistência à saúde e ao lazer na região, por meio da prestação de serviços, bem como da execução de projetos de pesquisa e extensão.</w:t>
      </w:r>
    </w:p>
    <w:p>
      <w:pPr>
        <w:pStyle w:val="Normal1"/>
        <w:spacing w:lineRule="auto" w:line="360"/>
        <w:ind w:firstLine="709"/>
        <w:jc w:val="both"/>
        <w:rPr>
          <w:color w:val="00000A"/>
        </w:rPr>
      </w:pPr>
      <w:r>
        <w:rPr>
          <w:rFonts w:eastAsia="Times New Roman"/>
          <w:color w:val="00000A"/>
          <w:shd w:fill="FFFFFF" w:val="clear"/>
          <w:lang w:eastAsia="pt-BR"/>
        </w:rPr>
        <w:t>O Laboratório de Musculação possui diversos equipamentos e materiais utilizados para treinamento de força e equipamentos para exercício aeróbico. É utilizado como espaço para aulas práticas dos cursos de Licenciatura e Bacharelado em Educação Física. Sua infraestrutura também é utilizada para a realização de práticas de ensino do curso de licenciatura e para projetos de extensão e pesquisa.</w:t>
      </w:r>
    </w:p>
    <w:p>
      <w:pPr>
        <w:pStyle w:val="Normal1"/>
        <w:spacing w:lineRule="auto" w:line="360"/>
        <w:ind w:firstLine="709"/>
        <w:jc w:val="both"/>
        <w:rPr>
          <w:color w:val="00000A"/>
        </w:rPr>
      </w:pPr>
      <w:r>
        <w:rPr>
          <w:rFonts w:eastAsia="Times New Roman"/>
          <w:color w:val="00000A"/>
          <w:shd w:fill="FFFFFF" w:val="clear"/>
          <w:lang w:eastAsia="pt-BR"/>
        </w:rPr>
        <w:t>Equipado com materiais e equipamentos, a infraestrutura do Laboratório de Avaliação Física oferece suporte para a realização de aulas práticas, projetos de extensão e de pesquisa dos cursos de Educação Física.</w:t>
      </w:r>
    </w:p>
    <w:p>
      <w:pPr>
        <w:pStyle w:val="Normal1"/>
        <w:spacing w:lineRule="auto" w:line="360"/>
        <w:ind w:firstLine="709"/>
        <w:jc w:val="both"/>
        <w:rPr>
          <w:color w:val="00000A"/>
        </w:rPr>
      </w:pPr>
      <w:r>
        <w:rPr>
          <w:rFonts w:eastAsia="Times New Roman"/>
          <w:color w:val="00000A"/>
          <w:shd w:fill="FFFFFF" w:val="clear"/>
          <w:lang w:eastAsia="pt-BR"/>
        </w:rPr>
        <w:t>No Laboratório de Atividades Lúdicas funciona o projeto Brinquedoteca, do Departamento de Educação Física. É um espaço de atividades integradas, onde também são realizadas aulas práticas, estando equipado com brinquedos, materiais e equipamentos lúdicos.</w:t>
      </w:r>
    </w:p>
    <w:p>
      <w:pPr>
        <w:pStyle w:val="Normal1"/>
        <w:spacing w:lineRule="auto" w:line="360"/>
        <w:ind w:firstLine="709"/>
        <w:jc w:val="both"/>
        <w:rPr>
          <w:color w:val="00000A"/>
        </w:rPr>
      </w:pPr>
      <w:r>
        <w:rPr>
          <w:rFonts w:eastAsia="Times New Roman"/>
          <w:color w:val="00000A"/>
          <w:shd w:fill="FFFFFF" w:val="clear"/>
          <w:lang w:eastAsia="pt-BR"/>
        </w:rPr>
        <w:t>O Ginásio de Ginástica possui diversos equipamentos e materiais de ginástica artística e geral, piso com tablado e revestimentos próprios, além de equipamento de som e arquibancada, constituindo um ambiente formativo para atividades integradas. A infraestrutura é utilizada para a realização de aulas práticas, práticas de ensino, projetos de extensão, eventos e apresentações.</w:t>
      </w:r>
    </w:p>
    <w:p>
      <w:pPr>
        <w:pStyle w:val="Normal1"/>
        <w:spacing w:lineRule="auto" w:line="360"/>
        <w:ind w:firstLine="709"/>
        <w:jc w:val="both"/>
        <w:rPr>
          <w:color w:val="00000A"/>
        </w:rPr>
      </w:pPr>
      <w:r>
        <w:rPr>
          <w:rFonts w:eastAsia="Times New Roman"/>
          <w:color w:val="00000A"/>
          <w:shd w:fill="FFFFFF" w:val="clear"/>
          <w:lang w:eastAsia="pt-BR"/>
        </w:rPr>
        <w:t>O Laboratório Experimental de Treinamento Físico é utilizado principalmente para o desenvolvimento de pesquisas de mestrado e doutorado, servindo também de suporte para aulas práticas da graduação e para iniciação científica. O ambiente é climatizado e conta com biotério, além de diversos equipamentos.</w:t>
      </w:r>
    </w:p>
    <w:p>
      <w:pPr>
        <w:pStyle w:val="Normal1"/>
        <w:spacing w:lineRule="auto" w:line="360"/>
        <w:ind w:firstLine="709"/>
        <w:jc w:val="both"/>
        <w:rPr>
          <w:color w:val="00000A"/>
        </w:rPr>
      </w:pPr>
      <w:r>
        <w:rPr>
          <w:rFonts w:eastAsia="Times New Roman"/>
          <w:color w:val="00000A"/>
          <w:shd w:fill="FFFFFF" w:val="clear"/>
          <w:lang w:eastAsia="pt-BR"/>
        </w:rPr>
        <w:t>O Laboratório de Fisiologia do Exercício sedia aulas práticas e teóricas do ensino de graduação, além de atividades de pesquisa, desenvolvidas com o suporte de equipamentos adequados para a investigação e formação em Fisiologia do Exercício.</w:t>
      </w:r>
    </w:p>
    <w:p>
      <w:pPr>
        <w:pStyle w:val="Normal1"/>
        <w:spacing w:lineRule="auto" w:line="360"/>
        <w:ind w:firstLine="709"/>
        <w:jc w:val="both"/>
        <w:rPr>
          <w:color w:val="00000A"/>
        </w:rPr>
      </w:pPr>
      <w:r>
        <w:rPr>
          <w:rFonts w:eastAsia="Times New Roman"/>
          <w:color w:val="00000A"/>
          <w:shd w:fill="FFFFFF" w:val="clear"/>
          <w:lang w:eastAsia="pt-BR"/>
        </w:rPr>
        <w:t>O Ginásio Poliesportivo possui quadra com piso de madeira, arquibancada e salas de apoio, além de vestiários. Estando equipado com materiais esportivos e paraolímpicos, a infraestrutura permite a realização de aulas práticas, projetos de extensão, eventos esportivos estudantis e externos com parceria, além do desenvolvimento de projetos da Divisão de Esportes e Lazer da PROACE.</w:t>
      </w:r>
    </w:p>
    <w:p>
      <w:pPr>
        <w:pStyle w:val="Normal1"/>
        <w:spacing w:lineRule="auto" w:line="360"/>
        <w:ind w:firstLine="709"/>
        <w:jc w:val="both"/>
        <w:rPr>
          <w:color w:val="00000A"/>
        </w:rPr>
      </w:pPr>
      <w:r>
        <w:rPr>
          <w:rFonts w:eastAsia="Times New Roman"/>
          <w:color w:val="00000A"/>
          <w:shd w:fill="FFFFFF" w:val="clear"/>
          <w:lang w:eastAsia="pt-BR"/>
        </w:rPr>
        <w:t>No complexo do Laboratório de Futebol de Campo e Atletismo, além do campo de futebol e da pista de atletismo, existe um prédio anexo que conta com alojamento, vestiários, posto médico e salas de apoio. A infraestrutura é utilizada para a realização de aulas práticas, projetos de extensão e eventos.</w:t>
      </w:r>
    </w:p>
    <w:p>
      <w:pPr>
        <w:pStyle w:val="Normal1"/>
        <w:spacing w:lineRule="auto" w:line="360"/>
        <w:ind w:firstLine="709"/>
        <w:jc w:val="both"/>
        <w:rPr>
          <w:color w:val="00000A"/>
        </w:rPr>
      </w:pPr>
      <w:r>
        <w:rPr>
          <w:rFonts w:eastAsia="Times New Roman"/>
          <w:color w:val="00000A"/>
          <w:shd w:fill="FFFFFF" w:val="clear"/>
          <w:lang w:eastAsia="pt-BR"/>
        </w:rPr>
        <w:t>O Laboratório de Atividades Aquáticas conta com piscina coberta, cuja construção foi iniciada e, após finalização das obras, será utilizada para aulas praticas, eventos e projetos de extensão.</w:t>
      </w:r>
    </w:p>
    <w:p>
      <w:pPr>
        <w:pStyle w:val="Normal1"/>
        <w:spacing w:lineRule="auto" w:line="360"/>
        <w:ind w:firstLine="709"/>
        <w:jc w:val="both"/>
        <w:rPr>
          <w:color w:val="00000A"/>
        </w:rPr>
      </w:pPr>
      <w:r>
        <w:rPr>
          <w:rFonts w:eastAsia="Times New Roman"/>
          <w:color w:val="00000A"/>
          <w:shd w:fill="FFFFFF" w:val="clear"/>
          <w:lang w:eastAsia="pt-BR"/>
        </w:rPr>
        <w:t>No campus I funciona a quadra de futsal e peteca, com arquibancada e salas anexas. O uso do espaço é coordenado pela Divisão de Esportes e Lazer da Pró-Reitoria de Assuntos Comunitários e Estudantis-PROACE, sendo permitido o uso pela comunidade externa, além da comunidade acadêmica. O uso prioritário é para atividades de ensino, pesquisa e extensão. O espaço também sedia eventos dos cursos de Educação Física da UFVJM.</w:t>
      </w:r>
    </w:p>
    <w:p>
      <w:pPr>
        <w:pStyle w:val="Normal1"/>
        <w:spacing w:lineRule="auto" w:line="360"/>
        <w:jc w:val="both"/>
        <w:rPr>
          <w:color w:val="00000A"/>
        </w:rPr>
      </w:pPr>
      <w:r>
        <w:rPr>
          <w:rFonts w:eastAsia="Times New Roman"/>
          <w:color w:val="00000A"/>
          <w:shd w:fill="FFFFFF" w:val="clear"/>
          <w:lang w:eastAsia="pt-BR"/>
        </w:rPr>
        <w:t>O curso conta ainda com o Laboratório de Práticas Pedagógicas para o PIBID Educação Física, Laboratório de Ginástica de Condicionamento Físico, Laboratório de Artes Guerreiras, Laboratório de Dança, Laboratório de Capoeira, Laboratório de Futebol de Campo e Atletismo.</w:t>
      </w:r>
    </w:p>
    <w:p>
      <w:pPr>
        <w:pStyle w:val="Normal1"/>
        <w:spacing w:lineRule="auto" w:line="360"/>
        <w:jc w:val="both"/>
        <w:rPr>
          <w:color w:val="00000A"/>
        </w:rPr>
      </w:pPr>
      <w:r>
        <w:rPr>
          <w:color w:val="00000A"/>
        </w:rPr>
      </w:r>
    </w:p>
    <w:p>
      <w:pPr>
        <w:pStyle w:val="Normal1"/>
        <w:spacing w:lineRule="auto" w:line="360"/>
        <w:jc w:val="both"/>
        <w:rPr>
          <w:color w:val="00000A"/>
        </w:rPr>
      </w:pPr>
      <w:r>
        <w:rPr>
          <w:rFonts w:eastAsia="Times New Roman"/>
          <w:color w:val="00000A"/>
          <w:lang w:eastAsia="pt-BR"/>
        </w:rPr>
        <w:t>J) Laboratórios de Informática</w:t>
      </w:r>
    </w:p>
    <w:p>
      <w:pPr>
        <w:pStyle w:val="Normal1"/>
        <w:spacing w:lineRule="auto" w:line="360"/>
        <w:ind w:firstLine="709"/>
        <w:jc w:val="both"/>
        <w:rPr>
          <w:color w:val="00000A"/>
        </w:rPr>
      </w:pPr>
      <w:r>
        <w:rPr>
          <w:rFonts w:eastAsia="Times New Roman"/>
          <w:color w:val="00000A"/>
          <w:shd w:fill="FFFFFF" w:val="clear"/>
          <w:lang w:eastAsia="pt-BR"/>
        </w:rPr>
        <w:t>Os Laboratórios de Informática do Departamento de Computação são destinados aos discentes do curso de Sistemas de Informação. Atualmente são: dois laboratórios contendo 29 máquinas Dell i7 e Dual Core, três laboratórios contendo 19 máquinas Dell I7 e Dual Core. Os laboratórios são usados como suporte às disciplinas de programação, banco de dados, redes de computadores, sistemas distribuídos e outras disciplinas do curso.</w:t>
      </w:r>
    </w:p>
    <w:p>
      <w:pPr>
        <w:pStyle w:val="Normal1"/>
        <w:spacing w:lineRule="auto" w:line="360"/>
        <w:ind w:firstLine="709"/>
        <w:jc w:val="both"/>
        <w:rPr>
          <w:color w:val="00000A"/>
        </w:rPr>
      </w:pPr>
      <w:r>
        <w:rPr>
          <w:rFonts w:eastAsia="Times New Roman"/>
          <w:color w:val="00000A"/>
          <w:shd w:fill="FFFFFF" w:val="clear"/>
          <w:lang w:eastAsia="pt-BR"/>
        </w:rPr>
        <w:t>Além dos laboratórios de informática, o departamento possui um laboratório de Hardware contendo máquinas Quad Core, equipamentos de eletrônica, máquinas de solda, multímetro, osciloscópio para dar suporte às disciplinas de Sistemas Computacionais, Organização e Arquitetura de Computadores e outras da área de Hardware.</w:t>
      </w:r>
    </w:p>
    <w:p>
      <w:pPr>
        <w:pStyle w:val="Normal1"/>
        <w:spacing w:lineRule="auto" w:line="360"/>
        <w:jc w:val="both"/>
        <w:rPr>
          <w:rFonts w:eastAsia="Times New Roman"/>
          <w:color w:val="00000A"/>
          <w:shd w:fill="FFFFFF" w:val="clear"/>
          <w:lang w:eastAsia="pt-BR"/>
        </w:rPr>
      </w:pPr>
      <w:r>
        <w:rPr>
          <w:rFonts w:eastAsia="Times New Roman"/>
          <w:color w:val="00000A"/>
          <w:shd w:fill="FFFFFF" w:val="clear"/>
          <w:lang w:eastAsia="pt-BR"/>
        </w:rPr>
      </w:r>
    </w:p>
    <w:p>
      <w:pPr>
        <w:pStyle w:val="Normal1"/>
        <w:spacing w:lineRule="auto" w:line="360"/>
        <w:jc w:val="both"/>
        <w:rPr>
          <w:color w:val="00000A"/>
        </w:rPr>
      </w:pPr>
      <w:r>
        <w:rPr>
          <w:rFonts w:eastAsia="Times New Roman"/>
          <w:color w:val="00000A"/>
          <w:shd w:fill="FFFFFF" w:val="clear"/>
          <w:lang w:eastAsia="pt-BR"/>
        </w:rPr>
        <w:t>K) Cervejaria Escola</w:t>
      </w:r>
    </w:p>
    <w:p>
      <w:pPr>
        <w:pStyle w:val="Normal1"/>
        <w:spacing w:lineRule="auto" w:line="360"/>
        <w:ind w:firstLine="709"/>
        <w:jc w:val="both"/>
        <w:rPr>
          <w:color w:val="00000A"/>
        </w:rPr>
      </w:pPr>
      <w:r>
        <w:rPr>
          <w:color w:val="00000A"/>
        </w:rPr>
        <w:t xml:space="preserve">A Cervejaria Escola busca celebrar a ciência e a arte de fazer cerveja, integrando o ensino, a pesquisa e a extensão. É um empreendimento inovador, que irá contribuir em muito para a formação dos futuros engenheiros da UFVJM e no desenvolvimento da tecnologia e da cultura cervejeira na cidade de Diamantina e região. </w:t>
      </w:r>
    </w:p>
    <w:p>
      <w:pPr>
        <w:pStyle w:val="Normal1"/>
        <w:spacing w:lineRule="auto" w:line="360"/>
        <w:ind w:firstLine="709"/>
        <w:jc w:val="both"/>
        <w:rPr>
          <w:color w:val="00000A"/>
        </w:rPr>
      </w:pPr>
      <w:r>
        <w:rPr>
          <w:color w:val="00000A"/>
        </w:rPr>
        <w:t xml:space="preserve">A Cervejaria Escola está instalada inicialmente no Laboratório de Bioquímica e Biotecnologia do Instituto de Ciência e Tecnologia – ICT, localizado no Bloco 2 do </w:t>
      </w:r>
      <w:r>
        <w:rPr>
          <w:i/>
          <w:color w:val="00000A"/>
        </w:rPr>
        <w:t>Campus</w:t>
      </w:r>
      <w:r>
        <w:rPr>
          <w:color w:val="00000A"/>
        </w:rPr>
        <w:t xml:space="preserve"> JK. A planta cervejeira tem capacidade produtiva de 120 litros/dia. </w:t>
      </w:r>
    </w:p>
    <w:p>
      <w:pPr>
        <w:pStyle w:val="Normal1"/>
        <w:spacing w:lineRule="auto" w:line="360"/>
        <w:ind w:firstLine="709"/>
        <w:jc w:val="both"/>
        <w:rPr>
          <w:color w:val="00000A"/>
        </w:rPr>
      </w:pPr>
      <w:r>
        <w:rPr>
          <w:color w:val="00000A"/>
        </w:rPr>
        <w:t xml:space="preserve">Atualmente, a Cervejaria Escola promove a realização de cursos, palestras e </w:t>
      </w:r>
      <w:r>
        <w:rPr>
          <w:i/>
          <w:color w:val="00000A"/>
        </w:rPr>
        <w:t>workshops</w:t>
      </w:r>
      <w:r>
        <w:rPr>
          <w:color w:val="00000A"/>
        </w:rPr>
        <w:t xml:space="preserve"> sobre tecnologia cervejeira, além de oferecer estágio supervisionado e bolsas aos discentes de diferentes cursos. Novas adequações do espaço estão previstas com o intuito de solicitar o registro do estabelecimento junto ao Ministério da Agricultura Pecuária e Abastecimento (MAPA).</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color w:val="00000A"/>
        </w:rPr>
        <w:t>L) Padaria escola</w:t>
      </w:r>
    </w:p>
    <w:p>
      <w:pPr>
        <w:pStyle w:val="Normal1"/>
        <w:spacing w:lineRule="auto" w:line="360"/>
        <w:ind w:firstLine="709"/>
        <w:jc w:val="both"/>
        <w:rPr>
          <w:rFonts w:ascii="Arial" w:hAnsi="Arial" w:cs="Arial"/>
        </w:rPr>
      </w:pPr>
      <w:r>
        <w:rPr>
          <w:rFonts w:cs="Arial"/>
        </w:rPr>
        <w:t xml:space="preserve">A Padaria Escola tem como alvo o aperfeiçoamento dos conhecimentos teórico-práticos dos estudantesdos cursos degraduação em Ciência e Tecnologia e Engenharia de Alimentos, bem como dos estudantes de Pós-Graduação em Ciência e Tecnologia de Alimentos do Instituto de Ciência e Tecnologia – ICT da UFVJM sobre a "Tecnologia e a Arte de Panificação e Confeitaria". </w:t>
      </w:r>
    </w:p>
    <w:p>
      <w:pPr>
        <w:pStyle w:val="Normal1"/>
        <w:spacing w:lineRule="auto" w:line="360"/>
        <w:ind w:firstLine="709"/>
        <w:jc w:val="both"/>
        <w:rPr>
          <w:rFonts w:ascii="Arial" w:hAnsi="Arial" w:cs="Arial"/>
        </w:rPr>
      </w:pPr>
      <w:r>
        <w:rPr>
          <w:rFonts w:cs="Arial"/>
        </w:rPr>
        <w:t xml:space="preserve">Além disso, poderão ser inseridos os discentes de outros cursos desta ou de outras IES, bem como a população em geral, os quais poderão ser capacitados para atuação fora da Universidade. Inclui-se ainda ao objetivo de formação, o relacionamento entre o Ensino, a Pesquisa e a Extensão. </w:t>
      </w:r>
    </w:p>
    <w:p>
      <w:pPr>
        <w:pStyle w:val="Normal1"/>
        <w:spacing w:lineRule="auto" w:line="360"/>
        <w:ind w:firstLine="709"/>
        <w:jc w:val="both"/>
        <w:rPr>
          <w:rFonts w:ascii="Arial" w:hAnsi="Arial" w:cs="Arial"/>
        </w:rPr>
      </w:pPr>
      <w:r>
        <w:rPr>
          <w:rFonts w:cs="Arial"/>
        </w:rPr>
        <w:t xml:space="preserve">A difusão dos conhecimentos será realizada por meio de eventos como Encontros, Seminários, </w:t>
      </w:r>
      <w:r>
        <w:rPr>
          <w:rFonts w:cs="Arial"/>
          <w:i/>
        </w:rPr>
        <w:t>Workshops</w:t>
      </w:r>
      <w:r>
        <w:rPr>
          <w:rFonts w:cs="Arial"/>
        </w:rPr>
        <w:t xml:space="preserve">, Cursos e Minicursos, possibilitando também aos discentes a realização de estágios voluntários, pesquisas de iniciação científica e estágios curriculares supervisionados, facilitando o acesso dos estudantes a atividades correlatas a área de conhecimento. </w:t>
      </w:r>
    </w:p>
    <w:p>
      <w:pPr>
        <w:pStyle w:val="Normal1"/>
        <w:spacing w:lineRule="auto" w:line="360"/>
        <w:ind w:firstLine="709"/>
        <w:jc w:val="both"/>
        <w:rPr>
          <w:rFonts w:ascii="Arial" w:hAnsi="Arial" w:cs="Arial"/>
        </w:rPr>
      </w:pPr>
      <w:r>
        <w:rPr>
          <w:rFonts w:cs="Arial"/>
        </w:rPr>
        <w:t>A execução das atividades será realizada com equipamentos primordiais ao funcionamento das ações propostas, os quais já foram adquiridos pelo ICT e aguardam local e condições apropriadas de instalação. Com a produção de pães e derivados, a padaria escola poderá fornecer tais produtos aos estudantes, àscomunidade interna e externa da UFVJM.</w:t>
      </w:r>
    </w:p>
    <w:p>
      <w:pPr>
        <w:pStyle w:val="Normal1"/>
        <w:spacing w:lineRule="auto" w:line="360"/>
        <w:ind w:firstLine="709"/>
        <w:jc w:val="both"/>
        <w:rPr>
          <w:color w:val="00000A"/>
        </w:rPr>
      </w:pPr>
      <w:r>
        <w:rPr>
          <w:color w:val="00000A"/>
        </w:rPr>
      </w:r>
    </w:p>
    <w:p>
      <w:pPr>
        <w:pStyle w:val="Normal1"/>
        <w:spacing w:lineRule="auto" w:line="360"/>
        <w:jc w:val="both"/>
        <w:rPr>
          <w:color w:val="00000A"/>
        </w:rPr>
      </w:pPr>
      <w:r>
        <w:rPr>
          <w:rFonts w:eastAsia="Times New Roman"/>
          <w:color w:val="00000A"/>
          <w:shd w:fill="FFFFFF" w:val="clear"/>
          <w:lang w:eastAsia="pt-BR"/>
        </w:rPr>
        <w:t>M) Laticínio Escola</w:t>
      </w:r>
    </w:p>
    <w:p>
      <w:pPr>
        <w:pStyle w:val="Normal1"/>
        <w:spacing w:lineRule="auto" w:line="360"/>
        <w:ind w:firstLine="709"/>
        <w:jc w:val="both"/>
        <w:rPr>
          <w:color w:val="00000A"/>
        </w:rPr>
      </w:pPr>
      <w:r>
        <w:rPr>
          <w:color w:val="00000A"/>
        </w:rPr>
        <w:t xml:space="preserve">A implementação do Laticínio Escola tem como objetivo o desenvolvimento da tecnologia de produção de derivados lácteos, com o intuito de aprimorar o conhecimento teórico-prático dos discentes dos cursos de graduação Bacharelado em Ciência e Tecnologia e Engenharia de Alimentos do ICT, assim como dos demais cursos da UFVJM, atendendo as atividades pedagógicas (Ensino), de Pesquisa e Extensão. </w:t>
      </w:r>
    </w:p>
    <w:p>
      <w:pPr>
        <w:pStyle w:val="Normal1"/>
        <w:spacing w:lineRule="auto" w:line="360"/>
        <w:ind w:firstLine="709"/>
        <w:jc w:val="both"/>
        <w:rPr>
          <w:color w:val="00000A"/>
        </w:rPr>
      </w:pPr>
      <w:r>
        <w:rPr>
          <w:color w:val="00000A"/>
        </w:rPr>
        <w:t>O Laticínio Escola está em fase de estudo para definição do local para instalação de equipamentos, os quais já foram adquiridos pelo ICT, podendo ser um espaço para o desenvolvimento de iniciação científica e estágio, além de promover a interação entre a universidade e comunidade mediante cursos, palestras e demais atividades de capacitação, além da produção de derivados do leite. Com a produção de tais derivados, o laticínio escola poderá disponibilizar tais produtos às comunidades interna e externa da UFVJM, conforme oferta de matéria-prima e demanda/procura.</w:t>
      </w:r>
    </w:p>
    <w:p>
      <w:pPr>
        <w:pStyle w:val="Normal1"/>
        <w:spacing w:lineRule="auto" w:line="360"/>
        <w:jc w:val="both"/>
        <w:rPr>
          <w:rFonts w:eastAsia="Times New Roman"/>
          <w:color w:val="00000A"/>
          <w:shd w:fill="FFFFFF" w:val="clear"/>
          <w:lang w:eastAsia="pt-BR"/>
        </w:rPr>
      </w:pPr>
      <w:r>
        <w:rPr>
          <w:rFonts w:eastAsia="Times New Roman"/>
          <w:color w:val="00000A"/>
          <w:shd w:fill="FFFFFF" w:val="clear"/>
          <w:lang w:eastAsia="pt-BR"/>
        </w:rPr>
      </w:r>
    </w:p>
    <w:p>
      <w:pPr>
        <w:pStyle w:val="Normal1"/>
        <w:spacing w:lineRule="auto" w:line="360"/>
        <w:jc w:val="both"/>
        <w:rPr>
          <w:color w:val="00000A"/>
        </w:rPr>
      </w:pPr>
      <w:r>
        <w:rPr>
          <w:rFonts w:eastAsia="Times New Roman"/>
          <w:color w:val="00000A"/>
          <w:shd w:fill="FFFFFF" w:val="clear"/>
          <w:lang w:eastAsia="pt-BR"/>
        </w:rPr>
        <w:t>N) Laboratórios de Enfermagem</w:t>
      </w:r>
    </w:p>
    <w:p>
      <w:pPr>
        <w:pStyle w:val="Normal1"/>
        <w:spacing w:lineRule="auto" w:line="360"/>
        <w:ind w:firstLine="709"/>
        <w:jc w:val="both"/>
        <w:rPr>
          <w:rFonts w:ascii="Arial" w:hAnsi="Arial" w:cs="Arial"/>
        </w:rPr>
      </w:pPr>
      <w:r>
        <w:rPr>
          <w:rFonts w:cs="Arial"/>
        </w:rPr>
        <w:t xml:space="preserve">Os Laboratórios de Enfermagem têm sido apontados, tradicionalmente, como sendo o setor utilizado pelas Escolas de Enfermagem no ensino prático de procedimentos que exigem habilidades psicomotoras e para o treinamento necessário à complementação da aprendizagem em situação simulada. </w:t>
      </w:r>
    </w:p>
    <w:p>
      <w:pPr>
        <w:pStyle w:val="Normal1"/>
        <w:spacing w:lineRule="auto" w:line="360"/>
        <w:ind w:firstLine="709"/>
        <w:jc w:val="both"/>
        <w:rPr>
          <w:rFonts w:ascii="Arial" w:hAnsi="Arial" w:cs="Arial"/>
        </w:rPr>
      </w:pPr>
      <w:r>
        <w:rPr>
          <w:rFonts w:cs="Arial"/>
        </w:rPr>
        <w:t>Nesta perspectiva, foram adquiridos materiais e equipamentos semelhantes aos existentes em unidades hospitalares, além de manequins e modelos anatômicos simuladores, bem como aparatos e dispositivos de suporte a prática na atenção básica.</w:t>
      </w:r>
    </w:p>
    <w:p>
      <w:pPr>
        <w:pStyle w:val="Normal1"/>
        <w:spacing w:lineRule="auto" w:line="360"/>
        <w:jc w:val="both"/>
        <w:rPr>
          <w:rFonts w:ascii="Arial" w:hAnsi="Arial" w:cs="Arial"/>
        </w:rPr>
      </w:pPr>
      <w:r>
        <w:rPr>
          <w:rFonts w:cs="Arial"/>
        </w:rPr>
        <w:tab/>
        <w:t>Uma vantagem do ensino de habilidades psicomotoras em laboratório, como forma de treinamento prévio ao estágio em campo clínico, é que nesse tipo de ensino-aprendizagem, o ambiente é estável, os equipamentos estão sempre presentes e o aluno pode praticar suas habilidades passo a passo, na perspectiva de reforçar a articulação da teoria com a prática de forma crítico-reflexiva.</w:t>
      </w:r>
    </w:p>
    <w:p>
      <w:pPr>
        <w:pStyle w:val="Normal1"/>
        <w:spacing w:lineRule="auto" w:line="360"/>
        <w:jc w:val="both"/>
        <w:rPr>
          <w:rFonts w:ascii="Arial" w:hAnsi="Arial" w:cs="Arial"/>
        </w:rPr>
      </w:pPr>
      <w:r>
        <w:rPr>
          <w:rFonts w:cs="Arial"/>
        </w:rPr>
        <w:tab/>
        <w:t>Nesse sentido, é comprovado que o treinamento prévio dos estudantes em laboratório de enfermagem diminui o número de erros e consequentemente o risco do cliente frente à falta de habilidade/destreza do aprendiz.</w:t>
      </w:r>
    </w:p>
    <w:p>
      <w:pPr>
        <w:pStyle w:val="Normal1"/>
        <w:spacing w:lineRule="auto" w:line="360"/>
        <w:jc w:val="both"/>
        <w:rPr>
          <w:rFonts w:ascii="Arial" w:hAnsi="Arial" w:cs="Arial"/>
        </w:rPr>
      </w:pPr>
      <w:r>
        <w:rPr>
          <w:rFonts w:cs="Arial"/>
        </w:rPr>
        <w:tab/>
        <w:t>A utilização desses laboratórios tem como objetivo:</w:t>
      </w:r>
    </w:p>
    <w:p>
      <w:pPr>
        <w:pStyle w:val="Normal1"/>
        <w:numPr>
          <w:ilvl w:val="0"/>
          <w:numId w:val="5"/>
        </w:numPr>
        <w:spacing w:lineRule="auto" w:line="360"/>
        <w:jc w:val="both"/>
        <w:rPr>
          <w:rFonts w:ascii="Arial" w:hAnsi="Arial" w:cs="Arial"/>
        </w:rPr>
      </w:pPr>
      <w:r>
        <w:rPr>
          <w:rFonts w:cs="Arial"/>
        </w:rPr>
        <w:t>Proporcionar aos docentes e discentes recursos didático-pedagógicos e espaço adequado para realização de atividades práticas de ensino, pesquisa e extensão, objetivando o desenvolvimento de competências técnico-científicas, ético-políticas e sócio-educativas.</w:t>
      </w:r>
    </w:p>
    <w:p>
      <w:pPr>
        <w:pStyle w:val="Normal1"/>
        <w:numPr>
          <w:ilvl w:val="0"/>
          <w:numId w:val="5"/>
        </w:numPr>
        <w:spacing w:lineRule="auto" w:line="360"/>
        <w:jc w:val="both"/>
        <w:rPr>
          <w:rFonts w:ascii="Arial" w:hAnsi="Arial" w:cs="Arial"/>
        </w:rPr>
      </w:pPr>
      <w:r>
        <w:rPr>
          <w:rFonts w:cs="Arial"/>
        </w:rPr>
        <w:t>Capacitar o acadêmico, com o intuito de desenvolver habilidades psicomotoras e cognitivas.</w:t>
      </w:r>
    </w:p>
    <w:p>
      <w:pPr>
        <w:pStyle w:val="Normal1"/>
        <w:numPr>
          <w:ilvl w:val="0"/>
          <w:numId w:val="5"/>
        </w:numPr>
        <w:spacing w:lineRule="auto" w:line="360"/>
        <w:jc w:val="both"/>
        <w:rPr>
          <w:rFonts w:ascii="Arial" w:hAnsi="Arial" w:cs="Arial"/>
        </w:rPr>
      </w:pPr>
      <w:r>
        <w:rPr>
          <w:rFonts w:cs="Arial"/>
        </w:rPr>
        <w:t>Oferecer ao acadêmico a possibilidade de rever técnicas e procedimentos (compreendendo os procedimentos inclusos nos módulos), assim como de adquirir maior habilidade em laboratório antes de executar técnicas junto ao cliente em campo de estágio.</w:t>
      </w:r>
    </w:p>
    <w:p>
      <w:pPr>
        <w:pStyle w:val="Normal1"/>
        <w:numPr>
          <w:ilvl w:val="0"/>
          <w:numId w:val="5"/>
        </w:numPr>
        <w:spacing w:lineRule="auto" w:line="360"/>
        <w:jc w:val="both"/>
        <w:rPr>
          <w:rFonts w:ascii="Arial" w:hAnsi="Arial" w:cs="Arial"/>
        </w:rPr>
      </w:pPr>
      <w:r>
        <w:rPr>
          <w:rFonts w:cs="Arial"/>
        </w:rPr>
        <w:t>Minimizar o impacto psicológico do acadêmico quando for executar técnicas invasivas (punções venosas, sondagens e outros procedimentos) pela primeira vez junto ao cliente, minimizando suas dificuldades iniciais.</w:t>
      </w:r>
    </w:p>
    <w:p>
      <w:pPr>
        <w:pStyle w:val="Normal1"/>
        <w:numPr>
          <w:ilvl w:val="0"/>
          <w:numId w:val="5"/>
        </w:numPr>
        <w:spacing w:lineRule="auto" w:line="360"/>
        <w:jc w:val="both"/>
        <w:rPr>
          <w:rFonts w:ascii="Arial" w:hAnsi="Arial" w:cs="Arial"/>
        </w:rPr>
      </w:pPr>
      <w:r>
        <w:rPr>
          <w:rFonts w:cs="Arial"/>
        </w:rPr>
        <w:t>Promover a integração dos acadêmicos dos diferentes semestres do Curso de Graduação em Enfermagem, num ambiente de troca de experiências e aprendizado prático.</w:t>
      </w:r>
    </w:p>
    <w:p>
      <w:pPr>
        <w:pStyle w:val="Normal1"/>
        <w:numPr>
          <w:ilvl w:val="0"/>
          <w:numId w:val="5"/>
        </w:numPr>
        <w:spacing w:lineRule="auto" w:line="360"/>
        <w:jc w:val="both"/>
        <w:rPr>
          <w:rFonts w:ascii="Arial" w:hAnsi="Arial" w:cs="Arial"/>
        </w:rPr>
      </w:pPr>
      <w:r>
        <w:rPr>
          <w:rFonts w:cs="Arial"/>
        </w:rPr>
        <w:t>Promover a integração dos acadêmicos do Curso de Enfermagem com os acadêmicos de diferentes Cursos da UFVJM, num ambiente de troca de experiências e aprendizado prático, na perspectiva multi, inter e transdisciplinar.</w:t>
      </w:r>
    </w:p>
    <w:p>
      <w:pPr>
        <w:pStyle w:val="Normal1"/>
        <w:numPr>
          <w:ilvl w:val="0"/>
          <w:numId w:val="5"/>
        </w:numPr>
        <w:spacing w:lineRule="auto" w:line="360"/>
        <w:jc w:val="both"/>
        <w:rPr>
          <w:rFonts w:ascii="Arial" w:hAnsi="Arial" w:cs="Arial"/>
        </w:rPr>
      </w:pPr>
      <w:r>
        <w:rPr>
          <w:rFonts w:cs="Arial"/>
        </w:rPr>
        <w:t>Proporcionar um ambiente adequado ao ensino prático a partir do uso de equipamentos modernos que simulam situações reais e reproduzem o ambiente hospitalar, bem como outros cenários de prática que se fizerem necessários.</w:t>
      </w:r>
    </w:p>
    <w:p>
      <w:pPr>
        <w:pStyle w:val="Normal1"/>
        <w:numPr>
          <w:ilvl w:val="0"/>
          <w:numId w:val="5"/>
        </w:numPr>
        <w:spacing w:lineRule="auto" w:line="360"/>
        <w:jc w:val="both"/>
        <w:rPr>
          <w:rFonts w:ascii="Arial" w:hAnsi="Arial" w:cs="Arial"/>
        </w:rPr>
      </w:pPr>
      <w:r>
        <w:rPr>
          <w:rFonts w:cs="Arial"/>
        </w:rPr>
        <w:t>Promover a integração entre ensino, pesquisa e extensão com os cenários de prática na perspectiva da educação em saúde.</w:t>
      </w:r>
    </w:p>
    <w:p>
      <w:pPr>
        <w:pStyle w:val="Normal1"/>
        <w:spacing w:lineRule="auto" w:line="360"/>
        <w:ind w:firstLine="709"/>
        <w:jc w:val="both"/>
        <w:rPr>
          <w:rFonts w:eastAsia="Times New Roman"/>
          <w:color w:val="00000A"/>
          <w:shd w:fill="FFFFFF" w:val="clear"/>
          <w:lang w:eastAsia="pt-BR"/>
        </w:rPr>
      </w:pPr>
      <w:r>
        <w:rPr>
          <w:rFonts w:eastAsia="Times New Roman"/>
          <w:color w:val="00000A"/>
          <w:shd w:fill="FFFFFF" w:val="clear"/>
          <w:lang w:eastAsia="pt-BR"/>
        </w:rPr>
      </w:r>
    </w:p>
    <w:p>
      <w:pPr>
        <w:pStyle w:val="Normal1"/>
        <w:spacing w:lineRule="auto" w:line="360"/>
        <w:ind w:firstLine="709"/>
        <w:jc w:val="both"/>
        <w:rPr>
          <w:color w:val="00000A"/>
        </w:rPr>
      </w:pPr>
      <w:r>
        <w:rPr>
          <w:rFonts w:eastAsia="Times New Roman"/>
          <w:color w:val="00000A"/>
          <w:shd w:fill="FFFFFF" w:val="clear"/>
          <w:lang w:eastAsia="pt-BR"/>
        </w:rPr>
        <w:t>Na UFVJM, o curso de Enfermagem conta com os Laboratórios de Práticas I, Laboratório de Práticas II/Simulação, Cabine de Simulação, Laboratório de Simulação, Laboratório de Saúde Mental, Laboratório de Saúde da Mulher, do Recém-nascido, da Criança e do Adolescente e Laboratório de Saúde Pública, onde são realizadas atividades de ensino, pesquisa e extensão, segundo as finalidades acima descritas e para o desenvolvimento de</w:t>
      </w:r>
      <w:r>
        <w:rPr>
          <w:color w:val="00000A"/>
        </w:rPr>
        <w:t>competências, habilidades e atitudes para a assistência de enfermagem.</w:t>
      </w:r>
    </w:p>
    <w:p>
      <w:pPr>
        <w:pStyle w:val="Normal1"/>
        <w:spacing w:lineRule="auto" w:line="360"/>
        <w:ind w:firstLine="709"/>
        <w:jc w:val="both"/>
        <w:rPr>
          <w:color w:val="0070C0"/>
        </w:rPr>
      </w:pPr>
      <w:r>
        <w:rPr>
          <w:color w:val="0070C0"/>
          <w:highlight w:val="cyan"/>
        </w:rPr>
        <w:t>(SOLICITANTE: DEPARTAMENTO DE ENFERMAGEM)</w:t>
      </w:r>
    </w:p>
    <w:p>
      <w:pPr>
        <w:pStyle w:val="Normal1"/>
        <w:numPr>
          <w:ilvl w:val="0"/>
          <w:numId w:val="59"/>
        </w:numPr>
        <w:spacing w:lineRule="auto" w:line="360"/>
        <w:jc w:val="both"/>
        <w:rPr>
          <w:color w:val="0070C0"/>
        </w:rPr>
      </w:pPr>
      <w:r>
        <w:rPr>
          <w:color w:val="0070C0"/>
        </w:rPr>
        <w:t>Clínica de enfermagem:</w:t>
      </w:r>
    </w:p>
    <w:p>
      <w:pPr>
        <w:pStyle w:val="Normal1"/>
        <w:spacing w:lineRule="auto" w:line="360"/>
        <w:ind w:firstLine="709"/>
        <w:jc w:val="both"/>
        <w:rPr>
          <w:color w:val="0070C0"/>
        </w:rPr>
      </w:pPr>
      <w:r>
        <w:rPr>
          <w:color w:val="0070C0"/>
        </w:rPr>
        <w:t>Espaço da mulher (adolescente, gestante, em idade fértil e idosa): Consultório multidisciplinar direcionado a gestante e RN: com recepção e recursos humanos para organização e agendamentos; Sala de grupos de gestantes, palestras e atividades de preparo para parto.</w:t>
      </w:r>
    </w:p>
    <w:p>
      <w:pPr>
        <w:pStyle w:val="Normal1"/>
        <w:spacing w:lineRule="auto" w:line="360"/>
        <w:ind w:firstLine="709"/>
        <w:jc w:val="both"/>
        <w:rPr>
          <w:color w:val="0070C0"/>
        </w:rPr>
      </w:pPr>
      <w:r>
        <w:rPr>
          <w:color w:val="0070C0"/>
        </w:rPr>
        <w:t>Consultório de Estomoterapia: Consultório próprio com espaço anexo com chuveiro para lavagem de membros, pias para lavagem de mãos e próximo a uma CME.</w:t>
      </w:r>
    </w:p>
    <w:p>
      <w:pPr>
        <w:pStyle w:val="Normal1"/>
        <w:spacing w:lineRule="auto" w:line="360"/>
        <w:ind w:firstLine="709"/>
        <w:jc w:val="both"/>
        <w:rPr>
          <w:color w:val="0070C0"/>
        </w:rPr>
      </w:pPr>
      <w:r>
        <w:rPr>
          <w:color w:val="0070C0"/>
        </w:rPr>
        <w:t xml:space="preserve">Centro de Referência em Saúde do Trabalhador - CEREST: Consultórios para atendimentos multidisciplinares com pia e banheiros. Recepção. Sala de grupos. Sala de informática. </w:t>
      </w:r>
    </w:p>
    <w:p>
      <w:pPr>
        <w:pStyle w:val="Normal1"/>
        <w:spacing w:lineRule="auto" w:line="360"/>
        <w:ind w:firstLine="709"/>
        <w:jc w:val="both"/>
        <w:rPr>
          <w:color w:val="0070C0"/>
        </w:rPr>
      </w:pPr>
      <w:r>
        <w:rPr>
          <w:color w:val="0070C0"/>
        </w:rPr>
        <w:t>Saúde Mental: Consultório multidisciplinar e espaço para grupos.</w:t>
      </w:r>
    </w:p>
    <w:p>
      <w:pPr>
        <w:pStyle w:val="Normal1"/>
        <w:spacing w:lineRule="auto" w:line="360"/>
        <w:ind w:firstLine="709"/>
        <w:jc w:val="both"/>
        <w:rPr>
          <w:color w:val="0070C0"/>
        </w:rPr>
      </w:pPr>
      <w:r>
        <w:rPr>
          <w:color w:val="0070C0"/>
        </w:rPr>
        <w:t>Ambulatório de Saúde Coletiva: Espaço de atuação multidisciplinar da universidade para continuidade de ações desenvolvidas nos estágios obrigatórios.</w:t>
      </w:r>
    </w:p>
    <w:p>
      <w:pPr>
        <w:pStyle w:val="Normal1"/>
        <w:spacing w:lineRule="auto" w:line="360"/>
        <w:ind w:firstLine="709"/>
        <w:jc w:val="both"/>
        <w:rPr>
          <w:color w:val="0070C0"/>
        </w:rPr>
      </w:pPr>
      <w:r>
        <w:rPr>
          <w:color w:val="0070C0"/>
        </w:rPr>
        <w:t>Sala de Vacina.</w:t>
      </w:r>
    </w:p>
    <w:p>
      <w:pPr>
        <w:pStyle w:val="Normal1"/>
        <w:spacing w:lineRule="auto" w:line="360"/>
        <w:jc w:val="both"/>
        <w:rPr>
          <w:rFonts w:eastAsia="Times New Roman"/>
          <w:color w:val="0070C0"/>
          <w:shd w:fill="FFFFFF" w:val="clear"/>
          <w:lang w:eastAsia="pt-BR"/>
        </w:rPr>
      </w:pPr>
      <w:r>
        <w:rPr>
          <w:rFonts w:eastAsia="Times New Roman"/>
          <w:color w:val="0070C0"/>
          <w:shd w:fill="FFFFFF" w:val="clear"/>
          <w:lang w:eastAsia="pt-BR"/>
        </w:rPr>
      </w:r>
    </w:p>
    <w:p>
      <w:pPr>
        <w:pStyle w:val="Normal1"/>
        <w:spacing w:lineRule="auto" w:line="360"/>
        <w:jc w:val="both"/>
        <w:rPr>
          <w:color w:val="00000A"/>
        </w:rPr>
      </w:pPr>
      <w:r>
        <w:rPr>
          <w:rFonts w:eastAsia="ArialMT"/>
          <w:b/>
          <w:bCs/>
          <w:color w:val="00000A"/>
        </w:rPr>
        <w:t>2.5. Política de Extensão</w:t>
      </w:r>
    </w:p>
    <w:p>
      <w:pPr>
        <w:pStyle w:val="Western"/>
        <w:spacing w:lineRule="auto" w:line="360" w:before="0" w:after="0"/>
        <w:ind w:firstLine="709"/>
        <w:jc w:val="both"/>
        <w:rPr>
          <w:rFonts w:ascii="Arial" w:hAnsi="Arial" w:cs="Arial"/>
          <w:color w:val="00000A"/>
        </w:rPr>
      </w:pPr>
      <w:r>
        <w:rPr>
          <w:rFonts w:cs="Arial" w:ascii="Arial" w:hAnsi="Arial"/>
          <w:color w:val="00000A"/>
        </w:rPr>
        <w:t>A Extensão Universitária é o processo educativo, cultural e científico que articula o Ensino e a Pesquisa de forma indissociável e viabiliza a relação transformadora entre a Universidade e a Sociedade.</w:t>
      </w:r>
    </w:p>
    <w:p>
      <w:pPr>
        <w:pStyle w:val="Normal1"/>
        <w:spacing w:lineRule="auto" w:line="360"/>
        <w:jc w:val="both"/>
        <w:rPr>
          <w:color w:val="00000A"/>
        </w:rPr>
      </w:pPr>
      <w:r>
        <w:rPr>
          <w:rFonts w:eastAsia="Times New Roman"/>
          <w:color w:val="00000A"/>
        </w:rPr>
        <w:tab/>
        <w:t>As políticas de Extensão da UFVJM visam ao fomento, registro, apoio, acompanhamento e execução das ações voltadas ao atendimento das demandas da Instituição e da Sociedade.</w:t>
      </w:r>
    </w:p>
    <w:p>
      <w:pPr>
        <w:pStyle w:val="Western"/>
        <w:spacing w:lineRule="auto" w:line="360" w:before="0" w:after="0"/>
        <w:ind w:firstLine="709"/>
        <w:jc w:val="both"/>
        <w:rPr>
          <w:rFonts w:ascii="Arial" w:hAnsi="Arial" w:cs="Arial"/>
          <w:color w:val="00000A"/>
        </w:rPr>
      </w:pPr>
      <w:r>
        <w:rPr>
          <w:rFonts w:cs="Arial" w:ascii="Arial" w:hAnsi="Arial"/>
          <w:color w:val="00000A"/>
        </w:rPr>
        <w:t>A intervenção social promovida pela instituição parte do princípio, segundo a Política de Extensão da UFVJM, de que a extensão universitária deve:</w:t>
      </w:r>
    </w:p>
    <w:p>
      <w:pPr>
        <w:pStyle w:val="Western"/>
        <w:spacing w:lineRule="atLeast" w:line="100" w:before="0" w:after="0"/>
        <w:ind w:left="2268" w:hanging="0"/>
        <w:jc w:val="both"/>
        <w:rPr>
          <w:rFonts w:ascii="Arial" w:hAnsi="Arial" w:cs="Arial"/>
          <w:color w:val="00000A"/>
        </w:rPr>
      </w:pPr>
      <w:r>
        <w:rPr>
          <w:rFonts w:cs="Arial" w:ascii="Arial" w:hAnsi="Arial"/>
          <w:color w:val="00000A"/>
        </w:rPr>
      </w:r>
    </w:p>
    <w:p>
      <w:pPr>
        <w:pStyle w:val="Western"/>
        <w:spacing w:lineRule="auto" w:line="240" w:before="0" w:after="0"/>
        <w:ind w:left="2268" w:hanging="0"/>
        <w:jc w:val="both"/>
        <w:rPr>
          <w:rFonts w:ascii="Arial" w:hAnsi="Arial" w:cs="Arial"/>
          <w:color w:val="00000A"/>
        </w:rPr>
      </w:pPr>
      <w:r>
        <w:rPr>
          <w:rFonts w:cs="Arial" w:ascii="Arial" w:hAnsi="Arial"/>
          <w:color w:val="00000A"/>
        </w:rPr>
        <w:t>desenvolver relações entre a universidade e outros setores da sociedade marcada pelo diálogo e pela interação com a comunidade, privilegiando metodologias que busquem a participação de todos os agentes envolvidos e a troca de saberes, superando o discurso da hegemonia acadêmica. Escutar, compreender, discutir, buscar inovações, criar novos conhecimentos são possibilidades e oportunidades para todos que participam do processo, sem visões hierárquicas de conhecimentos, mas compreendo-o como diferentes e, ou, distintos. A extensão possibilita a produção de conhecimento resultado do confronto com a realidade e a participação comunitária, ocorrendo troca entre o saber sistematizado e acadêmico e o saber popular.” (Política de Extensão da UFVJM, 2009, p. 5).</w:t>
      </w:r>
    </w:p>
    <w:p>
      <w:pPr>
        <w:pStyle w:val="Western"/>
        <w:spacing w:lineRule="auto" w:line="240" w:before="0" w:after="0"/>
        <w:ind w:left="2268" w:hanging="0"/>
        <w:jc w:val="both"/>
        <w:rPr>
          <w:rFonts w:ascii="Arial" w:hAnsi="Arial" w:cs="Arial"/>
          <w:color w:val="00000A"/>
        </w:rPr>
      </w:pPr>
      <w:r>
        <w:rPr>
          <w:rFonts w:cs="Arial" w:ascii="Arial" w:hAnsi="Arial"/>
          <w:color w:val="00000A"/>
        </w:rPr>
      </w:r>
    </w:p>
    <w:p>
      <w:pPr>
        <w:pStyle w:val="Western"/>
        <w:spacing w:lineRule="auto" w:line="360" w:before="0" w:after="0"/>
        <w:ind w:firstLine="708"/>
        <w:jc w:val="both"/>
        <w:rPr>
          <w:rFonts w:ascii="Arial" w:hAnsi="Arial" w:cs="Arial"/>
          <w:color w:val="00000A"/>
        </w:rPr>
      </w:pPr>
      <w:r>
        <w:rPr>
          <w:rFonts w:cs="Arial" w:ascii="Arial" w:hAnsi="Arial"/>
          <w:color w:val="00000A"/>
        </w:rPr>
        <w:t xml:space="preserve">Diante do exposto, a intervenção social da UFVJM não se dá como via de mão única, como se a instituição fosse a detentora de saberes, tendo a comunidade como mera repositória de seus conhecimentos. Ao contrário, a comunidade é entendida como uma fonte na qual a Instituição também alimenta os seus saberes e práticas, adequando-os e aperfeiçoando-os, numa espécie de interação em que ambas se beneficiam, aprendem e se desenvolvem. </w:t>
      </w:r>
    </w:p>
    <w:p>
      <w:pPr>
        <w:pStyle w:val="Western"/>
        <w:spacing w:lineRule="atLeast" w:line="100" w:before="0" w:after="0"/>
        <w:ind w:left="2268" w:hanging="0"/>
        <w:jc w:val="both"/>
        <w:rPr>
          <w:rFonts w:ascii="Arial" w:hAnsi="Arial" w:cs="Arial"/>
          <w:i/>
          <w:i/>
          <w:color w:val="00000A"/>
        </w:rPr>
      </w:pPr>
      <w:r>
        <w:rPr>
          <w:rFonts w:cs="Arial" w:ascii="Arial" w:hAnsi="Arial"/>
          <w:i/>
          <w:color w:val="00000A"/>
        </w:rPr>
      </w:r>
    </w:p>
    <w:p>
      <w:pPr>
        <w:pStyle w:val="Western"/>
        <w:spacing w:lineRule="atLeast" w:line="100" w:before="0" w:after="0"/>
        <w:ind w:left="2268" w:hanging="0"/>
        <w:jc w:val="both"/>
        <w:rPr>
          <w:rFonts w:ascii="Arial" w:hAnsi="Arial" w:cs="Arial"/>
          <w:color w:val="00000A"/>
        </w:rPr>
      </w:pPr>
      <w:r>
        <w:rPr>
          <w:rFonts w:cs="Arial" w:ascii="Arial" w:hAnsi="Arial"/>
          <w:color w:val="00000A"/>
        </w:rPr>
        <w:t xml:space="preserve">A Extensão é uma via de mão-dupla, com trânsito assegurado à comunidade acadêmica, que encontrará, na sociedade, a oportunidade de elaboração da praxis de um conhecimento acadêmico. No retorno à Universidade, docentes e discentes trarão um aprendizado que, submetido à reflexão teórica, será acrescido àquele conhecimento. Esse fluxo, que estabelece a troca de saberes sistematizados, acadêmico e popular, terá como consequências a produção do conhecimento resultante do confronto com a realidade brasileira e regional, a democratização do conhecimento acadêmico e a participação efetiva da comunidade na atuação da Universidade. Além de instrumentalizadora deste processo dialético de teoria/ prática, a Extensão é um trabalho interdisciplinar que favorece a visão integrada do social. (FORPROEX, 1987 apud FORPROEX, 2012). </w:t>
      </w:r>
    </w:p>
    <w:p>
      <w:pPr>
        <w:pStyle w:val="Western"/>
        <w:spacing w:lineRule="atLeast" w:line="100" w:before="0" w:after="0"/>
        <w:ind w:left="2268" w:hanging="0"/>
        <w:jc w:val="both"/>
        <w:rPr>
          <w:rFonts w:ascii="Arial" w:hAnsi="Arial" w:cs="Arial"/>
          <w:i/>
          <w:i/>
          <w:color w:val="00000A"/>
        </w:rPr>
      </w:pPr>
      <w:r>
        <w:rPr>
          <w:rFonts w:cs="Arial" w:ascii="Arial" w:hAnsi="Arial"/>
          <w:i/>
          <w:color w:val="00000A"/>
        </w:rPr>
      </w:r>
    </w:p>
    <w:p>
      <w:pPr>
        <w:pStyle w:val="Western"/>
        <w:spacing w:lineRule="auto" w:line="360" w:before="0" w:after="0"/>
        <w:ind w:firstLine="709"/>
        <w:jc w:val="both"/>
        <w:rPr>
          <w:rFonts w:ascii="Arial" w:hAnsi="Arial" w:cs="Arial"/>
          <w:color w:val="00000A"/>
        </w:rPr>
      </w:pPr>
      <w:r>
        <w:rPr>
          <w:rFonts w:cs="Arial" w:ascii="Arial" w:hAnsi="Arial"/>
          <w:color w:val="00000A"/>
        </w:rPr>
        <w:t xml:space="preserve">A Extensão universitária na UFVJM efetiva-se por meio de Programas, Projetos, Cursos, Eventos e Prestação de Serviços. </w:t>
      </w:r>
    </w:p>
    <w:p>
      <w:pPr>
        <w:pStyle w:val="Western"/>
        <w:spacing w:lineRule="auto" w:line="360" w:before="0" w:after="0"/>
        <w:ind w:firstLine="709"/>
        <w:jc w:val="both"/>
        <w:rPr>
          <w:rFonts w:ascii="Arial" w:hAnsi="Arial" w:cs="Arial"/>
          <w:color w:val="00000A"/>
        </w:rPr>
      </w:pPr>
      <w:r>
        <w:rPr>
          <w:rFonts w:cs="Arial" w:ascii="Arial" w:hAnsi="Arial"/>
          <w:color w:val="00000A"/>
        </w:rPr>
        <w:t xml:space="preserve">A Pró-Reitoria de Extensão e Cultura (Proexc) da UFVJM destaca-se pela criação inovadora e pioneira de um edital especificamente voltado para a Cultura e a Arte, o Procarte (Programa Institucional de Bolsas de Apoio à Cultura e à Arte), adequando-se à sua realidade e visando atender à grande riqueza cultural e artística dos vales em que se encontra inserida. Por meio de suas ações e de seus editais, a Proexc persegue os seguintes objetivos: </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I- Estimular a participação da comunidade universitária em ações de extensão; especialmente, a participação de discentes;</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II- Possibilitar a aprendizagem em métodos e processos de extensão universitária;</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III- Incentivar a integração entre docentes, discentes e técnicos-administrativos na realização de ações de extensão universitária;</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 xml:space="preserve">IV- Promover a interação da comunidade universitária com a comunidade externa na resolução de problemas, superação de dificuldades, intercâmbio de conhecimentos, saberes e serviços. </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V- Contribuir com a formação dos discentes a partir da interação com a realidade da população brasileira – em especial, a das regiões de abrangência da UFVJM;</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 xml:space="preserve">VI- Qualificar os discentes para os desafios enfrentados no mundo atual em relação à atuação profissional e ao exercício da cidadania. </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VII- Estimular, por meio do fazer cultural-artístico, a formação de público e a valorização dos espaços dedicados à cultura e às artes;</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IX- Proporcionar e incentivar o respeito às diversas manifestações culturais e artísticas em suas múltiplas funções, identificando-as, relacionando-as e compreendendo-as em seu contexto histórico;</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 xml:space="preserve">X- Estreitar relações com agentes culturais e artistas das regiões de abrangência da UFVJM e instituições públicas ou privadas com reconhecida experiência em artes; </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t>XI- Promover o registro, a valorização e a divulgação de expressões culturais das regiões de abrangência da UFVJM.</w:t>
      </w:r>
    </w:p>
    <w:p>
      <w:pPr>
        <w:pStyle w:val="Western"/>
        <w:shd w:val="clear" w:color="auto" w:fill="FFFFFF"/>
        <w:spacing w:lineRule="auto" w:line="360" w:before="0" w:after="0"/>
        <w:ind w:left="709" w:hanging="0"/>
        <w:jc w:val="both"/>
        <w:rPr>
          <w:rFonts w:ascii="Arial" w:hAnsi="Arial" w:cs="Arial"/>
          <w:color w:val="00000A"/>
        </w:rPr>
      </w:pPr>
      <w:r>
        <w:rPr>
          <w:rFonts w:cs="Arial" w:ascii="Arial" w:hAnsi="Arial"/>
          <w:color w:val="00000A"/>
        </w:rPr>
      </w:r>
    </w:p>
    <w:p>
      <w:pPr>
        <w:pStyle w:val="Western"/>
        <w:shd w:val="clear" w:color="auto" w:fill="FFFFFF"/>
        <w:spacing w:lineRule="auto" w:line="360" w:before="0" w:after="0"/>
        <w:ind w:firstLine="708"/>
        <w:jc w:val="both"/>
        <w:rPr>
          <w:rFonts w:ascii="Arial" w:hAnsi="Arial" w:cs="Arial"/>
          <w:color w:val="00000A"/>
        </w:rPr>
      </w:pPr>
      <w:r>
        <w:rPr>
          <w:rFonts w:cs="Arial" w:ascii="Arial" w:hAnsi="Arial"/>
          <w:color w:val="00000A"/>
        </w:rPr>
        <w:t>Os impactos da formação dos estudantes envolvidos no processo extensionista são inúmeros e podem ser elencados. Dentre os maiores benefícios apontados podem ser citados: o amadurecimento da responsabilidade social, o respeito e a criação de laços mais estreitos com a comunidade, formação ampla, interdisciplinar e pautada na realidade, acesso e difusão de manifestações culturais e artísticas, interação entre Educação Superior e Básica, descoberta de talentos e troca de saberes.</w:t>
      </w:r>
    </w:p>
    <w:p>
      <w:pPr>
        <w:pStyle w:val="Western"/>
        <w:shd w:val="clear" w:color="auto" w:fill="FFFFFF"/>
        <w:spacing w:lineRule="auto" w:line="360" w:before="0" w:after="0"/>
        <w:ind w:firstLine="708"/>
        <w:jc w:val="both"/>
        <w:rPr>
          <w:rFonts w:ascii="Arial" w:hAnsi="Arial" w:cs="Arial"/>
          <w:color w:val="00000A"/>
        </w:rPr>
      </w:pPr>
      <w:r>
        <w:rPr>
          <w:rFonts w:cs="Arial" w:ascii="Arial" w:hAnsi="Arial"/>
          <w:color w:val="00000A"/>
        </w:rPr>
      </w:r>
    </w:p>
    <w:p>
      <w:pPr>
        <w:pStyle w:val="Normal1"/>
        <w:spacing w:lineRule="auto" w:line="360"/>
        <w:rPr>
          <w:color w:val="00000A"/>
        </w:rPr>
      </w:pPr>
      <w:r>
        <w:rPr>
          <w:rFonts w:eastAsia="Times New Roman"/>
          <w:b/>
          <w:color w:val="00000A"/>
        </w:rPr>
        <w:t>2.5.1 Creditação curricular da extensão na UFVJM</w:t>
      </w:r>
    </w:p>
    <w:p>
      <w:pPr>
        <w:pStyle w:val="Normal1"/>
        <w:spacing w:lineRule="auto" w:line="360"/>
        <w:jc w:val="both"/>
        <w:rPr>
          <w:color w:val="00000A"/>
        </w:rPr>
      </w:pPr>
      <w:r>
        <w:rPr>
          <w:rFonts w:eastAsia="Times New Roman"/>
          <w:color w:val="00000A"/>
        </w:rPr>
        <w:tab/>
        <w:t>A discussão sobre a creditação curricular da extensão tem ultrapassado os anos e retornou como tema imprescindível para as Instituições Federais de Ensino Superior (IFEs), devido à necessidade de implementação da Meta 12.7 do Plano Nacional de Educação (PNE 2014-2024). Trata-se da necessidade que preconiza o PNE para que ao menos 10% do total de créditos curriculares exigidos para a graduação sejam preenchidos por ações de extensão universitária, com prioridade para áreas de maior relevância social,</w:t>
      </w:r>
      <w:r>
        <w:rPr>
          <w:rFonts w:eastAsia="Times New Roman"/>
          <w:color w:val="00000A"/>
          <w:lang w:eastAsia="pt-BR"/>
        </w:rPr>
        <w:t>de acordo com a Política de Extensão da UFVJM.</w:t>
      </w:r>
    </w:p>
    <w:p>
      <w:pPr>
        <w:pStyle w:val="Normal1"/>
        <w:spacing w:lineRule="auto" w:line="360"/>
        <w:jc w:val="both"/>
        <w:rPr>
          <w:color w:val="00000A"/>
        </w:rPr>
      </w:pPr>
      <w:r>
        <w:rPr>
          <w:rFonts w:eastAsia="Times New Roman"/>
          <w:color w:val="00000A"/>
        </w:rPr>
        <w:tab/>
        <w:t xml:space="preserve">A consolidação do conceito de extensão universitária é ainda um tema em questão, que deve ser tratado com a maior relevância. Mesmo que a UFVJM possua uma sólida Política de Extensão, que acompanha a Política Nacional de Extensão, um trabalho de debate com os cursos de graduação da UFVJM precisa ser realizado, no sentido de aprofundar a disseminação do conceito de extensão expresso na legislação vigente e de aproximar os cursos dos processos de gestão da extensão na instituição. Esse debate é importante para garantir a qualidade dos créditos curriculares da extensão universitária na UFVJM, de modo a construir um processo de creditação pela atuação conjunta da Prograd, da Proexc e das coordenações de curso. A indissociabilidade ensino-pesquisa-extensão deve estar presente também de forma concatenada aos cursos de pós-graduação. </w:t>
      </w:r>
    </w:p>
    <w:p>
      <w:pPr>
        <w:pStyle w:val="Normal1"/>
        <w:spacing w:lineRule="auto" w:line="360"/>
        <w:jc w:val="both"/>
        <w:rPr>
          <w:color w:val="00000A"/>
        </w:rPr>
      </w:pPr>
      <w:r>
        <w:rPr>
          <w:rFonts w:eastAsia="Times New Roman"/>
          <w:color w:val="00000A"/>
        </w:rPr>
        <w:tab/>
        <w:t xml:space="preserve">Nessa perspectiva, a qualidade da extensão universitária se manifesta por meio das suas cinco diretrizes – interação dialógica, interprofissionalidade, interdisciplinaridade, impacto na formação do estudante e impacto na transformação social, indissociabilidade ensino-pesquisa-extensão, especialmente no contexto da flexibilização curricular por meio da extensão. </w:t>
      </w:r>
    </w:p>
    <w:p>
      <w:pPr>
        <w:pStyle w:val="Normal1"/>
        <w:spacing w:lineRule="auto" w:line="360"/>
        <w:ind w:firstLine="709"/>
        <w:jc w:val="both"/>
        <w:rPr>
          <w:color w:val="00000A"/>
        </w:rPr>
      </w:pPr>
      <w:r>
        <w:rPr>
          <w:rFonts w:eastAsia="Times New Roman"/>
          <w:color w:val="00000A"/>
        </w:rPr>
        <w:t>O fortalecimento das ações de extensão depende de medidas institucionais de gestão, incluindo a criação de um sistema de registro e acompanhamento das ações, integrados ao sistema de gestão acadêmica da instituição.</w:t>
      </w:r>
    </w:p>
    <w:p>
      <w:pPr>
        <w:pStyle w:val="Normal1"/>
        <w:spacing w:lineRule="auto" w:line="360"/>
        <w:ind w:firstLine="709"/>
        <w:jc w:val="both"/>
        <w:rPr>
          <w:color w:val="00000A"/>
        </w:rPr>
      </w:pPr>
      <w:r>
        <w:rPr>
          <w:color w:val="00000A"/>
        </w:rPr>
      </w:r>
    </w:p>
    <w:p>
      <w:pPr>
        <w:pStyle w:val="Normal1"/>
        <w:rPr>
          <w:color w:val="00000A"/>
        </w:rPr>
      </w:pPr>
      <w:r>
        <w:rPr>
          <w:rFonts w:eastAsia="Times New Roman"/>
          <w:b/>
          <w:bCs/>
          <w:color w:val="00000A"/>
        </w:rPr>
        <w:t>2.6. Política de Pesquisa</w:t>
      </w:r>
    </w:p>
    <w:p>
      <w:pPr>
        <w:pStyle w:val="NormalWeb"/>
        <w:shd w:val="clear" w:color="auto" w:fill="FFFFFF"/>
        <w:spacing w:lineRule="auto" w:line="360" w:before="0" w:after="0"/>
        <w:ind w:firstLine="709"/>
        <w:jc w:val="both"/>
        <w:rPr>
          <w:rFonts w:ascii="Arial" w:hAnsi="Arial" w:cs="Arial"/>
        </w:rPr>
      </w:pPr>
      <w:r>
        <w:rPr>
          <w:rFonts w:cs="Arial"/>
        </w:rPr>
        <w:t xml:space="preserve">A pesquisa acadêmica é o processo pelo qual a universidade potencializa seu papel de vanguarda no desenvolvimento do pensamento e das condições para melhoria da qualidade da vida. Sua produção deve se dar em consonância com a sustentabilidade social, ambiental e econômica, resguardada sua função pública. Na medida em que se articula com a extensão, a pesquisa contribui para o desenvolvimento humano, aproximando aqueles que produzem daqueles a quem o conhecimento produzido deve atender direta ou indiretamente. </w:t>
      </w:r>
    </w:p>
    <w:p>
      <w:pPr>
        <w:pStyle w:val="NormalWeb"/>
        <w:shd w:val="clear" w:color="auto" w:fill="FFFFFF"/>
        <w:spacing w:lineRule="auto" w:line="360" w:before="0" w:after="0"/>
        <w:ind w:firstLine="709"/>
        <w:jc w:val="both"/>
        <w:rPr>
          <w:rFonts w:ascii="Arial" w:hAnsi="Arial" w:cs="Arial"/>
        </w:rPr>
      </w:pPr>
      <w:r>
        <w:rPr>
          <w:rFonts w:cs="Arial"/>
        </w:rPr>
        <w:t>Na medida em que se articula com o ensino, a pesquisa contribui para seu aprimoramento constante.Nesse processo dialógico, são formados profissionais contemporâneos e atualizados nas diversas áreas do conhecimento. É, portanto, na articulação indissociável entre ensino, pesquisa e extensão que a universidade consolida sua função pública motriz do desenvolvimento social, ambiental, cultural e econômico. Para além de seus produtos, a pesquisa é caminho fundamental na trajetória formativa da comunidade estudantil, sendo por meio dela aprimorado o senso crítico, a criatividade e a autonomia do pensamento, entre outros valores fundamentais à formação integral do estudante universitário.</w:t>
      </w:r>
    </w:p>
    <w:p>
      <w:pPr>
        <w:pStyle w:val="NormalWeb"/>
        <w:shd w:val="clear" w:color="auto" w:fill="FFFFFF"/>
        <w:spacing w:lineRule="auto" w:line="360" w:before="0" w:after="0"/>
        <w:ind w:firstLine="709"/>
        <w:jc w:val="both"/>
        <w:rPr>
          <w:rFonts w:ascii="Arial" w:hAnsi="Arial" w:cs="Arial"/>
        </w:rPr>
      </w:pPr>
      <w:r>
        <w:rPr>
          <w:rFonts w:cs="Arial"/>
        </w:rPr>
        <w:t>As políticas de Pesquisa e Pós-Graduação da UFVJM visam ao fomento, registro, apoio, acompanhamento e execução das ações voltadas ao atendimento das demandas da Instituição e da Sociedade. Nesse âmbito, a consecução dos objetivos se dá com especial e fundamental compromisso das ações de pesquisa com o público e os desafios da região da abrangência territorial da UFVJM, a saber: os Vales do Jequitinhonha edo Mucuri, bem como as regiões Norte e Noroeste de Minas Gerais, sem prejuízo da contribuição com o desenvolvimento da Ciência e Tecnologia Nacionais. Entre os desafios que emanam do território de abrangência da UFVJM estão: a necessidade de melhoria dos índices de desenvolvimento humano de muitos municípios; a imensa demanda pela formação inicial e continuada de professores; o desenvolvimento de tecnologias, social e economicamente acessíveis para convivência com as condições ambientais da região; a premente necessidade de documentação e aproximação da universidade com os diversos aspectos da cultura e dos modos de vida tradicionais, entre outros objetivos que aparecerão na medida em que a UFVJM, através da pesquisa, conhecer seu território.</w:t>
      </w:r>
    </w:p>
    <w:p>
      <w:pPr>
        <w:pStyle w:val="NormalWeb"/>
        <w:shd w:val="clear" w:color="auto" w:fill="FFFFFF"/>
        <w:spacing w:lineRule="auto" w:line="360" w:before="0" w:after="0"/>
        <w:ind w:firstLine="709"/>
        <w:jc w:val="both"/>
        <w:rPr>
          <w:rFonts w:ascii="Arial" w:hAnsi="Arial" w:cs="Arial"/>
        </w:rPr>
      </w:pPr>
      <w:r>
        <w:rPr>
          <w:rFonts w:cs="Arial"/>
        </w:rPr>
        <w:t xml:space="preserve">A Pró-Reitoria de Pesquisa e Pós-Graduação(PRPPG), tendo em vista a consolidação da UFVJM como instituição de pesquisa articulada de forma indissociávelao ensino e à extensão, assume papel de articuladora e fomentadora da pesquisa na UFVJM, na medida em que viabiliza o acesso da comunidade universitária aos recursos oferecidos pelas diversas agências de fomento (CNPq, CAPES, FAPEMIG, FINEP, entre outros).Nesse contexto, a PRPPG-UFVJM coordena, orienta e normatiza o processo de seleção, registro e encaminhamento de projetos de pesquisa e pós-graduação e atividades relacionadas. </w:t>
      </w:r>
    </w:p>
    <w:p>
      <w:pPr>
        <w:pStyle w:val="NormalWeb"/>
        <w:shd w:val="clear" w:color="auto" w:fill="FFFFFF"/>
        <w:spacing w:lineRule="auto" w:line="360" w:before="0" w:after="0"/>
        <w:ind w:firstLine="709"/>
        <w:jc w:val="both"/>
        <w:rPr>
          <w:rFonts w:ascii="Arial" w:hAnsi="Arial" w:cs="Arial"/>
        </w:rPr>
      </w:pPr>
      <w:r>
        <w:rPr>
          <w:rFonts w:cs="Arial"/>
        </w:rPr>
        <w:t>O desenvolvimento dos projetos registrados junto a PRPPG visa ao acúmulo e intercâmbio de saberes que devem posteriormente ser socializados com as comunidades científicas das diversas especialidades, nos seus mais amplos níveis de abrangência, contribuindo sempre que possívelpara a internacionalização da UFVJM e sua consolidação como instituição produtora de conhecimento no mundo. Espera-se ainda que o conhecimento produzido nas diversas áreas, sejam elas básicas ou aplicadas, possa subsidiar heuristicamente o desenvolvimento tecnológico e social e a criação e aprimoramento de políticas públicas, especialmente aquelas voltadas ao contexto territorial de abrangência da UFVJM.</w:t>
      </w:r>
    </w:p>
    <w:p>
      <w:pPr>
        <w:pStyle w:val="NormalWeb"/>
        <w:shd w:val="clear" w:color="auto" w:fill="FFFFFF"/>
        <w:spacing w:lineRule="auto" w:line="360" w:before="0" w:after="0"/>
        <w:ind w:firstLine="709"/>
        <w:jc w:val="both"/>
        <w:rPr>
          <w:rFonts w:ascii="Arial" w:hAnsi="Arial" w:cs="Arial"/>
        </w:rPr>
      </w:pPr>
      <w:r>
        <w:rPr>
          <w:rFonts w:cs="Arial"/>
        </w:rPr>
        <w:t>Com vistas ao aprimoramento da pesquisa acadêmica e sua aproximação da missão institucional explicitada nos seus atos de criação, a política de pesquisa da UFVJM compromete-se com:</w:t>
      </w:r>
    </w:p>
    <w:p>
      <w:pPr>
        <w:pStyle w:val="NormalWeb"/>
        <w:numPr>
          <w:ilvl w:val="0"/>
          <w:numId w:val="6"/>
        </w:numPr>
        <w:shd w:val="clear" w:color="auto" w:fill="FFFFFF"/>
        <w:spacing w:lineRule="auto" w:line="360"/>
        <w:jc w:val="both"/>
        <w:rPr>
          <w:rFonts w:ascii="Arial" w:hAnsi="Arial" w:cs="Arial"/>
        </w:rPr>
      </w:pPr>
      <w:r>
        <w:rPr>
          <w:rFonts w:cs="Arial"/>
        </w:rPr>
        <w:t>O desenvolvimento acadêmico integral de seus estudantes pesquisadores em formação;</w:t>
      </w:r>
    </w:p>
    <w:p>
      <w:pPr>
        <w:pStyle w:val="NormalWeb"/>
        <w:numPr>
          <w:ilvl w:val="0"/>
          <w:numId w:val="6"/>
        </w:numPr>
        <w:shd w:val="clear" w:color="auto" w:fill="FFFFFF"/>
        <w:spacing w:lineRule="auto" w:line="360"/>
        <w:jc w:val="both"/>
        <w:rPr>
          <w:rFonts w:ascii="Arial" w:hAnsi="Arial" w:cs="Arial"/>
        </w:rPr>
      </w:pPr>
      <w:r>
        <w:rPr>
          <w:rFonts w:cs="Arial"/>
        </w:rPr>
        <w:t>O incentivo à autonomia do pensamento e à reflexão crítica acerca dos resultados encontrados nos processos investigativos;</w:t>
      </w:r>
    </w:p>
    <w:p>
      <w:pPr>
        <w:pStyle w:val="NormalWeb"/>
        <w:numPr>
          <w:ilvl w:val="0"/>
          <w:numId w:val="6"/>
        </w:numPr>
        <w:shd w:val="clear" w:color="auto" w:fill="FFFFFF"/>
        <w:spacing w:lineRule="auto" w:line="360"/>
        <w:jc w:val="both"/>
        <w:rPr>
          <w:rFonts w:ascii="Arial" w:hAnsi="Arial" w:cs="Arial"/>
        </w:rPr>
      </w:pPr>
      <w:r>
        <w:rPr>
          <w:rFonts w:cs="Arial"/>
        </w:rPr>
        <w:t>A integração com os demais níveis de ensino com vistas à melhoria da formação inicial e continuada de professores da educação básica;</w:t>
      </w:r>
    </w:p>
    <w:p>
      <w:pPr>
        <w:pStyle w:val="NormalWeb"/>
        <w:numPr>
          <w:ilvl w:val="0"/>
          <w:numId w:val="6"/>
        </w:numPr>
        <w:shd w:val="clear" w:color="auto" w:fill="FFFFFF"/>
        <w:spacing w:lineRule="auto" w:line="360"/>
        <w:jc w:val="both"/>
        <w:rPr>
          <w:rFonts w:ascii="Arial" w:hAnsi="Arial" w:cs="Arial"/>
        </w:rPr>
      </w:pPr>
      <w:r>
        <w:rPr>
          <w:rFonts w:cs="Arial"/>
        </w:rPr>
        <w:t>A articulação indissociável entre o processo produtivo da pesquisa, o ensino e a extensão;</w:t>
      </w:r>
    </w:p>
    <w:p>
      <w:pPr>
        <w:pStyle w:val="NormalWeb"/>
        <w:numPr>
          <w:ilvl w:val="0"/>
          <w:numId w:val="6"/>
        </w:numPr>
        <w:shd w:val="clear" w:color="auto" w:fill="FFFFFF"/>
        <w:spacing w:lineRule="auto" w:line="360"/>
        <w:jc w:val="both"/>
        <w:rPr>
          <w:rFonts w:ascii="Arial" w:hAnsi="Arial" w:cs="Arial"/>
        </w:rPr>
      </w:pPr>
      <w:r>
        <w:rPr>
          <w:rFonts w:cs="Arial"/>
        </w:rPr>
        <w:t>A consolidação e ampliação dos grupos de pesquisa organizados;</w:t>
      </w:r>
    </w:p>
    <w:p>
      <w:pPr>
        <w:pStyle w:val="NormalWeb"/>
        <w:numPr>
          <w:ilvl w:val="0"/>
          <w:numId w:val="6"/>
        </w:numPr>
        <w:shd w:val="clear" w:color="auto" w:fill="FFFFFF"/>
        <w:spacing w:lineRule="auto" w:line="360"/>
        <w:ind w:left="714" w:hanging="357"/>
        <w:jc w:val="both"/>
        <w:rPr>
          <w:rFonts w:ascii="Arial" w:hAnsi="Arial" w:cs="Arial"/>
        </w:rPr>
      </w:pPr>
      <w:r>
        <w:rPr>
          <w:rFonts w:cs="Arial"/>
        </w:rPr>
        <w:t>A cooperação científica com vistas à melhoria da qualidade da ciência produzida e a superação de desafios;</w:t>
      </w:r>
    </w:p>
    <w:p>
      <w:pPr>
        <w:pStyle w:val="NormalWeb"/>
        <w:numPr>
          <w:ilvl w:val="0"/>
          <w:numId w:val="6"/>
        </w:numPr>
        <w:shd w:val="clear" w:color="auto" w:fill="FFFFFF"/>
        <w:spacing w:lineRule="auto" w:line="360"/>
        <w:ind w:left="714" w:hanging="357"/>
        <w:jc w:val="both"/>
        <w:rPr>
          <w:rFonts w:ascii="Arial" w:hAnsi="Arial" w:cs="Arial"/>
        </w:rPr>
      </w:pPr>
      <w:r>
        <w:rPr>
          <w:rFonts w:cs="Arial"/>
        </w:rPr>
        <w:t>O incentivo à publicação dos resultados obtidos e sua proteção quando pertinente;</w:t>
      </w:r>
    </w:p>
    <w:p>
      <w:pPr>
        <w:pStyle w:val="NormalWeb"/>
        <w:numPr>
          <w:ilvl w:val="0"/>
          <w:numId w:val="6"/>
        </w:numPr>
        <w:shd w:val="clear" w:color="auto" w:fill="FFFFFF"/>
        <w:spacing w:lineRule="auto" w:line="360"/>
        <w:jc w:val="both"/>
        <w:rPr>
          <w:rFonts w:ascii="Arial" w:hAnsi="Arial" w:cs="Arial"/>
        </w:rPr>
      </w:pPr>
      <w:r>
        <w:rPr>
          <w:rFonts w:cs="Arial"/>
        </w:rPr>
        <w:t>A ampliação da infraestrutura física de pesquisa, bem como sua manutenção e aprimoramento;</w:t>
      </w:r>
    </w:p>
    <w:p>
      <w:pPr>
        <w:pStyle w:val="NormalWeb"/>
        <w:numPr>
          <w:ilvl w:val="0"/>
          <w:numId w:val="6"/>
        </w:numPr>
        <w:shd w:val="clear" w:color="auto" w:fill="FFFFFF"/>
        <w:spacing w:lineRule="auto" w:line="360"/>
        <w:jc w:val="both"/>
        <w:rPr>
          <w:rFonts w:ascii="Arial" w:hAnsi="Arial" w:cs="Arial"/>
        </w:rPr>
      </w:pPr>
      <w:r>
        <w:rPr>
          <w:rFonts w:cs="Arial"/>
        </w:rPr>
        <w:t>A divulgação científica interna e externa à universidade;</w:t>
      </w:r>
    </w:p>
    <w:p>
      <w:pPr>
        <w:pStyle w:val="NormalWeb"/>
        <w:numPr>
          <w:ilvl w:val="0"/>
          <w:numId w:val="6"/>
        </w:numPr>
        <w:shd w:val="clear" w:color="auto" w:fill="FFFFFF"/>
        <w:spacing w:lineRule="auto" w:line="360"/>
        <w:jc w:val="both"/>
        <w:rPr>
          <w:rFonts w:ascii="Arial" w:hAnsi="Arial" w:cs="Arial"/>
        </w:rPr>
      </w:pPr>
      <w:r>
        <w:rPr>
          <w:rFonts w:cs="Arial"/>
        </w:rPr>
        <w:t>A função pública, laica, gratuita e de qualidade das universidades federais brasileiras.</w:t>
      </w:r>
    </w:p>
    <w:p>
      <w:pPr>
        <w:pStyle w:val="NormalWeb"/>
        <w:shd w:val="clear" w:color="auto" w:fill="FFFFFF"/>
        <w:spacing w:lineRule="auto" w:line="360" w:before="0" w:after="0"/>
        <w:ind w:firstLine="709"/>
        <w:jc w:val="both"/>
        <w:rPr>
          <w:rFonts w:ascii="Arial" w:hAnsi="Arial" w:cs="Arial"/>
        </w:rPr>
      </w:pPr>
      <w:r>
        <w:rPr>
          <w:rFonts w:cs="Arial"/>
        </w:rPr>
        <w:t>Os programas de bolsas de pesquisa oferecidos a estudantes de Ensino Médio na UFVJM buscam:</w:t>
      </w:r>
    </w:p>
    <w:p>
      <w:pPr>
        <w:pStyle w:val="NormalWeb"/>
        <w:shd w:val="clear" w:color="auto" w:fill="FFFFFF"/>
        <w:spacing w:lineRule="auto" w:line="360" w:before="0" w:after="0"/>
        <w:ind w:left="714" w:hanging="357"/>
        <w:jc w:val="both"/>
        <w:rPr>
          <w:rFonts w:ascii="Arial" w:hAnsi="Arial" w:cs="Arial"/>
        </w:rPr>
      </w:pPr>
      <w:r>
        <w:rPr>
          <w:rFonts w:cs="Arial"/>
        </w:rPr>
        <w:t>A) Despertar o pensamento científico e incentivar talentos potenciais entre estudantes do ensino médio da rede pública e escolas privadas, mediante sua participação em atividades de pesquisa científica ou tecnológica, orientadas por pesquisador qualificado da UFVJM;</w:t>
      </w:r>
    </w:p>
    <w:p>
      <w:pPr>
        <w:pStyle w:val="NormalWeb"/>
        <w:shd w:val="clear" w:color="auto" w:fill="FFFFFF"/>
        <w:spacing w:lineRule="auto" w:line="360" w:before="0" w:after="0"/>
        <w:ind w:left="714" w:hanging="357"/>
        <w:jc w:val="both"/>
        <w:rPr>
          <w:rFonts w:ascii="Arial" w:hAnsi="Arial" w:cs="Arial"/>
        </w:rPr>
      </w:pPr>
      <w:r>
        <w:rPr>
          <w:rFonts w:cs="Arial"/>
        </w:rPr>
        <w:t>B) Facilitar a aprendizagem de técnicas e métodos de pesquisa, bem como estimular a criatividade e o desenvolvimento do pensamento científico crítico;</w:t>
      </w:r>
    </w:p>
    <w:p>
      <w:pPr>
        <w:pStyle w:val="NormalWeb"/>
        <w:shd w:val="clear" w:color="auto" w:fill="FFFFFF"/>
        <w:spacing w:lineRule="auto" w:line="360" w:before="0" w:after="0"/>
        <w:ind w:left="714" w:hanging="357"/>
        <w:jc w:val="both"/>
        <w:rPr>
          <w:rFonts w:ascii="Arial" w:hAnsi="Arial" w:cs="Arial"/>
        </w:rPr>
      </w:pPr>
      <w:r>
        <w:rPr>
          <w:rFonts w:cs="Arial"/>
        </w:rPr>
        <w:t>C) Identificar potenciais estudantes com perfil para pesquisa científica e tecnológica;</w:t>
      </w:r>
    </w:p>
    <w:p>
      <w:pPr>
        <w:pStyle w:val="NormalWeb"/>
        <w:shd w:val="clear" w:color="auto" w:fill="FFFFFF"/>
        <w:spacing w:lineRule="auto" w:line="360" w:before="0" w:after="0"/>
        <w:ind w:left="714" w:hanging="357"/>
        <w:jc w:val="both"/>
        <w:rPr>
          <w:rFonts w:ascii="Arial" w:hAnsi="Arial" w:cs="Arial"/>
        </w:rPr>
      </w:pPr>
      <w:r>
        <w:rPr>
          <w:rFonts w:cs="Arial"/>
        </w:rPr>
        <w:t>D) Estimular o processo de disseminação das informações e conhecimentos científicos e tecnológicos básicos contribuindo para formação de uma cultura científica;</w:t>
      </w:r>
    </w:p>
    <w:p>
      <w:pPr>
        <w:pStyle w:val="NormalWeb"/>
        <w:shd w:val="clear" w:color="auto" w:fill="FFFFFF"/>
        <w:spacing w:lineRule="auto" w:line="360" w:before="0" w:after="0"/>
        <w:ind w:left="714" w:hanging="357"/>
        <w:jc w:val="both"/>
        <w:rPr>
          <w:rFonts w:ascii="Arial" w:hAnsi="Arial" w:cs="Arial"/>
        </w:rPr>
      </w:pPr>
      <w:r>
        <w:rPr>
          <w:rFonts w:cs="Arial"/>
        </w:rPr>
        <w:t xml:space="preserve">E) Qualificar e estimular estudantes para a inserção na graduação; </w:t>
      </w:r>
    </w:p>
    <w:p>
      <w:pPr>
        <w:pStyle w:val="NormalWeb"/>
        <w:shd w:val="clear" w:color="auto" w:fill="FFFFFF"/>
        <w:spacing w:lineRule="auto" w:line="360" w:before="0" w:after="0"/>
        <w:ind w:left="714" w:hanging="357"/>
        <w:jc w:val="both"/>
        <w:rPr>
          <w:rFonts w:ascii="Arial" w:hAnsi="Arial" w:cs="Arial"/>
        </w:rPr>
      </w:pPr>
      <w:r>
        <w:rPr>
          <w:rFonts w:cs="Arial"/>
        </w:rPr>
        <w:t>F) Possibilitar maior interação entre a pesquisa no ensino médio com a da graduação, bem como contribuir para melhoria das condições de ensino no nível básico.</w:t>
      </w:r>
    </w:p>
    <w:p>
      <w:pPr>
        <w:pStyle w:val="NormalWeb"/>
        <w:shd w:val="clear" w:color="auto" w:fill="FFFFFF"/>
        <w:spacing w:lineRule="auto" w:line="360" w:before="0" w:after="0"/>
        <w:ind w:firstLine="709"/>
        <w:jc w:val="both"/>
        <w:rPr>
          <w:rFonts w:ascii="Arial" w:hAnsi="Arial" w:cs="Arial"/>
        </w:rPr>
      </w:pPr>
      <w:r>
        <w:rPr>
          <w:rFonts w:cs="Arial"/>
        </w:rPr>
        <w:t>Na UFVJM, o incentivo à pesquisa estudantil para estudantes do Ensino Médio ocorre por meio do Programa Institucional de Bolsa de Iniciação Científica Junior – PIBIC-Jr e do Programa Institucional de Bolsa de Iniciação Científica Ensino Médio – PIBIC-EM, aos quais se candidatam estudantes interessados em desenvolver pesquisa junto a um pesquisador da UFVJM. Além dos projetos contemplados com bolsas de Iniciação Científica, é facultado aos estudantes cujos projetos foram aprovados, mas não contemplados com fomento, a possibilidade de desenvolvimento da pesquisa proposta na condição de voluntário.</w:t>
      </w:r>
    </w:p>
    <w:p>
      <w:pPr>
        <w:pStyle w:val="NormalWeb"/>
        <w:shd w:val="clear" w:color="auto" w:fill="FFFFFF"/>
        <w:spacing w:lineRule="auto" w:line="360" w:before="0" w:after="0"/>
        <w:ind w:firstLine="709"/>
        <w:jc w:val="both"/>
        <w:rPr>
          <w:rFonts w:ascii="Arial" w:hAnsi="Arial" w:cs="Arial"/>
        </w:rPr>
      </w:pPr>
      <w:r>
        <w:rPr>
          <w:rFonts w:cs="Arial"/>
        </w:rPr>
        <w:t>Os programas de bolsas de pesquisa oferecidos a estudantes de graduação da UFVJM buscam:</w:t>
      </w:r>
    </w:p>
    <w:p>
      <w:pPr>
        <w:pStyle w:val="NormalWeb"/>
        <w:shd w:val="clear" w:color="auto" w:fill="FFFFFF"/>
        <w:spacing w:lineRule="auto" w:line="360" w:before="0" w:after="0"/>
        <w:ind w:left="720" w:hanging="0"/>
        <w:jc w:val="both"/>
        <w:rPr>
          <w:rFonts w:ascii="Arial" w:hAnsi="Arial" w:cs="Arial"/>
        </w:rPr>
      </w:pPr>
      <w:r>
        <w:rPr>
          <w:rFonts w:cs="Arial"/>
        </w:rPr>
        <w:t>A) Possibilitar maior interação entre a graduação e a pós-graduação;</w:t>
      </w:r>
    </w:p>
    <w:p>
      <w:pPr>
        <w:pStyle w:val="NormalWeb"/>
        <w:shd w:val="clear" w:color="auto" w:fill="FFFFFF"/>
        <w:spacing w:lineRule="auto" w:line="360" w:before="0" w:after="0"/>
        <w:ind w:left="720" w:hanging="0"/>
        <w:jc w:val="both"/>
        <w:rPr>
          <w:rFonts w:ascii="Arial" w:hAnsi="Arial" w:cs="Arial"/>
        </w:rPr>
      </w:pPr>
      <w:r>
        <w:rPr>
          <w:rFonts w:cs="Arial"/>
        </w:rPr>
        <w:t xml:space="preserve">B) Oferecer uma formação integral e qualificar estudantes para ingresso nos programas de pós-graduação; </w:t>
      </w:r>
    </w:p>
    <w:p>
      <w:pPr>
        <w:pStyle w:val="NormalWeb"/>
        <w:shd w:val="clear" w:color="auto" w:fill="FFFFFF"/>
        <w:spacing w:lineRule="auto" w:line="360" w:before="0" w:after="0"/>
        <w:ind w:left="720" w:hanging="0"/>
        <w:jc w:val="both"/>
        <w:rPr>
          <w:rFonts w:ascii="Arial" w:hAnsi="Arial" w:cs="Arial"/>
        </w:rPr>
      </w:pPr>
      <w:r>
        <w:rPr>
          <w:rFonts w:cs="Arial"/>
        </w:rPr>
        <w:t>C) Estimular pesquisadores a engajarem estudantes de graduação no processo acadêmico, otimizando a capacidade de orientação à pesquisa da Instituição;</w:t>
      </w:r>
    </w:p>
    <w:p>
      <w:pPr>
        <w:pStyle w:val="NormalWeb"/>
        <w:shd w:val="clear" w:color="auto" w:fill="FFFFFF"/>
        <w:spacing w:lineRule="auto" w:line="360" w:before="0" w:after="0"/>
        <w:ind w:left="720" w:hanging="0"/>
        <w:jc w:val="both"/>
        <w:rPr>
          <w:rFonts w:ascii="Arial" w:hAnsi="Arial" w:cs="Arial"/>
        </w:rPr>
      </w:pPr>
      <w:r>
        <w:rPr>
          <w:rFonts w:cs="Arial"/>
        </w:rPr>
        <w:t xml:space="preserve">D) Estimular a produção da inovação tecnológica com vistas à superação dos desafios descritos na missão institucional da UFVJM; </w:t>
      </w:r>
    </w:p>
    <w:p>
      <w:pPr>
        <w:pStyle w:val="NormalWeb"/>
        <w:shd w:val="clear" w:color="auto" w:fill="FFFFFF"/>
        <w:spacing w:lineRule="auto" w:line="360" w:before="0" w:after="0"/>
        <w:ind w:left="720" w:hanging="0"/>
        <w:jc w:val="both"/>
        <w:rPr>
          <w:rFonts w:ascii="Arial" w:hAnsi="Arial" w:cs="Arial"/>
        </w:rPr>
      </w:pPr>
      <w:r>
        <w:rPr>
          <w:rFonts w:cs="Arial"/>
        </w:rPr>
        <w:t xml:space="preserve">E) Despertar o pensamento científico e incentivar talentos potenciais entre estudantes de graduação, mediante suas participações em projetos de pesquisa; </w:t>
      </w:r>
    </w:p>
    <w:p>
      <w:pPr>
        <w:pStyle w:val="NormalWeb"/>
        <w:shd w:val="clear" w:color="auto" w:fill="FFFFFF"/>
        <w:spacing w:lineRule="auto" w:line="360" w:before="0" w:after="0"/>
        <w:ind w:left="720" w:hanging="0"/>
        <w:jc w:val="both"/>
        <w:rPr>
          <w:rFonts w:ascii="Arial" w:hAnsi="Arial" w:cs="Arial"/>
        </w:rPr>
      </w:pPr>
      <w:r>
        <w:rPr>
          <w:rFonts w:cs="Arial"/>
        </w:rPr>
        <w:t>F) Proporcionar a aprendizagem de técnicas e métodos científicos.</w:t>
      </w:r>
    </w:p>
    <w:p>
      <w:pPr>
        <w:pStyle w:val="NormalWeb"/>
        <w:shd w:val="clear" w:color="auto" w:fill="FFFFFF"/>
        <w:spacing w:lineRule="auto" w:line="360" w:before="0" w:after="0"/>
        <w:ind w:left="720" w:hanging="0"/>
        <w:jc w:val="both"/>
        <w:rPr>
          <w:rFonts w:ascii="Arial" w:hAnsi="Arial" w:cs="Arial"/>
        </w:rPr>
      </w:pPr>
      <w:r>
        <w:rPr>
          <w:rFonts w:cs="Arial"/>
        </w:rPr>
      </w:r>
    </w:p>
    <w:p>
      <w:pPr>
        <w:pStyle w:val="NormalWeb"/>
        <w:shd w:val="clear" w:color="auto" w:fill="FFFFFF"/>
        <w:spacing w:lineRule="auto" w:line="360" w:before="0" w:after="0"/>
        <w:ind w:firstLine="709"/>
        <w:jc w:val="both"/>
        <w:rPr>
          <w:rFonts w:ascii="Arial" w:hAnsi="Arial" w:cs="Arial"/>
        </w:rPr>
      </w:pPr>
      <w:r>
        <w:rPr>
          <w:rFonts w:cs="Arial"/>
        </w:rPr>
        <w:t>Na UFVJM são incentivos à pesquisa estudantil para discentes da graduação as seguintes modalidades de fomento:</w:t>
      </w:r>
    </w:p>
    <w:p>
      <w:pPr>
        <w:pStyle w:val="NormalWeb"/>
        <w:shd w:val="clear" w:color="auto" w:fill="FFFFFF"/>
        <w:spacing w:lineRule="auto" w:line="360" w:before="0" w:after="0"/>
        <w:ind w:left="1077" w:hanging="357"/>
        <w:jc w:val="both"/>
        <w:rPr>
          <w:rFonts w:ascii="Arial" w:hAnsi="Arial" w:cs="Arial"/>
        </w:rPr>
      </w:pPr>
      <w:r>
        <w:rPr>
          <w:rFonts w:cs="Arial"/>
        </w:rPr>
        <w:t>A) Programa Institucional de Bolsa de Iniciação Científica – PIBIC</w:t>
      </w:r>
    </w:p>
    <w:p>
      <w:pPr>
        <w:pStyle w:val="NormalWeb"/>
        <w:shd w:val="clear" w:color="auto" w:fill="FFFFFF"/>
        <w:spacing w:lineRule="auto" w:line="360" w:before="0" w:after="0"/>
        <w:jc w:val="both"/>
        <w:rPr>
          <w:rFonts w:ascii="Arial" w:hAnsi="Arial" w:cs="Arial"/>
        </w:rPr>
      </w:pPr>
      <w:r>
        <w:rPr>
          <w:rFonts w:cs="Arial"/>
        </w:rPr>
        <w:tab/>
        <w:t>Esse programa visa incentivar a introdução dos estudantes de graduação nas atividades de pesquisa, através de bolsas de Iniciação Científica e Tecnológica, concedidas por meio de cotas atribuídas pelas instituições às quais se vinculam.</w:t>
      </w:r>
    </w:p>
    <w:p>
      <w:pPr>
        <w:pStyle w:val="NormalWeb"/>
        <w:shd w:val="clear" w:color="auto" w:fill="FFFFFF"/>
        <w:spacing w:lineRule="auto" w:line="360" w:before="0" w:after="0"/>
        <w:ind w:firstLine="709"/>
        <w:jc w:val="both"/>
        <w:rPr>
          <w:rFonts w:ascii="Arial" w:hAnsi="Arial" w:cs="Arial"/>
        </w:rPr>
      </w:pPr>
      <w:r>
        <w:rPr>
          <w:rFonts w:cs="Arial"/>
        </w:rPr>
        <w:t>Atualmente, a UFVJM oferece bolsas de Iniciação Cientifica dentro de vários programas institucionais, sendo concedidas pela Fundação de Amparo a Pesquisa em Minas Gerais - FAPEMIG, pelo Conselho Nacional de Desenvolvimento Cientifico e Tecnológico- CNPq e pela própria Universidade. Aos estudantes cujos projetos são aprovados para além da capacidade de oferta de bolsas de Iniciação Científica é facultada a possibilidade de desenvolvimento da pesquisa na condição de voluntário.</w:t>
      </w:r>
    </w:p>
    <w:p>
      <w:pPr>
        <w:pStyle w:val="NormalWeb"/>
        <w:shd w:val="clear" w:color="auto" w:fill="FFFFFF"/>
        <w:spacing w:lineRule="auto" w:line="360" w:before="0" w:after="0"/>
        <w:ind w:firstLine="709"/>
        <w:jc w:val="both"/>
        <w:rPr>
          <w:rFonts w:ascii="Arial" w:hAnsi="Arial" w:cs="Arial"/>
        </w:rPr>
      </w:pPr>
      <w:bookmarkStart w:id="135" w:name="_GoBack1"/>
      <w:bookmarkStart w:id="136" w:name="_GoBack1"/>
      <w:bookmarkEnd w:id="136"/>
      <w:r>
        <w:rPr>
          <w:rFonts w:cs="Arial"/>
        </w:rPr>
      </w:r>
    </w:p>
    <w:p>
      <w:pPr>
        <w:pStyle w:val="NormalWeb"/>
        <w:shd w:val="clear" w:color="auto" w:fill="FFFFFF"/>
        <w:spacing w:lineRule="auto" w:line="360" w:before="0" w:after="0"/>
        <w:ind w:firstLine="709"/>
        <w:jc w:val="both"/>
        <w:rPr>
          <w:rFonts w:ascii="Arial" w:hAnsi="Arial" w:cs="Arial"/>
        </w:rPr>
      </w:pPr>
      <w:r>
        <w:rPr>
          <w:rFonts w:cs="Arial"/>
        </w:rPr>
        <w:t>B) Programa Institucional de Iniciação em Desenvolvimento Tecnológico e Inovação - PIBITI</w:t>
      </w:r>
    </w:p>
    <w:p>
      <w:pPr>
        <w:pStyle w:val="NormalWeb"/>
        <w:shd w:val="clear" w:color="auto" w:fill="FFFFFF"/>
        <w:spacing w:lineRule="auto" w:line="360" w:before="0" w:after="0"/>
        <w:jc w:val="both"/>
        <w:rPr>
          <w:rFonts w:ascii="Arial" w:hAnsi="Arial" w:cs="Arial"/>
        </w:rPr>
      </w:pPr>
      <w:r>
        <w:rPr>
          <w:rFonts w:cs="Arial"/>
        </w:rPr>
        <w:tab/>
        <w:t>Essa modalidade de bolsa visa contribuir para a iniciação à pesquisa de estudantes de graduação em atividades realizadas com caráter marcadamente tecnológico e de inovação. A concessão de bolsas vinculadas a projetos é financiada por órgãos de fomento e/ou pela iniciativa privada. Os projetos propostos nesta modalidade pautam-se na busca de soluções para problemas sociais, ambientais ou econômicos por meio de propostas tecnológicas e inovadoras. Além dos estudantes cujos projetos são aprovados para o recebimento de bolsas de Iniciação Científica, os demais estudantes com projetos aprovados podem desenvolver a pesquisa proposta na condição de voluntários.</w:t>
      </w:r>
    </w:p>
    <w:p>
      <w:pPr>
        <w:pStyle w:val="NormalWeb"/>
        <w:shd w:val="clear" w:color="auto" w:fill="FFFFFF"/>
        <w:spacing w:lineRule="auto" w:line="360" w:before="0" w:after="0"/>
        <w:ind w:firstLine="709"/>
        <w:jc w:val="both"/>
        <w:rPr>
          <w:rFonts w:ascii="Arial" w:hAnsi="Arial" w:cs="Arial"/>
        </w:rPr>
      </w:pPr>
      <w:r>
        <w:rPr>
          <w:rFonts w:cs="Arial"/>
        </w:rPr>
        <w:t>A UFVJM também proporciona incentivo à pesquisa para estudantes de pós-graduação, através da oferta de bolsas de mestrado, doutorado e pós-doutorado. A oferta das bolsasde mestrado e doutorado visa contribuir para manter os estudantes, no intuito de garantir o foco permanente em suas atividades de pesquisa, com vistas a elaborar dissertações e teses de qualidade elevada, que sejam a base de publicações em periódicos com índice de impacto e de pedidos de patentes. As bolsas são concedidas pela Fundação de Amparo a Pesquisa em Minas Gerais - FAPEMIG, pela Coordenação de Aperfeiçoamento de Pessoal de Nível Superior - CAPES, pelo Conselho Nacional de Desenvolvimento Científico e Tecnológico- CNPq, por empresas públicas e privadas e pela própria UFVJM.</w:t>
      </w:r>
    </w:p>
    <w:p>
      <w:pPr>
        <w:pStyle w:val="NormalWeb"/>
        <w:shd w:val="clear" w:color="auto" w:fill="FFFFFF"/>
        <w:spacing w:lineRule="auto" w:line="360" w:before="0" w:after="0"/>
        <w:ind w:firstLine="709"/>
        <w:jc w:val="both"/>
        <w:rPr>
          <w:rFonts w:ascii="Arial" w:hAnsi="Arial" w:cs="Arial"/>
        </w:rPr>
      </w:pPr>
      <w:r>
        <w:rPr>
          <w:rFonts w:cs="Arial"/>
        </w:rPr>
        <w:t>As bolsas de pós-doutorado visam à integração de doutores nas atividades de pesquisa da UFVJM, de maneira a contribuir para o avanço na produção do conhecimento, tecnologia e inovação especialmente no âmbito da missão institucional. Tais bolsas são concedidas pela Fundação de Amparo a Pesquisa em Minas Gerais - FAPEMIG, pela Coordenação de Aperfeiçoamento de Pessoal de Nível Superior – CAPES e pelo Conselho Nacional de Desenvolvimento Científico e Tecnológico - CNPq.</w:t>
      </w:r>
    </w:p>
    <w:p>
      <w:pPr>
        <w:pStyle w:val="Normal1"/>
        <w:spacing w:lineRule="auto" w:line="360"/>
        <w:ind w:firstLine="709"/>
        <w:jc w:val="both"/>
        <w:rPr>
          <w:color w:val="00000A"/>
        </w:rPr>
      </w:pPr>
      <w:r>
        <w:rPr>
          <w:color w:val="00000A"/>
        </w:rPr>
        <w:t xml:space="preserve">Além das bolsas de apoio à pesquisa, a UFVJM mantém quatro laboratórios de pesquisa multiusuários mobiliados com equipamentos de alta tecnologia e operacionalizados por técnicos de laboratórios lotados na PRPPG, a fim de apoiar as pesquisas de fronteira realizadas por pesquisadores da instituição. Além desta estrutura de uso comum, as diversas unidades acadêmicas e institutos dispõem de laboratórios e pessoal próprios que também contribuem para viabilização dos projetos de pesquisa em andamento na instituição. </w:t>
      </w:r>
    </w:p>
    <w:p>
      <w:pPr>
        <w:pStyle w:val="Normal1"/>
        <w:spacing w:lineRule="auto" w:line="360"/>
        <w:ind w:firstLine="709"/>
        <w:jc w:val="both"/>
        <w:rPr>
          <w:color w:val="00000A"/>
        </w:rPr>
      </w:pPr>
      <w:r>
        <w:rPr>
          <w:color w:val="00000A"/>
        </w:rPr>
        <w:t>A gestão dos trabalhos de pesquisa da PRPPG é realizada pela Diretoria de Pesquisa e Diretoria de Pós-Graduação, apoiadas pelos servidores técnicos-administrativos lotados na Pró-Reitoria e pelas comissões constituídas para finalidades específicas tais como CEUA (Comissão de Ética no Uso de Animais), CEP (Comitê de Ética em Pesquisa), CIBIO (Comissão Interna de Biossegurança), CICT (Comissão Iniciação Científica) e PROAPP (Comissão do Programa de Apoio a Participação em Eventos Técnico-Científicos). Este último é um programa criado pela resolução 20 de 2014 CONSEPE e visa apoiar a participação de discentes de pós-graduação, servidores (professores e técnicos) em eventos científicos.</w:t>
      </w:r>
    </w:p>
    <w:p>
      <w:pPr>
        <w:pStyle w:val="Normal1"/>
        <w:spacing w:lineRule="auto" w:line="360"/>
        <w:jc w:val="both"/>
        <w:rPr>
          <w:rFonts w:eastAsia="Times New Roman"/>
          <w:bCs/>
          <w:color w:val="00000A"/>
        </w:rPr>
      </w:pPr>
      <w:r>
        <w:rPr>
          <w:rFonts w:eastAsia="Times New Roman"/>
          <w:bCs/>
          <w:color w:val="00000A"/>
        </w:rPr>
      </w:r>
    </w:p>
    <w:p>
      <w:pPr>
        <w:pStyle w:val="Normal1"/>
        <w:spacing w:lineRule="auto" w:line="360"/>
        <w:jc w:val="both"/>
        <w:rPr>
          <w:color w:val="00000A"/>
        </w:rPr>
      </w:pPr>
      <w:r>
        <w:rPr>
          <w:rFonts w:eastAsia="Times New Roman"/>
          <w:b/>
          <w:bCs/>
          <w:color w:val="00000A"/>
        </w:rPr>
        <w:t>2.7. Metas e objetivos</w:t>
      </w:r>
    </w:p>
    <w:p>
      <w:pPr>
        <w:pStyle w:val="Normal1"/>
        <w:spacing w:lineRule="auto" w:line="360"/>
        <w:jc w:val="both"/>
        <w:rPr>
          <w:color w:val="00000A"/>
        </w:rPr>
      </w:pPr>
      <w:r>
        <w:rPr>
          <w:rFonts w:eastAsia="Times New Roman"/>
          <w:color w:val="00000A"/>
        </w:rPr>
        <w:tab/>
        <w:t>O processo de construção e disseminação do conhecimento, integrando o ensino, a pesquisa e a extensão de forma indissociável, bem como o estímulo à inovação, tendo em vista o cumprimento da missão da UFJVM e sob a ótica do desenvolvimento regional e nacional pretende ser o elemento balizador dos objetivos e metas propostos para o projeto pedagógico institucional do próximo quinquênio.Nesse contexto, a UFJVM se propõe a buscar a realização das metas e objetivos apresentados na Tabela 11.</w:t>
      </w:r>
    </w:p>
    <w:p>
      <w:pPr>
        <w:pStyle w:val="Normal1"/>
        <w:spacing w:lineRule="auto" w:line="360"/>
        <w:jc w:val="both"/>
        <w:rPr>
          <w:color w:val="00000A"/>
        </w:rPr>
      </w:pPr>
      <w:r>
        <w:rPr>
          <w:color w:val="00000A"/>
        </w:rPr>
      </w:r>
    </w:p>
    <w:p>
      <w:pPr>
        <w:pStyle w:val="Normal1"/>
        <w:numPr>
          <w:ilvl w:val="0"/>
          <w:numId w:val="0"/>
        </w:numPr>
        <w:spacing w:lineRule="auto" w:line="360"/>
        <w:jc w:val="center"/>
        <w:outlineLvl w:val="0"/>
        <w:rPr>
          <w:color w:val="00000A"/>
        </w:rPr>
      </w:pPr>
      <w:r>
        <w:rPr>
          <w:b/>
          <w:color w:val="00000A"/>
        </w:rPr>
        <w:t>Tabela 11 – Objetivos e metas pedagógicas institucionais da UFVJM – Quinquênio 2017-2021</w:t>
      </w:r>
    </w:p>
    <w:tbl>
      <w:tblPr>
        <w:tblW w:w="9211"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Look w:val="04a0"/>
      </w:tblPr>
      <w:tblGrid>
        <w:gridCol w:w="4605"/>
        <w:gridCol w:w="4605"/>
      </w:tblGrid>
      <w:tr>
        <w:trPr/>
        <w:tc>
          <w:tcPr>
            <w:tcW w:w="92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8" w:type="dxa"/>
            </w:tcMar>
            <w:vAlign w:val="center"/>
          </w:tcPr>
          <w:p>
            <w:pPr>
              <w:pStyle w:val="Normal1"/>
              <w:jc w:val="center"/>
              <w:rPr>
                <w:color w:val="00000A"/>
              </w:rPr>
            </w:pPr>
            <w:r>
              <w:rPr>
                <w:b/>
                <w:bCs/>
                <w:color w:val="00000A"/>
              </w:rPr>
              <w:t>OBJETIVOS</w:t>
            </w:r>
          </w:p>
          <w:p>
            <w:pPr>
              <w:pStyle w:val="Normal1"/>
              <w:spacing w:before="0" w:after="200"/>
              <w:jc w:val="both"/>
              <w:rPr>
                <w:color w:val="00000A"/>
              </w:rPr>
            </w:pPr>
            <w:r>
              <w:rPr>
                <w:color w:val="00000A"/>
              </w:rPr>
            </w:r>
          </w:p>
        </w:tc>
      </w:tr>
      <w:tr>
        <w:trPr/>
        <w:tc>
          <w:tcPr>
            <w:tcW w:w="92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vAlign w:val="center"/>
          </w:tcPr>
          <w:p>
            <w:pPr>
              <w:pStyle w:val="Normal1"/>
              <w:jc w:val="both"/>
              <w:rPr>
                <w:color w:val="00000A"/>
              </w:rPr>
            </w:pPr>
            <w:r>
              <w:rPr>
                <w:b/>
                <w:bCs/>
                <w:color w:val="00000A"/>
              </w:rPr>
              <w:t>Fundamentar o compromisso com a qualidade e consolidar-se como instituição de ensino voltada para a transformação social, em especial das regiões onde se insere;</w:t>
            </w:r>
          </w:p>
          <w:p>
            <w:pPr>
              <w:pStyle w:val="Normal1"/>
              <w:jc w:val="both"/>
              <w:rPr>
                <w:color w:val="00000A"/>
              </w:rPr>
            </w:pPr>
            <w:r>
              <w:rPr>
                <w:b/>
                <w:bCs/>
                <w:color w:val="00000A"/>
              </w:rPr>
              <w:t>Produzir e disseminar conhecimento, primando pela indissociabilidade entre ensino, pesquisa e extensão;</w:t>
            </w:r>
          </w:p>
          <w:p>
            <w:pPr>
              <w:pStyle w:val="Normal1"/>
              <w:spacing w:before="0" w:after="200"/>
              <w:jc w:val="both"/>
              <w:rPr>
                <w:color w:val="00000A"/>
              </w:rPr>
            </w:pPr>
            <w:r>
              <w:rPr>
                <w:b/>
                <w:bCs/>
                <w:color w:val="00000A"/>
              </w:rPr>
              <w:t>Buscar uma prática pedagógica e curricular compatível com a formação de profissionais instrumentalizados para responder às demandas contemporâneas geradas pelo avanço científico/tecnológico e às exigências conjunturais em permanente evolução.</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center"/>
              <w:rPr>
                <w:color w:val="00000A"/>
              </w:rPr>
            </w:pPr>
            <w:r>
              <w:rPr>
                <w:b/>
                <w:bCs/>
                <w:color w:val="00000A"/>
              </w:rPr>
              <w:t>METAS</w:t>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5B3D7" w:val="clear"/>
            <w:tcMar>
              <w:left w:w="88" w:type="dxa"/>
            </w:tcMar>
          </w:tcPr>
          <w:p>
            <w:pPr>
              <w:pStyle w:val="Normal1"/>
              <w:spacing w:before="0" w:after="200"/>
              <w:jc w:val="center"/>
              <w:rPr>
                <w:color w:val="00000A"/>
              </w:rPr>
            </w:pPr>
            <w:r>
              <w:rPr>
                <w:b/>
                <w:color w:val="00000A"/>
              </w:rPr>
              <w:t>AÇÕES</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1. Fomentar discussões que permitam uma maior flexibilidade de concepção e modelos curriculares, bem como de práticas didáticas e de avaliação da aprendizagem.</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1.1. Promover fóruns de discussão entre os cursos de graduação sobre modelos curriculares inovadores, flexibilização curricular, práticas didáticas e de avaliação;</w:t>
            </w:r>
          </w:p>
          <w:p>
            <w:pPr>
              <w:pStyle w:val="Normal1"/>
              <w:jc w:val="both"/>
              <w:rPr>
                <w:color w:val="00000A"/>
              </w:rPr>
            </w:pPr>
            <w:r>
              <w:rPr>
                <w:color w:val="00000A"/>
              </w:rPr>
              <w:t>1.2. Criar um repositório de trabalhos inovadores em educação no âmbito da UFVJM;</w:t>
            </w:r>
          </w:p>
          <w:p>
            <w:pPr>
              <w:pStyle w:val="Normal1"/>
              <w:spacing w:before="0" w:after="200"/>
              <w:jc w:val="both"/>
              <w:rPr>
                <w:color w:val="00000A"/>
              </w:rPr>
            </w:pPr>
            <w:r>
              <w:rPr>
                <w:color w:val="00000A"/>
              </w:rPr>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2. Reestruturar os cursos da UFVJM e atualizar os projetos pedagógicos em consonância com as Diretrizes Curriculares Nacionais.</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2.1. Promover, em articulação com Colegiados dos Cursos, debates sobre a organização pedagógica e curricular dos cursos em face das Diretrizes Curriculares Nacionais;</w:t>
            </w:r>
          </w:p>
          <w:p>
            <w:pPr>
              <w:pStyle w:val="Normal1"/>
              <w:jc w:val="both"/>
              <w:rPr>
                <w:color w:val="00000A"/>
              </w:rPr>
            </w:pPr>
            <w:r>
              <w:rPr>
                <w:color w:val="00000A"/>
              </w:rPr>
              <w:t>2.2. Fomentar a discussão quanto à estruturação dos cursos da UFVJM com foco na aquisição de competência para atuação multiprofissional;</w:t>
            </w:r>
          </w:p>
          <w:p>
            <w:pPr>
              <w:pStyle w:val="Normal1"/>
              <w:jc w:val="both"/>
              <w:rPr>
                <w:color w:val="00000A"/>
              </w:rPr>
            </w:pPr>
            <w:r>
              <w:rPr>
                <w:color w:val="00000A"/>
              </w:rPr>
              <w:t>2.3. Propor, assessorar e acompanhar o processo de discussão e aproximação dos currículos de cursos iguais ou semelhantes existentes nos campi da UFVJM;</w:t>
            </w:r>
          </w:p>
          <w:p>
            <w:pPr>
              <w:pStyle w:val="Normal1"/>
              <w:spacing w:before="0" w:after="200"/>
              <w:jc w:val="both"/>
              <w:rPr>
                <w:color w:val="00000A"/>
              </w:rPr>
            </w:pPr>
            <w:r>
              <w:rPr>
                <w:color w:val="00000A"/>
              </w:rPr>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spacing w:before="0" w:after="200"/>
              <w:jc w:val="both"/>
              <w:rPr>
                <w:color w:val="00000A"/>
              </w:rPr>
            </w:pPr>
            <w:r>
              <w:rPr>
                <w:b/>
                <w:bCs/>
                <w:color w:val="00000A"/>
              </w:rPr>
              <w:t>3. Ampliar os processos de análise, acompanhamento, controle e avaliação dos cursos de graduação, incentivando a auto-avaliação;</w:t>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3.1. Coletar e analisar dados do instrumento de avaliação do ensino de graduação (IAE) e utilizar os resultados para o planejamento de ações de melhoria do ensino;</w:t>
            </w:r>
          </w:p>
          <w:p>
            <w:pPr>
              <w:pStyle w:val="Normal1"/>
              <w:jc w:val="both"/>
              <w:rPr>
                <w:color w:val="00000A"/>
              </w:rPr>
            </w:pPr>
            <w:r>
              <w:rPr>
                <w:color w:val="00000A"/>
              </w:rPr>
              <w:t>3.2. Estimular no âmbito dos Colegiados de cursos de graduação, ações de análise dos processos avaliativos dos cursos (CPA, IAE, ENADE, ANASEM), avaliações realizadas pelo INEP, incentivando a autoavaliação e a implementação de ações de melhoria do ensino.</w:t>
            </w:r>
          </w:p>
          <w:p>
            <w:pPr>
              <w:pStyle w:val="Normal1"/>
              <w:spacing w:before="0" w:after="200"/>
              <w:jc w:val="both"/>
              <w:rPr>
                <w:color w:val="00000A"/>
              </w:rPr>
            </w:pPr>
            <w:r>
              <w:rPr>
                <w:color w:val="00000A"/>
              </w:rPr>
              <w:t>3.3 Implantar mecanismos de acompanhamento dos egressos quanto à sua atuação profissional e sua visão crítica dos cursos da UFVJM, utilizando os resultados para a implantação de ações voltadas à melhoria do ensino.</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4. Implementar ações que visem a redução dos índices de retenção e de evasão nos cursos de graduação;</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4.1. Promover espaços de reflexão e análise para melhorar a compreensão acerca das múltiplas causas dos fenômenos da retenção e da evasão;</w:t>
            </w:r>
          </w:p>
          <w:p>
            <w:pPr>
              <w:pStyle w:val="Normal1"/>
              <w:jc w:val="both"/>
              <w:rPr>
                <w:color w:val="00000A"/>
              </w:rPr>
            </w:pPr>
            <w:r>
              <w:rPr>
                <w:color w:val="00000A"/>
              </w:rPr>
              <w:t>4.2. Regulamentar ações voltadas para a garantia do fluxo formativo, tanto no âmbito das esferas administrativas, para garantia da oferta de unidades curriculares e vagas, quanto no âmbito das instâncias acadêmicas, tomando medidas para análise e adequação das práticas pedagógicas e avaliativas;</w:t>
            </w:r>
          </w:p>
          <w:p>
            <w:pPr>
              <w:pStyle w:val="Normal1"/>
              <w:jc w:val="both"/>
              <w:rPr>
                <w:color w:val="00000A"/>
              </w:rPr>
            </w:pPr>
            <w:r>
              <w:rPr>
                <w:color w:val="00000A"/>
              </w:rPr>
              <w:t xml:space="preserve">4.3 Recepcionar o corpo discente quando do seu ingresso e acompanhar sua trajetória acadêmica, mediante o desenvolvimento de medidas para a identificação e intervenção precoce nas situações de risco elevado de retenção/evasão; </w:t>
            </w:r>
          </w:p>
          <w:p>
            <w:pPr>
              <w:pStyle w:val="Normal1"/>
              <w:spacing w:before="0" w:after="200"/>
              <w:jc w:val="both"/>
              <w:rPr>
                <w:color w:val="00000A"/>
              </w:rPr>
            </w:pPr>
            <w:r>
              <w:rPr>
                <w:color w:val="00000A"/>
              </w:rPr>
              <w:t>4.4 Lançar edições especiais do PROAE com foco no enfrentamento à retenção e à evasão na UFVJM;</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5. Consolidar e viabilizar ações de inclusão, em conjunto com as Pró-Reitorias, administração superior e Unidades Acadêmicas;</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5.1 Promover fóruns entre as Pró-reitorias e Unidades Acadêmicas para discussões e ações relativas ao acesso, permanência e redução da evasão de estudantes;</w:t>
            </w:r>
          </w:p>
          <w:p>
            <w:pPr>
              <w:pStyle w:val="Normal1"/>
              <w:jc w:val="both"/>
              <w:rPr>
                <w:color w:val="00000A"/>
              </w:rPr>
            </w:pPr>
            <w:r>
              <w:rPr>
                <w:color w:val="00000A"/>
              </w:rPr>
              <w:t>5.2 Promover ações para garantir as condições de acesso, permanência e êxito acadêmico dos estudantes com necessidades especiais: deficiência, superdotação/altas habilidades e transtornos globais de desenvolvimento;</w:t>
            </w:r>
          </w:p>
          <w:p>
            <w:pPr>
              <w:pStyle w:val="Normal1"/>
              <w:jc w:val="both"/>
              <w:rPr>
                <w:color w:val="00000A"/>
              </w:rPr>
            </w:pPr>
            <w:r>
              <w:rPr>
                <w:color w:val="00000A"/>
              </w:rPr>
              <w:t>5.3 Propor ações afirmativas relativas ao acolhimento e permanência de estudantes de baixa renda, negros, quilombolas e indígenas;</w:t>
            </w:r>
          </w:p>
          <w:p>
            <w:pPr>
              <w:pStyle w:val="Normal1"/>
              <w:jc w:val="both"/>
              <w:rPr>
                <w:color w:val="00000A"/>
              </w:rPr>
            </w:pPr>
            <w:r>
              <w:rPr>
                <w:color w:val="00000A"/>
              </w:rPr>
              <w:t>5.4 Atualizar e publicar o manual do acadêmico da UFVJM.</w:t>
            </w:r>
          </w:p>
          <w:p>
            <w:pPr>
              <w:pStyle w:val="Normal1"/>
              <w:spacing w:before="0" w:after="200"/>
              <w:jc w:val="both"/>
              <w:rPr>
                <w:color w:val="00000A"/>
              </w:rPr>
            </w:pPr>
            <w:r>
              <w:rPr>
                <w:color w:val="00000A"/>
              </w:rPr>
              <w:t>5.5 Promover ações para a melhoria da qualidade e para a humanização das relações interpessoais na UFVJM, incluindo a relação professor/estudante, as quais devem ser pautadas nos princípios da justiça e da legalidade.</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6. Promover a expansão de recursos tecnológicos no ensino e o estímulo à utilização de tecnologias educacionais;</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6.1 Estimular ações de integração das modalidades presencial e a distância, fomentando a utilização de Tecnologias Digitais de Informação e Comunicação na modalidade presencial;</w:t>
            </w:r>
          </w:p>
          <w:p>
            <w:pPr>
              <w:pStyle w:val="Normal1"/>
              <w:spacing w:before="0" w:after="200"/>
              <w:jc w:val="both"/>
              <w:rPr>
                <w:color w:val="00000A"/>
              </w:rPr>
            </w:pPr>
            <w:r>
              <w:rPr>
                <w:color w:val="00000A"/>
              </w:rPr>
              <w:t>6.2 Adotar medidas de incentivo à consulta e a divulgação de conteúdos pelos docentes em plataformas virtuais de aprendizagem de reconhecida qualidade, a fim de disponibilizar aos discentes, instrumento adicional para a atualização de conhecimentos e promoção de autonomia.</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 xml:space="preserve">7. Consolidar os </w:t>
            </w:r>
            <w:r>
              <w:rPr>
                <w:b/>
                <w:bCs/>
                <w:i/>
                <w:color w:val="00000A"/>
              </w:rPr>
              <w:t>Campi</w:t>
            </w:r>
            <w:r>
              <w:rPr>
                <w:b/>
                <w:bCs/>
                <w:color w:val="00000A"/>
              </w:rPr>
              <w:t xml:space="preserve"> e cursos de graduação recém-criados na UFVJM;</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 xml:space="preserve">7.1 Promover diálogo com a comunidade acadêmica e sensibilizar a comunidade externa sobre a atual conjuntura econômica do Brasil, buscando meios para adequação da oferta de cursos nos novos </w:t>
            </w:r>
            <w:r>
              <w:rPr>
                <w:i/>
                <w:color w:val="00000A"/>
              </w:rPr>
              <w:t>campi</w:t>
            </w:r>
            <w:r>
              <w:rPr>
                <w:color w:val="00000A"/>
              </w:rPr>
              <w:t xml:space="preserve"> da UFVJM;</w:t>
            </w:r>
          </w:p>
          <w:p>
            <w:pPr>
              <w:pStyle w:val="Normal1"/>
              <w:spacing w:before="0" w:after="200"/>
              <w:jc w:val="both"/>
              <w:rPr>
                <w:color w:val="00000A"/>
              </w:rPr>
            </w:pPr>
            <w:r>
              <w:rPr>
                <w:color w:val="00000A"/>
              </w:rPr>
              <w:t>7.2 Promover ações para a busca de recursos humanos e de infraestrutura.</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spacing w:before="0" w:after="200"/>
              <w:jc w:val="both"/>
              <w:rPr>
                <w:color w:val="00000A"/>
              </w:rPr>
            </w:pPr>
            <w:r>
              <w:rPr>
                <w:b/>
                <w:bCs/>
                <w:color w:val="00000A"/>
              </w:rPr>
              <w:t>8. Promover ações para consolidar os cursos de licenciatura;</w:t>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8.1 Elaborar a política institucional de formação de professores para a educação básica;</w:t>
            </w:r>
          </w:p>
          <w:p>
            <w:pPr>
              <w:pStyle w:val="Normal1"/>
              <w:jc w:val="both"/>
              <w:rPr>
                <w:color w:val="00000A"/>
              </w:rPr>
            </w:pPr>
            <w:r>
              <w:rPr>
                <w:color w:val="00000A"/>
              </w:rPr>
              <w:t>8.2 Fomentar a contínua discussão e reflexão acerca das práticas para a formação de professores entre os cursos de licenciatura;</w:t>
            </w:r>
          </w:p>
          <w:p>
            <w:pPr>
              <w:pStyle w:val="Normal1"/>
              <w:spacing w:before="0" w:after="200"/>
              <w:jc w:val="both"/>
              <w:rPr>
                <w:color w:val="00000A"/>
              </w:rPr>
            </w:pPr>
            <w:r>
              <w:rPr>
                <w:color w:val="00000A"/>
              </w:rPr>
              <w:t>8.3 Promover ações para a captação de recursos a fim de consolidar a formação de professores na UFVJM, inclusive para viabilizar a prática efetiva da pedagogia de alternância.</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9. Promover ações de valorização e melhoria do trabalho docente nos cursos de graduação;</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9.1 Fomentar, juntamente com as Unidades Acadêmicas, o desenvolvimento de cursos de formação pedagógica e novas tecnologias e metodologias de ensino para professores da UFVJM;</w:t>
            </w:r>
          </w:p>
          <w:p>
            <w:pPr>
              <w:pStyle w:val="Normal1"/>
              <w:jc w:val="both"/>
              <w:rPr>
                <w:color w:val="00000A"/>
              </w:rPr>
            </w:pPr>
            <w:r>
              <w:rPr>
                <w:color w:val="00000A"/>
              </w:rPr>
              <w:t>9.2 Engendrar esforços para a diversificação e melhoria de recursos tecnológicos e infraestrutura para a atuação pedagógica docente;</w:t>
            </w:r>
          </w:p>
          <w:p>
            <w:pPr>
              <w:pStyle w:val="Normal1"/>
              <w:jc w:val="both"/>
              <w:rPr>
                <w:color w:val="00000A"/>
              </w:rPr>
            </w:pPr>
            <w:r>
              <w:rPr>
                <w:color w:val="00000A"/>
              </w:rPr>
              <w:t>9.3 Incentivar e apoiar ações voltadas para a ampliação das oportunidades de titulação e atualização dos docentes em sua área de competência;</w:t>
            </w:r>
          </w:p>
          <w:p>
            <w:pPr>
              <w:pStyle w:val="Normal1"/>
              <w:spacing w:before="0" w:after="200"/>
              <w:jc w:val="both"/>
              <w:rPr>
                <w:color w:val="00000A"/>
              </w:rPr>
            </w:pPr>
            <w:r>
              <w:rPr>
                <w:color w:val="00000A"/>
              </w:rPr>
              <w:t>9.4 Promover a cultura do respeito à diversidade e à pluralidade de ideias, primando pelo desenvolvimento da qualidade da comunicação e das relações interpessoais nos diferentes espaços acadêmicos e administrativos da UFVJM, em obediência aos princípios da justiça e da legalidade.</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10. Tornar mais eficientes os processos de gestão acadêmica como elementos basilares às ações de ensino;</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10.1 Fomentar a construção/implementação de indicadores de esforços e resultados nas unidades administrativas e acadêmicas;</w:t>
            </w:r>
          </w:p>
          <w:p>
            <w:pPr>
              <w:pStyle w:val="Normal1"/>
              <w:jc w:val="both"/>
              <w:rPr>
                <w:color w:val="00000A"/>
              </w:rPr>
            </w:pPr>
            <w:r>
              <w:rPr>
                <w:color w:val="00000A"/>
              </w:rPr>
              <w:t>10.2 Adequar os processos institucionais necessários, regulamentar processos que não estejam bem definidos, identificar riscos e criar mecanismos de controle;</w:t>
            </w:r>
          </w:p>
          <w:p>
            <w:pPr>
              <w:pStyle w:val="Normal1"/>
              <w:jc w:val="both"/>
              <w:rPr>
                <w:color w:val="00000A"/>
              </w:rPr>
            </w:pPr>
            <w:r>
              <w:rPr>
                <w:color w:val="00000A"/>
              </w:rPr>
              <w:t>10.3 Tomar medidas para melhorar oconhecimento acerca dos processos e normas institucionais que os regem.</w:t>
            </w:r>
          </w:p>
          <w:p>
            <w:pPr>
              <w:pStyle w:val="Normal1"/>
              <w:spacing w:before="0" w:after="200"/>
              <w:jc w:val="both"/>
              <w:rPr>
                <w:color w:val="00000A"/>
              </w:rPr>
            </w:pPr>
            <w:r>
              <w:rPr>
                <w:color w:val="00000A"/>
              </w:rPr>
              <w:t>10.4 Envidar esforços para o contínuo aperfeiçoamento do sistema informatizado de gestão acadêmica a fim de contemplar a forma de organização e as especificidades dos cursos da UFVJM, considerando suas características gerais e particulares.</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b/>
                <w:bCs/>
                <w:color w:val="00000A"/>
              </w:rPr>
              <w:t>11. Ampliar a integração entre a educação superior e a educação básica;</w:t>
            </w:r>
          </w:p>
          <w:p>
            <w:pPr>
              <w:pStyle w:val="Normal1"/>
              <w:spacing w:before="0" w:after="200"/>
              <w:jc w:val="both"/>
              <w:rPr>
                <w:color w:val="00000A"/>
              </w:rPr>
            </w:pPr>
            <w:r>
              <w:rPr>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color w:val="00000A"/>
              </w:rPr>
            </w:pPr>
            <w:r>
              <w:rPr>
                <w:color w:val="00000A"/>
              </w:rPr>
              <w:t>11.1 Contribuir com a formação permanente de professores da educação básica, com vistas a atingir positivamente o discente ingressante da UFVJM;</w:t>
            </w:r>
          </w:p>
          <w:p>
            <w:pPr>
              <w:pStyle w:val="Normal1"/>
              <w:jc w:val="both"/>
              <w:rPr>
                <w:color w:val="00000A"/>
              </w:rPr>
            </w:pPr>
            <w:r>
              <w:rPr>
                <w:color w:val="00000A"/>
              </w:rPr>
              <w:t>11.2 Promover a implementação de ações com foco no fortalecimento da formação dos estudantes do ensino médio dos municípios da área de abrangência da UFVJM, prioritariamente da rede pública de ensino;</w:t>
            </w:r>
          </w:p>
          <w:p>
            <w:pPr>
              <w:pStyle w:val="Normal1"/>
              <w:jc w:val="both"/>
              <w:rPr>
                <w:color w:val="00000A"/>
              </w:rPr>
            </w:pPr>
            <w:r>
              <w:rPr>
                <w:color w:val="00000A"/>
              </w:rPr>
              <w:t>11.3 Ampliar as ações da UFVJM nas escolas de ensino médio, em especial as públicas, do Estado de Minas Gerais;</w:t>
            </w:r>
          </w:p>
          <w:p>
            <w:pPr>
              <w:pStyle w:val="Normal1"/>
              <w:jc w:val="both"/>
              <w:rPr>
                <w:color w:val="00000A"/>
              </w:rPr>
            </w:pPr>
            <w:r>
              <w:rPr>
                <w:color w:val="00000A"/>
              </w:rPr>
              <w:t>11.4 Acompanhar a atuação e fortalecer o COMFOR;</w:t>
            </w:r>
          </w:p>
          <w:p>
            <w:pPr>
              <w:pStyle w:val="Normal1"/>
              <w:jc w:val="both"/>
              <w:rPr>
                <w:color w:val="00000A"/>
              </w:rPr>
            </w:pPr>
            <w:r>
              <w:rPr>
                <w:color w:val="00000A"/>
              </w:rPr>
              <w:t>11.5 Criar, estruturar e acompanhar as ações do NIED;</w:t>
            </w:r>
          </w:p>
          <w:p>
            <w:pPr>
              <w:pStyle w:val="Normal1"/>
              <w:jc w:val="both"/>
              <w:rPr>
                <w:color w:val="00000A"/>
              </w:rPr>
            </w:pPr>
            <w:r>
              <w:rPr>
                <w:color w:val="00000A"/>
              </w:rPr>
              <w:t>11.6 Implementar um observatório de acompanhamento do egresso de cursos de licenciatura da UFVJM, com vistas a identificar fragilidades na formação discente, promovendo ações corretivas;</w:t>
            </w:r>
          </w:p>
          <w:p>
            <w:pPr>
              <w:pStyle w:val="Normal1"/>
              <w:spacing w:before="0" w:after="200"/>
              <w:jc w:val="both"/>
              <w:rPr>
                <w:color w:val="00000A"/>
              </w:rPr>
            </w:pPr>
            <w:r>
              <w:rPr>
                <w:color w:val="00000A"/>
              </w:rPr>
              <w:t>11.7 Ampliar a integração e o trabalho conjunto com a Secretaria de Estado da Educação de Minas Gerais e Superintendências Regionais de Ensino, na área de abrangência da UFVJM, em prol da melhoria da qualidade da educação, em cumprimento ao Plano Nacional de Educação (PNE).</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rPr>
                <w:rFonts w:ascii="Arial" w:hAnsi="Arial" w:cs="Arial"/>
              </w:rPr>
            </w:pPr>
            <w:r>
              <w:rPr>
                <w:rFonts w:cs="Arial"/>
                <w:b/>
                <w:bCs/>
              </w:rPr>
              <w:t>12. Ampliar a integração entre a graduação, a pós-graduação e a sociedade.</w:t>
            </w:r>
          </w:p>
          <w:p>
            <w:pPr>
              <w:pStyle w:val="Normal1"/>
              <w:spacing w:before="0" w:after="200"/>
              <w:jc w:val="both"/>
              <w:rPr>
                <w:b/>
                <w:b/>
                <w:bCs/>
                <w:color w:val="00000A"/>
              </w:rPr>
            </w:pPr>
            <w:r>
              <w:rPr>
                <w:b/>
                <w:bCs/>
                <w:color w:val="00000A"/>
              </w:rPr>
            </w:r>
          </w:p>
        </w:tc>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88" w:type="dxa"/>
            </w:tcMar>
          </w:tcPr>
          <w:p>
            <w:pPr>
              <w:pStyle w:val="Normal1"/>
              <w:jc w:val="both"/>
              <w:rPr>
                <w:rFonts w:ascii="Arial" w:hAnsi="Arial" w:cs="Arial"/>
              </w:rPr>
            </w:pPr>
            <w:r>
              <w:rPr>
                <w:rFonts w:cs="Arial"/>
              </w:rPr>
              <w:t>12.1 Contribuir com a formação permanente de professores da educação básica e superior, com vistas à educação empreendedora.</w:t>
            </w:r>
          </w:p>
          <w:p>
            <w:pPr>
              <w:pStyle w:val="Normal1"/>
              <w:spacing w:before="0" w:after="200"/>
              <w:jc w:val="both"/>
              <w:rPr>
                <w:color w:val="00000A"/>
              </w:rPr>
            </w:pPr>
            <w:r>
              <w:rPr>
                <w:rFonts w:eastAsia="Times New Roman"/>
                <w:color w:val="00000A"/>
                <w:lang w:eastAsia="pt-BR"/>
              </w:rPr>
              <w:t>12.2 Ampliar a integração e o trabalho na construção de ações conjuntas envolvendo a UFVJM e a sociedade visando o desenvolvimento regional e nacional.</w:t>
            </w:r>
          </w:p>
        </w:tc>
      </w:tr>
    </w:tbl>
    <w:p>
      <w:pPr>
        <w:pStyle w:val="Normal1"/>
        <w:spacing w:lineRule="auto" w:line="360"/>
        <w:jc w:val="both"/>
        <w:rPr>
          <w:color w:val="00000A"/>
        </w:rPr>
      </w:pPr>
      <w:r>
        <w:rPr>
          <w:color w:val="00000A"/>
        </w:rPr>
      </w:r>
    </w:p>
    <w:p>
      <w:pPr>
        <w:pStyle w:val="Normal1"/>
        <w:spacing w:lineRule="auto" w:line="360"/>
        <w:jc w:val="both"/>
        <w:rPr>
          <w:rFonts w:ascii="Arial" w:hAnsi="Arial" w:cs="Arial"/>
        </w:rPr>
      </w:pPr>
      <w:r>
        <w:rPr>
          <w:rFonts w:cs="Arial"/>
          <w:b/>
        </w:rPr>
        <w:t xml:space="preserve">2.8. Educação a Distância </w:t>
      </w:r>
    </w:p>
    <w:p>
      <w:pPr>
        <w:pStyle w:val="Normal1"/>
        <w:spacing w:lineRule="auto" w:line="360"/>
        <w:jc w:val="both"/>
        <w:rPr>
          <w:rFonts w:ascii="Arial" w:hAnsi="Arial" w:cs="Arial"/>
          <w:b/>
          <w:b/>
        </w:rPr>
      </w:pPr>
      <w:r>
        <w:rPr>
          <w:rFonts w:cs="Arial"/>
          <w:b/>
        </w:rPr>
      </w:r>
    </w:p>
    <w:p>
      <w:pPr>
        <w:pStyle w:val="Normal1"/>
        <w:spacing w:lineRule="auto" w:line="360"/>
        <w:ind w:firstLine="708"/>
        <w:jc w:val="both"/>
        <w:rPr>
          <w:rFonts w:ascii="Arial" w:hAnsi="Arial" w:cs="Arial"/>
        </w:rPr>
      </w:pPr>
      <w:r>
        <w:rPr>
          <w:rFonts w:cs="Arial"/>
        </w:rPr>
        <w:t xml:space="preserve">A Educação a Distância da UFVJMestá sob a responsabilidade da Diretoria de Educação Aberta e a Distância (DEAD), cujas atividades iniciaram-se em 2011. A DEAD é responsável pela administração, coordenação didático-pedagógica e oferecimento de programas, cursos e projetos de educação aberta e a distância da UFVJM. </w:t>
      </w:r>
    </w:p>
    <w:p>
      <w:pPr>
        <w:pStyle w:val="Normal1"/>
        <w:spacing w:lineRule="auto" w:line="360"/>
        <w:ind w:firstLine="708"/>
        <w:jc w:val="both"/>
        <w:rPr>
          <w:rFonts w:ascii="Arial" w:hAnsi="Arial" w:cs="Arial"/>
        </w:rPr>
      </w:pPr>
      <w:r>
        <w:rPr>
          <w:rFonts w:cs="Arial"/>
        </w:rPr>
        <w:t>Por meio do tripé conteúdo, tecnologia e mediação, a DEAD oferece quatro cursos de graduação na modalidade a distância: as licenciaturas em Física, Matemática e Química, além do Bacharelado em Administração Pública. Para os profissionais já em atuação e que buscam atualização ou aperfeiçoamento são oferecidos os cursos de especialização em Gestão Pública Municipal, Ensino de Geografia e Ensino de Matemática para o Ensino Médio.</w:t>
      </w:r>
    </w:p>
    <w:p>
      <w:pPr>
        <w:pStyle w:val="Normal1"/>
        <w:spacing w:lineRule="auto" w:line="360"/>
        <w:ind w:firstLine="708"/>
        <w:jc w:val="both"/>
        <w:rPr>
          <w:rFonts w:ascii="Arial" w:hAnsi="Arial" w:cs="Arial"/>
        </w:rPr>
      </w:pPr>
      <w:r>
        <w:rPr>
          <w:rFonts w:cs="Arial"/>
        </w:rPr>
        <w:t>As ações da DEAD/UFVJM não se limitam aos cursos oferecidos para o público externo. Responsável pelas ações em EaD na UFVJM, a diretoria desenvolve e faz gestão de ferramentas e cursos que contribuem para essas ações. São capacitações para técnicos e docentes que atuam nos cursos presenciais e a distância, produção de materiais audiovisuais e manutenção dos ambientes e salas virtuais de aprendizagem e da midiateca, um acervo digital que reúne todos os materiais desenvolvidos na diretoria, os quais estão disponíveis para a comunidade acadêmica da UFVJM.</w:t>
      </w:r>
    </w:p>
    <w:p>
      <w:pPr>
        <w:pStyle w:val="Normal1"/>
        <w:spacing w:lineRule="auto" w:line="360"/>
        <w:ind w:firstLine="708"/>
        <w:jc w:val="both"/>
        <w:rPr>
          <w:rFonts w:ascii="Arial" w:hAnsi="Arial" w:cs="Arial"/>
        </w:rPr>
      </w:pPr>
      <w:r>
        <w:rPr>
          <w:rFonts w:cs="Arial"/>
        </w:rPr>
        <w:t xml:space="preserve">Sabendo da necessidade de formar profissionais qualificados e contribuir para o crescimento do país, em especial do norte mineiro, a Diretoria desenvolve ações de pesquisa e extensão voltadas para a educação a distância. Essas iniciativas visam à melhoria da prática pedagógica e de gestão dos cursos e atividades da DEAD.  Sem limitação de lugar, tempo, ocupação ou idade, a Educação a Distância da UFVJM oportuniza a ascensão na carreira profissional por meio de um processo planejado que valoriza a relação entre professores e alunos, em especial </w:t>
      </w:r>
      <w:r>
        <w:rPr>
          <w:rFonts w:cs="Arial"/>
          <w:highlight w:val="lightGray"/>
        </w:rPr>
        <w:t xml:space="preserve">aqueles que residem em localidades distantes dos </w:t>
      </w:r>
      <w:r>
        <w:rPr>
          <w:rFonts w:cs="Arial"/>
          <w:i/>
          <w:highlight w:val="lightGray"/>
        </w:rPr>
        <w:t>campi</w:t>
      </w:r>
      <w:r>
        <w:rPr>
          <w:rFonts w:cs="Arial"/>
          <w:highlight w:val="lightGray"/>
        </w:rPr>
        <w:t xml:space="preserve"> da universidade</w:t>
      </w:r>
      <w:r>
        <w:rPr>
          <w:rFonts w:cs="Arial"/>
        </w:rPr>
        <w:t>.</w:t>
      </w:r>
    </w:p>
    <w:p>
      <w:pPr>
        <w:pStyle w:val="Normal1"/>
        <w:spacing w:lineRule="auto" w:line="360"/>
        <w:jc w:val="both"/>
        <w:rPr>
          <w:rFonts w:ascii="Arial" w:hAnsi="Arial" w:cs="Arial"/>
        </w:rPr>
      </w:pPr>
      <w:r>
        <w:rPr>
          <w:rFonts w:cs="Arial"/>
          <w:highlight w:val="cyan"/>
        </w:rPr>
        <w:t>(SOLICITANTE: DEAD)</w:t>
      </w:r>
    </w:p>
    <w:p>
      <w:pPr>
        <w:pStyle w:val="Normal1"/>
        <w:spacing w:lineRule="auto" w:line="360"/>
        <w:jc w:val="both"/>
        <w:rPr>
          <w:rFonts w:ascii="Arial" w:hAnsi="Arial" w:cs="Arial"/>
          <w:color w:val="0070C0"/>
        </w:rPr>
      </w:pPr>
      <w:r>
        <w:rPr>
          <w:rFonts w:cs="Arial"/>
          <w:color w:val="0070C0"/>
        </w:rPr>
        <w:t>aqueles que não moram na cidade mantenedora do polo.</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rPr>
      </w:pPr>
      <w:r>
        <w:rPr>
          <w:rFonts w:cs="Arial"/>
          <w:highlight w:val="cyan"/>
        </w:rPr>
        <w:t>(SOLICITANTE: DEAD)</w:t>
      </w:r>
    </w:p>
    <w:p>
      <w:pPr>
        <w:pStyle w:val="Normal1"/>
        <w:spacing w:lineRule="auto" w:line="360"/>
        <w:ind w:firstLine="708"/>
        <w:jc w:val="both"/>
        <w:rPr>
          <w:rFonts w:ascii="Arial" w:hAnsi="Arial" w:cs="Arial"/>
          <w:b/>
          <w:b/>
          <w:color w:val="0070C0"/>
        </w:rPr>
      </w:pPr>
      <w:r>
        <w:rPr>
          <w:rFonts w:cs="Arial"/>
          <w:b/>
          <w:color w:val="0070C0"/>
        </w:rPr>
      </w:r>
    </w:p>
    <w:p>
      <w:pPr>
        <w:pStyle w:val="Normal1"/>
        <w:spacing w:lineRule="auto" w:line="360"/>
        <w:ind w:firstLine="708"/>
        <w:jc w:val="both"/>
        <w:rPr>
          <w:rFonts w:ascii="Arial" w:hAnsi="Arial" w:cs="Arial"/>
          <w:b/>
          <w:b/>
          <w:color w:val="0070C0"/>
        </w:rPr>
      </w:pPr>
      <w:r>
        <w:rPr>
          <w:rFonts w:cs="Arial"/>
          <w:b/>
          <w:color w:val="0070C0"/>
        </w:rPr>
        <w:t>Avaliação PDI 2012/2016</w:t>
      </w:r>
    </w:p>
    <w:p>
      <w:pPr>
        <w:pStyle w:val="Normal1"/>
        <w:spacing w:lineRule="auto" w:line="360"/>
        <w:jc w:val="both"/>
        <w:rPr>
          <w:rFonts w:ascii="Arial" w:hAnsi="Arial" w:cs="Arial"/>
          <w:b/>
          <w:b/>
          <w:color w:val="0070C0"/>
        </w:rPr>
      </w:pPr>
      <w:r>
        <w:rPr>
          <w:rFonts w:cs="Arial"/>
          <w:b/>
          <w:color w:val="0070C0"/>
        </w:rPr>
        <w:t xml:space="preserve">Objetivos </w:t>
      </w:r>
    </w:p>
    <w:p>
      <w:pPr>
        <w:pStyle w:val="Normal1"/>
        <w:spacing w:lineRule="auto" w:line="360"/>
        <w:jc w:val="both"/>
        <w:rPr>
          <w:rFonts w:ascii="Arial" w:hAnsi="Arial" w:cs="Arial"/>
          <w:b/>
          <w:b/>
          <w:color w:val="0070C0"/>
        </w:rPr>
      </w:pPr>
      <w:r>
        <w:rPr>
          <w:rFonts w:cs="Arial"/>
          <w:b/>
          <w:color w:val="0070C0"/>
        </w:rPr>
      </w:r>
    </w:p>
    <w:p>
      <w:pPr>
        <w:pStyle w:val="Normal1"/>
        <w:spacing w:lineRule="auto" w:line="360"/>
        <w:jc w:val="both"/>
        <w:rPr>
          <w:rFonts w:ascii="Arial" w:hAnsi="Arial" w:cs="Arial"/>
          <w:color w:val="0070C0"/>
        </w:rPr>
      </w:pPr>
      <w:r>
        <w:rPr>
          <w:rFonts w:cs="Arial"/>
          <w:color w:val="0070C0"/>
        </w:rPr>
        <w:t xml:space="preserve">- Consolidar aEaD na UFVJM na oferta de ensino superior tanto para ingressantes quanto para requalificação do professor do ensino no interior; </w:t>
      </w:r>
    </w:p>
    <w:p>
      <w:pPr>
        <w:pStyle w:val="Normal1"/>
        <w:spacing w:lineRule="auto" w:line="360"/>
        <w:jc w:val="both"/>
        <w:rPr>
          <w:rFonts w:ascii="Arial" w:hAnsi="Arial" w:cs="Arial"/>
          <w:b/>
          <w:b/>
          <w:color w:val="0070C0"/>
        </w:rPr>
      </w:pPr>
      <w:r>
        <w:rPr>
          <w:rFonts w:cs="Arial"/>
          <w:b/>
          <w:color w:val="0070C0"/>
        </w:rPr>
        <w:t xml:space="preserve">Cumprido: atualmente, a UFVJM oferece três cursos superiores de licenciatura em Física, Matemática de Química e o Bacharelado em Administração Pública para ingressantes e cursos de especialização </w:t>
      </w:r>
      <w:r>
        <w:rPr>
          <w:rFonts w:cs="Arial"/>
          <w:b/>
          <w:i/>
          <w:color w:val="0070C0"/>
        </w:rPr>
        <w:t xml:space="preserve">Lato Sensu </w:t>
      </w:r>
      <w:r>
        <w:rPr>
          <w:rFonts w:cs="Arial"/>
          <w:b/>
          <w:color w:val="0070C0"/>
        </w:rPr>
        <w:t>em diferentes áreas para os profissionais do ensino em atuação. Além disso, a DEAD trabalha com processos de requalificação, por meio do desenvolvimento de Cursos de formação continuada de professores para atuação em cursos na modalidade a distância e cumprimento da legislação que indica que 20% da carga horária presencial possa ser ofertada por meio de recursos da modalidade a distância.</w:t>
      </w:r>
    </w:p>
    <w:p>
      <w:pPr>
        <w:pStyle w:val="Normal1"/>
        <w:spacing w:lineRule="auto" w:line="360"/>
        <w:jc w:val="both"/>
        <w:rPr>
          <w:rFonts w:ascii="Arial" w:hAnsi="Arial" w:cs="Arial"/>
          <w:color w:val="0070C0"/>
        </w:rPr>
      </w:pPr>
      <w:r>
        <w:rPr>
          <w:rFonts w:cs="Arial"/>
          <w:color w:val="0070C0"/>
        </w:rPr>
        <w:t xml:space="preserve">- Avaliar os processos da EaD em curso com vistas a melhoria de qualidade na oferta dos cursos; </w:t>
      </w:r>
    </w:p>
    <w:p>
      <w:pPr>
        <w:pStyle w:val="Normal1"/>
        <w:spacing w:lineRule="auto" w:line="360"/>
        <w:jc w:val="both"/>
        <w:rPr>
          <w:rFonts w:ascii="Arial" w:hAnsi="Arial" w:cs="Arial"/>
          <w:b/>
          <w:b/>
          <w:color w:val="0070C0"/>
        </w:rPr>
      </w:pPr>
      <w:r>
        <w:rPr>
          <w:rFonts w:cs="Arial"/>
          <w:b/>
          <w:color w:val="0070C0"/>
        </w:rPr>
        <w:t>Manter esse objetivo no PDI 2017-2021. A Diretoria de Educação Aberta e a Distância avançou e, no entanto, existem algumas limitações a refletir, uma vez que a resolução que versa sobre a avaliação docente ainda não incorporou as especificidades comuns à atuaçãoe professores da modalidade a distância</w:t>
      </w:r>
    </w:p>
    <w:p>
      <w:pPr>
        <w:pStyle w:val="Normal1"/>
        <w:spacing w:lineRule="auto" w:line="360"/>
        <w:jc w:val="both"/>
        <w:rPr>
          <w:rFonts w:ascii="Arial" w:hAnsi="Arial" w:cs="Arial"/>
          <w:color w:val="0070C0"/>
        </w:rPr>
      </w:pPr>
      <w:r>
        <w:rPr>
          <w:rFonts w:cs="Arial"/>
          <w:color w:val="0070C0"/>
        </w:rPr>
        <w:t xml:space="preserve">- Estabelecer política de qualificação dos servidores docentes e técnico-administrativos para comporem a equipe da EaD da UFVJM - </w:t>
      </w:r>
    </w:p>
    <w:p>
      <w:pPr>
        <w:pStyle w:val="Normal1"/>
        <w:spacing w:lineRule="auto" w:line="360"/>
        <w:jc w:val="both"/>
        <w:rPr>
          <w:rFonts w:ascii="Arial" w:hAnsi="Arial" w:cs="Arial"/>
          <w:b/>
          <w:b/>
          <w:color w:val="0070C0"/>
        </w:rPr>
      </w:pPr>
      <w:r>
        <w:rPr>
          <w:rFonts w:cs="Arial"/>
          <w:b/>
          <w:color w:val="0070C0"/>
        </w:rPr>
        <w:t>Cumprido: A Diretoria de Educação Aberta e a Distância da UFVJM possui atualmente uma equipe capacitada que oferece semestralmente cursos de capacitação para os profissionais que atuam e que pretendem atuar nos cursos EaD da UFVJM.  Além disso, a Diretoria já desenvolve parcerias entre professores da DEAD em outras unidades acadêmicas para a realização de discussões sobre a proposta metodológicada Diretoria de educação a Distância, bem como em outras instituições nas esferas estadual, municipal.</w:t>
      </w:r>
    </w:p>
    <w:p>
      <w:pPr>
        <w:pStyle w:val="Normal1"/>
        <w:spacing w:lineRule="auto" w:line="360"/>
        <w:jc w:val="both"/>
        <w:rPr>
          <w:rFonts w:ascii="Arial" w:hAnsi="Arial" w:cs="Arial"/>
          <w:b/>
          <w:b/>
          <w:color w:val="0070C0"/>
        </w:rPr>
      </w:pPr>
      <w:r>
        <w:rPr>
          <w:rFonts w:cs="Arial"/>
          <w:b/>
          <w:color w:val="0070C0"/>
        </w:rPr>
      </w:r>
    </w:p>
    <w:p>
      <w:pPr>
        <w:pStyle w:val="Normal1"/>
        <w:spacing w:lineRule="auto" w:line="360"/>
        <w:jc w:val="both"/>
        <w:rPr>
          <w:rFonts w:ascii="Arial" w:hAnsi="Arial" w:cs="Arial"/>
          <w:b/>
          <w:b/>
          <w:color w:val="0070C0"/>
        </w:rPr>
      </w:pPr>
      <w:r>
        <w:rPr>
          <w:rFonts w:cs="Arial"/>
          <w:b/>
          <w:color w:val="0070C0"/>
        </w:rPr>
        <w:t xml:space="preserve">Metas </w:t>
      </w:r>
    </w:p>
    <w:p>
      <w:pPr>
        <w:pStyle w:val="Normal1"/>
        <w:spacing w:lineRule="auto" w:line="360"/>
        <w:jc w:val="both"/>
        <w:rPr>
          <w:rFonts w:ascii="Arial" w:hAnsi="Arial" w:cs="Arial"/>
          <w:color w:val="0070C0"/>
        </w:rPr>
      </w:pPr>
      <w:r>
        <w:rPr>
          <w:rFonts w:cs="Arial"/>
          <w:color w:val="0070C0"/>
        </w:rPr>
        <w:t xml:space="preserve">- Ampliação na oferta de cursos de ensino superior e de pós-graduação; </w:t>
      </w:r>
    </w:p>
    <w:p>
      <w:pPr>
        <w:pStyle w:val="Normal1"/>
        <w:spacing w:lineRule="auto" w:line="360"/>
        <w:jc w:val="both"/>
        <w:rPr>
          <w:rFonts w:ascii="Arial" w:hAnsi="Arial" w:cs="Arial"/>
          <w:b/>
          <w:b/>
          <w:color w:val="0070C0"/>
        </w:rPr>
      </w:pPr>
      <w:r>
        <w:rPr>
          <w:rFonts w:cs="Arial"/>
          <w:b/>
          <w:color w:val="0070C0"/>
        </w:rPr>
        <w:t xml:space="preserve">Cumprido:atualmente, a UFVJM oferece três cursos superiores de licenciatura em Física, Matemática de Química e o Bacharelado em Administração Pública para ingressantes e cursos de especialização </w:t>
      </w:r>
      <w:r>
        <w:rPr>
          <w:rFonts w:cs="Arial"/>
          <w:b/>
          <w:i/>
          <w:color w:val="0070C0"/>
        </w:rPr>
        <w:t xml:space="preserve">Lato Sensu </w:t>
      </w:r>
      <w:r>
        <w:rPr>
          <w:rFonts w:cs="Arial"/>
          <w:b/>
          <w:color w:val="0070C0"/>
        </w:rPr>
        <w:t xml:space="preserve">em diferentes áreas para os profissionais do ensino em atuação em onze polos do norte mineiro. </w:t>
      </w:r>
    </w:p>
    <w:p>
      <w:pPr>
        <w:pStyle w:val="Normal1"/>
        <w:spacing w:lineRule="auto" w:line="360"/>
        <w:jc w:val="both"/>
        <w:rPr>
          <w:rFonts w:ascii="Arial" w:hAnsi="Arial" w:cs="Arial"/>
          <w:color w:val="0070C0"/>
        </w:rPr>
      </w:pPr>
      <w:r>
        <w:rPr>
          <w:rFonts w:cs="Arial"/>
          <w:color w:val="0070C0"/>
        </w:rPr>
        <w:t xml:space="preserve">- Implementação estratégias de avaliação de todos os cursos da EaD em curso por parâmetro oferecer cursos com qualidades de formação profissional aos cursistas; </w:t>
      </w:r>
    </w:p>
    <w:p>
      <w:pPr>
        <w:pStyle w:val="Normal1"/>
        <w:spacing w:lineRule="auto" w:line="360"/>
        <w:jc w:val="both"/>
        <w:rPr>
          <w:rFonts w:ascii="Arial" w:hAnsi="Arial" w:cs="Arial"/>
          <w:color w:val="0070C0"/>
        </w:rPr>
      </w:pPr>
      <w:r>
        <w:rPr>
          <w:rFonts w:cs="Arial"/>
          <w:b/>
          <w:color w:val="0070C0"/>
        </w:rPr>
        <w:t>Manter essa meta no PDI 2017-2021. Será interessante entre os anos de 2017-2021, criar descritores que possam indicar para a comunidade acadêmica as especificidadesda EaD,  deixando legítimo a construção de um instrumento validado pelos conselhos superiores que permita avaliar os processos de ensino e aprendizagem e gestão da EaD.</w:t>
      </w:r>
    </w:p>
    <w:p>
      <w:pPr>
        <w:pStyle w:val="Normal1"/>
        <w:spacing w:lineRule="auto" w:line="360"/>
        <w:jc w:val="both"/>
        <w:rPr>
          <w:rFonts w:ascii="Arial" w:hAnsi="Arial" w:cs="Arial"/>
          <w:color w:val="0070C0"/>
        </w:rPr>
      </w:pPr>
      <w:r>
        <w:rPr>
          <w:rFonts w:cs="Arial"/>
          <w:color w:val="0070C0"/>
        </w:rPr>
        <w:t xml:space="preserve">- Qualificação de servidores docentes e técnico-administrativos da UFVJM necessários para a manutenção da EaD na universidade. </w:t>
      </w:r>
    </w:p>
    <w:p>
      <w:pPr>
        <w:pStyle w:val="Normal1"/>
        <w:spacing w:lineRule="auto" w:line="360"/>
        <w:jc w:val="both"/>
        <w:rPr>
          <w:rFonts w:ascii="Arial" w:hAnsi="Arial" w:cs="Arial"/>
          <w:b/>
          <w:b/>
          <w:color w:val="0070C0"/>
        </w:rPr>
      </w:pPr>
      <w:r>
        <w:rPr>
          <w:rFonts w:cs="Arial"/>
          <w:b/>
          <w:color w:val="0070C0"/>
        </w:rPr>
        <w:t xml:space="preserve">Cumprido: A Diretoria de Educação Aberta e a Distância da UFVJM possui atualmente uma equipe capacitada que oferece semestralmente cursos de capacitação para os profissionais que atuam e que pretendem atuar nos cursos EaD da UFVJM. </w:t>
      </w:r>
    </w:p>
    <w:p>
      <w:pPr>
        <w:pStyle w:val="Normal1"/>
        <w:spacing w:lineRule="auto" w:line="360"/>
        <w:jc w:val="both"/>
        <w:rPr>
          <w:rFonts w:ascii="Arial" w:hAnsi="Arial" w:cs="Arial"/>
          <w:b/>
          <w:b/>
          <w:color w:val="0070C0"/>
        </w:rPr>
      </w:pPr>
      <w:r>
        <w:rPr>
          <w:rFonts w:cs="Arial"/>
          <w:b/>
          <w:color w:val="0070C0"/>
        </w:rPr>
        <w:t xml:space="preserve">Ações </w:t>
      </w:r>
    </w:p>
    <w:p>
      <w:pPr>
        <w:pStyle w:val="Normal1"/>
        <w:spacing w:lineRule="auto" w:line="360"/>
        <w:jc w:val="both"/>
        <w:rPr>
          <w:rFonts w:ascii="Arial" w:hAnsi="Arial" w:cs="Arial"/>
          <w:color w:val="0070C0"/>
        </w:rPr>
      </w:pPr>
      <w:r>
        <w:rPr>
          <w:rFonts w:cs="Arial"/>
          <w:color w:val="0070C0"/>
        </w:rPr>
      </w:r>
    </w:p>
    <w:p>
      <w:pPr>
        <w:pStyle w:val="Normal1"/>
        <w:spacing w:lineRule="auto" w:line="360"/>
        <w:jc w:val="both"/>
        <w:rPr>
          <w:rFonts w:ascii="Arial" w:hAnsi="Arial" w:cs="Arial"/>
          <w:color w:val="0070C0"/>
        </w:rPr>
      </w:pPr>
      <w:r>
        <w:rPr>
          <w:rFonts w:cs="Arial"/>
          <w:color w:val="0070C0"/>
        </w:rPr>
        <w:t xml:space="preserve">- Formular e implementar política voltada para suprir as necessidades de formação didático pedagógica de servidores da EaD na UFVJM; </w:t>
      </w:r>
    </w:p>
    <w:p>
      <w:pPr>
        <w:pStyle w:val="Normal1"/>
        <w:spacing w:lineRule="auto" w:line="360"/>
        <w:jc w:val="both"/>
        <w:rPr>
          <w:rFonts w:ascii="Arial" w:hAnsi="Arial" w:cs="Arial"/>
          <w:b/>
          <w:b/>
          <w:color w:val="0070C0"/>
        </w:rPr>
      </w:pPr>
      <w:r>
        <w:rPr>
          <w:rFonts w:cs="Arial"/>
          <w:b/>
          <w:color w:val="0070C0"/>
        </w:rPr>
        <w:t xml:space="preserve">Ação cumprida. </w:t>
      </w:r>
    </w:p>
    <w:p>
      <w:pPr>
        <w:pStyle w:val="Normal1"/>
        <w:spacing w:lineRule="auto" w:line="360"/>
        <w:jc w:val="both"/>
        <w:rPr>
          <w:rFonts w:ascii="Arial" w:hAnsi="Arial" w:cs="Arial"/>
          <w:color w:val="0070C0"/>
        </w:rPr>
      </w:pPr>
      <w:r>
        <w:rPr>
          <w:rFonts w:cs="Arial"/>
          <w:color w:val="0070C0"/>
        </w:rPr>
        <w:t xml:space="preserve">- Estabelecer medidas de aprimoramento dos processos de ensino e aprendizagem nos cursos de Graduação, a partir dos resultados das avaliações divulgados e analisados, em cada um desses cursos da EaD na UFVJM; </w:t>
      </w:r>
    </w:p>
    <w:p>
      <w:pPr>
        <w:pStyle w:val="Normal1"/>
        <w:jc w:val="both"/>
        <w:rPr>
          <w:rFonts w:ascii="Arial" w:hAnsi="Arial" w:cs="Arial"/>
          <w:color w:val="FF0000"/>
        </w:rPr>
      </w:pPr>
      <w:r>
        <w:rPr>
          <w:rFonts w:cs="Arial"/>
          <w:color w:val="FF0000"/>
        </w:rPr>
      </w:r>
    </w:p>
    <w:p>
      <w:pPr>
        <w:pStyle w:val="Normal1"/>
        <w:spacing w:lineRule="auto" w:line="360"/>
        <w:jc w:val="both"/>
        <w:rPr>
          <w:rFonts w:ascii="Arial" w:hAnsi="Arial" w:cs="Arial"/>
          <w:b/>
          <w:b/>
        </w:rPr>
      </w:pPr>
      <w:r>
        <w:rPr>
          <w:rFonts w:cs="Arial"/>
        </w:rPr>
        <w:t>P</w:t>
      </w:r>
      <w:r>
        <w:rPr>
          <w:rFonts w:cs="Arial"/>
          <w:b/>
        </w:rPr>
        <w:t>LANO DE DESENVOLVIMENTO INSTITUCIONAL – 2017-2021</w:t>
      </w:r>
    </w:p>
    <w:p>
      <w:pPr>
        <w:pStyle w:val="Normal1"/>
        <w:spacing w:lineRule="auto" w:line="360"/>
        <w:jc w:val="both"/>
        <w:rPr>
          <w:rFonts w:ascii="Arial" w:hAnsi="Arial" w:cs="Arial"/>
        </w:rPr>
      </w:pPr>
      <w:r>
        <w:rPr>
          <w:rFonts w:cs="Arial"/>
          <w:highlight w:val="cyan"/>
        </w:rPr>
        <w:t>(SOLICITANTE DAS 4 INSERÇÕES ABAIXO: DEAD)</w:t>
      </w:r>
    </w:p>
    <w:p>
      <w:pPr>
        <w:pStyle w:val="Normal1"/>
        <w:spacing w:lineRule="auto" w:line="360"/>
        <w:jc w:val="both"/>
        <w:rPr>
          <w:rFonts w:ascii="Arial" w:hAnsi="Arial" w:cs="Arial"/>
          <w:b/>
          <w:b/>
        </w:rPr>
      </w:pPr>
      <w:r>
        <w:rPr>
          <w:rFonts w:cs="Arial"/>
          <w:b/>
        </w:rPr>
        <w:t xml:space="preserve">Objetivos </w:t>
      </w:r>
    </w:p>
    <w:p>
      <w:pPr>
        <w:pStyle w:val="Normal1"/>
        <w:spacing w:lineRule="auto" w:line="360"/>
        <w:jc w:val="both"/>
        <w:rPr>
          <w:rFonts w:ascii="Arial" w:hAnsi="Arial" w:cs="Arial"/>
          <w:b/>
          <w:b/>
        </w:rPr>
      </w:pPr>
      <w:r>
        <w:rPr>
          <w:rFonts w:cs="Arial"/>
          <w:b/>
        </w:rPr>
      </w:r>
    </w:p>
    <w:p>
      <w:pPr>
        <w:pStyle w:val="ListParagraph"/>
        <w:numPr>
          <w:ilvl w:val="0"/>
          <w:numId w:val="43"/>
        </w:numPr>
        <w:spacing w:lineRule="auto" w:line="360" w:before="0" w:after="0"/>
        <w:contextualSpacing/>
        <w:jc w:val="both"/>
        <w:rPr>
          <w:rFonts w:ascii="Arial" w:hAnsi="Arial" w:cs="Arial"/>
        </w:rPr>
      </w:pPr>
      <w:r>
        <w:rPr>
          <w:rFonts w:cs="Arial"/>
        </w:rPr>
        <w:t>Avaliar os processos da EaD em curso com vistas à melhoria da qualidade na oferta dos cursos.</w:t>
      </w:r>
    </w:p>
    <w:p>
      <w:pPr>
        <w:pStyle w:val="ListParagraph"/>
        <w:numPr>
          <w:ilvl w:val="0"/>
          <w:numId w:val="43"/>
        </w:numPr>
        <w:spacing w:lineRule="auto" w:line="360" w:before="0" w:after="0"/>
        <w:contextualSpacing/>
        <w:jc w:val="both"/>
        <w:rPr>
          <w:rFonts w:ascii="Arial" w:hAnsi="Arial" w:cs="Arial"/>
        </w:rPr>
      </w:pPr>
      <w:r>
        <w:rPr>
          <w:rFonts w:cs="Arial"/>
        </w:rPr>
        <w:t>Institucionalizar a Educação a Distância na UFVJM.</w:t>
      </w:r>
    </w:p>
    <w:p>
      <w:pPr>
        <w:pStyle w:val="ListParagraph"/>
        <w:numPr>
          <w:ilvl w:val="0"/>
          <w:numId w:val="43"/>
        </w:numPr>
        <w:spacing w:lineRule="auto" w:line="360" w:before="0" w:after="0"/>
        <w:contextualSpacing/>
        <w:jc w:val="both"/>
        <w:rPr>
          <w:rFonts w:ascii="Arial" w:hAnsi="Arial" w:cs="Arial"/>
        </w:rPr>
      </w:pPr>
      <w:r>
        <w:rPr>
          <w:rFonts w:cs="Arial"/>
        </w:rPr>
        <w:t>Ocupar o prédio da DEAD.</w:t>
      </w:r>
    </w:p>
    <w:p>
      <w:pPr>
        <w:pStyle w:val="ListParagraph"/>
        <w:numPr>
          <w:ilvl w:val="0"/>
          <w:numId w:val="43"/>
        </w:numPr>
        <w:spacing w:lineRule="auto" w:line="360" w:before="0" w:after="0"/>
        <w:contextualSpacing/>
        <w:jc w:val="both"/>
        <w:rPr>
          <w:rFonts w:ascii="Arial" w:hAnsi="Arial" w:cs="Arial"/>
        </w:rPr>
      </w:pPr>
      <w:r>
        <w:rPr>
          <w:rFonts w:cs="Arial"/>
        </w:rPr>
        <w:t>Ofertar cursos de capacitação e qualificação para servidores docentes e técnicos administrativos da UFVJM.</w:t>
      </w:r>
    </w:p>
    <w:p>
      <w:pPr>
        <w:pStyle w:val="ListParagraph"/>
        <w:numPr>
          <w:ilvl w:val="0"/>
          <w:numId w:val="43"/>
        </w:numPr>
        <w:spacing w:lineRule="auto" w:line="360" w:before="0" w:after="0"/>
        <w:contextualSpacing/>
        <w:jc w:val="both"/>
        <w:rPr>
          <w:rFonts w:ascii="Arial" w:hAnsi="Arial" w:cs="Arial"/>
        </w:rPr>
      </w:pPr>
      <w:r>
        <w:rPr>
          <w:rFonts w:cs="Arial"/>
        </w:rPr>
        <w:t>Melhorara disponibilização do serviço do Ambiente Virtual de Aprendizagem.</w:t>
      </w:r>
    </w:p>
    <w:p>
      <w:pPr>
        <w:pStyle w:val="ListParagraph"/>
        <w:numPr>
          <w:ilvl w:val="0"/>
          <w:numId w:val="43"/>
        </w:numPr>
        <w:spacing w:lineRule="auto" w:line="360" w:before="0" w:after="0"/>
        <w:contextualSpacing/>
        <w:jc w:val="both"/>
        <w:rPr>
          <w:rFonts w:ascii="Arial" w:hAnsi="Arial" w:cs="Arial"/>
        </w:rPr>
      </w:pPr>
      <w:r>
        <w:rPr>
          <w:rFonts w:cs="Arial"/>
        </w:rPr>
        <w:t xml:space="preserve">Ofertar disciplinas da pós-graduação </w:t>
      </w:r>
      <w:r>
        <w:rPr>
          <w:rFonts w:cs="Arial"/>
          <w:i/>
        </w:rPr>
        <w:t>stricto sensu</w:t>
      </w:r>
      <w:r>
        <w:rPr>
          <w:rFonts w:cs="Arial"/>
        </w:rPr>
        <w:t xml:space="preserve"> da UFVJM.</w:t>
      </w:r>
    </w:p>
    <w:p>
      <w:pPr>
        <w:pStyle w:val="ListParagraph"/>
        <w:numPr>
          <w:ilvl w:val="0"/>
          <w:numId w:val="43"/>
        </w:numPr>
        <w:spacing w:lineRule="auto" w:line="360" w:before="0" w:after="0"/>
        <w:contextualSpacing/>
        <w:jc w:val="both"/>
        <w:rPr>
          <w:rFonts w:ascii="Arial" w:hAnsi="Arial" w:cs="Arial"/>
          <w:color w:val="0070C0"/>
        </w:rPr>
      </w:pPr>
      <w:r>
        <w:rPr>
          <w:rFonts w:cs="Arial"/>
          <w:color w:val="0070C0"/>
        </w:rPr>
        <w:t>Manter a oferta nos polos de apoio presenciais existentes, com ampliação para outros - municípios do estado de Minas Gerais, em especial, do norte mineiro.</w:t>
      </w:r>
    </w:p>
    <w:p>
      <w:pPr>
        <w:pStyle w:val="ListParagraph"/>
        <w:numPr>
          <w:ilvl w:val="0"/>
          <w:numId w:val="43"/>
        </w:numPr>
        <w:spacing w:lineRule="auto" w:line="360" w:before="0" w:after="0"/>
        <w:contextualSpacing/>
        <w:jc w:val="both"/>
        <w:rPr>
          <w:rFonts w:ascii="Arial" w:hAnsi="Arial" w:cs="Arial"/>
        </w:rPr>
      </w:pPr>
      <w:r>
        <w:rPr>
          <w:rFonts w:cs="Arial"/>
        </w:rPr>
        <w:t>Manter a oferta nos polos de apoio presenciais existentes, com ampliação para os municípios de Araçuaí, Conceição do Mato Dentro, Corinto e Itamarandiba.</w:t>
      </w:r>
    </w:p>
    <w:p>
      <w:pPr>
        <w:pStyle w:val="ListParagraph"/>
        <w:numPr>
          <w:ilvl w:val="0"/>
          <w:numId w:val="43"/>
        </w:numPr>
        <w:spacing w:lineRule="auto" w:line="360" w:before="0" w:after="0"/>
        <w:contextualSpacing/>
        <w:jc w:val="both"/>
        <w:rPr>
          <w:rFonts w:ascii="Arial" w:hAnsi="Arial" w:cs="Arial"/>
        </w:rPr>
      </w:pPr>
      <w:r>
        <w:rPr>
          <w:rFonts w:cs="Arial"/>
        </w:rPr>
        <w:t>Desenvolver acordos de cooperação nacionais e internacionais para a oferta de cursos em EaD.</w:t>
      </w:r>
    </w:p>
    <w:p>
      <w:pPr>
        <w:pStyle w:val="ListParagraph"/>
        <w:numPr>
          <w:ilvl w:val="0"/>
          <w:numId w:val="43"/>
        </w:numPr>
        <w:spacing w:lineRule="auto" w:line="360" w:before="0" w:after="0"/>
        <w:contextualSpacing/>
        <w:jc w:val="both"/>
        <w:rPr>
          <w:rFonts w:ascii="Arial" w:hAnsi="Arial" w:cs="Arial"/>
        </w:rPr>
      </w:pPr>
      <w:r>
        <w:rPr>
          <w:rFonts w:cs="Arial"/>
        </w:rPr>
        <w:t xml:space="preserve">Analisar as novas tecnologias para a educação aberta e a educação a distância. </w:t>
      </w:r>
    </w:p>
    <w:p>
      <w:pPr>
        <w:pStyle w:val="ListParagraph"/>
        <w:numPr>
          <w:ilvl w:val="0"/>
          <w:numId w:val="43"/>
        </w:numPr>
        <w:spacing w:lineRule="auto" w:line="360" w:before="0" w:after="0"/>
        <w:contextualSpacing/>
        <w:jc w:val="both"/>
        <w:rPr>
          <w:rFonts w:ascii="Arial" w:hAnsi="Arial" w:cs="Arial"/>
        </w:rPr>
      </w:pPr>
      <w:r>
        <w:rPr>
          <w:rFonts w:cs="Arial"/>
        </w:rPr>
        <w:t>Investir em recursos humanos para atuação em EaD.</w:t>
      </w:r>
    </w:p>
    <w:p>
      <w:pPr>
        <w:pStyle w:val="Normal1"/>
        <w:spacing w:lineRule="auto" w:line="360"/>
        <w:jc w:val="both"/>
        <w:rPr>
          <w:rFonts w:ascii="Arial" w:hAnsi="Arial" w:cs="Arial"/>
        </w:rPr>
      </w:pPr>
      <w:r>
        <w:rPr>
          <w:rFonts w:cs="Arial"/>
        </w:rPr>
      </w:r>
    </w:p>
    <w:p>
      <w:pPr>
        <w:pStyle w:val="Normal1"/>
        <w:spacing w:lineRule="auto" w:line="360"/>
        <w:jc w:val="both"/>
        <w:rPr>
          <w:rFonts w:ascii="Arial" w:hAnsi="Arial" w:cs="Arial"/>
          <w:b/>
          <w:b/>
        </w:rPr>
      </w:pPr>
      <w:r>
        <w:rPr>
          <w:rFonts w:cs="Arial"/>
          <w:b/>
        </w:rPr>
        <w:t>Metas</w:t>
      </w:r>
    </w:p>
    <w:p>
      <w:pPr>
        <w:pStyle w:val="Normal1"/>
        <w:spacing w:lineRule="auto" w:line="360"/>
        <w:jc w:val="both"/>
        <w:rPr>
          <w:rFonts w:ascii="Arial" w:hAnsi="Arial" w:cs="Arial"/>
          <w:b/>
          <w:b/>
        </w:rPr>
      </w:pPr>
      <w:r>
        <w:rPr>
          <w:rFonts w:cs="Arial"/>
          <w:b/>
        </w:rPr>
      </w:r>
    </w:p>
    <w:p>
      <w:pPr>
        <w:pStyle w:val="ListParagraph"/>
        <w:numPr>
          <w:ilvl w:val="0"/>
          <w:numId w:val="44"/>
        </w:numPr>
        <w:spacing w:lineRule="auto" w:line="360" w:before="0" w:after="0"/>
        <w:contextualSpacing/>
        <w:jc w:val="both"/>
        <w:rPr>
          <w:rFonts w:ascii="Arial" w:hAnsi="Arial" w:cs="Arial"/>
        </w:rPr>
      </w:pPr>
      <w:r>
        <w:rPr>
          <w:rFonts w:cs="Arial"/>
        </w:rPr>
        <w:t>Implementar estratégias de avaliação de todos os cursos da EaD.</w:t>
      </w:r>
    </w:p>
    <w:p>
      <w:pPr>
        <w:pStyle w:val="ListParagraph"/>
        <w:numPr>
          <w:ilvl w:val="0"/>
          <w:numId w:val="44"/>
        </w:numPr>
        <w:spacing w:lineRule="auto" w:line="360" w:before="0" w:after="0"/>
        <w:contextualSpacing/>
        <w:jc w:val="both"/>
        <w:rPr>
          <w:rFonts w:ascii="Arial" w:hAnsi="Arial" w:cs="Arial"/>
        </w:rPr>
      </w:pPr>
      <w:r>
        <w:rPr>
          <w:rFonts w:cs="Arial"/>
        </w:rPr>
        <w:t>Obter recursos financeiros da UFVJM para institucionalização, bem como para o fortalecimento dos cursos em EaD no âmbito da UFVJM, visando ampliar a por iniciativa e financiamento próprios.</w:t>
      </w:r>
    </w:p>
    <w:p>
      <w:pPr>
        <w:pStyle w:val="ListParagraph"/>
        <w:numPr>
          <w:ilvl w:val="0"/>
          <w:numId w:val="44"/>
        </w:numPr>
        <w:spacing w:lineRule="auto" w:line="360" w:before="0" w:after="0"/>
        <w:contextualSpacing/>
        <w:jc w:val="both"/>
        <w:rPr>
          <w:rFonts w:ascii="Arial" w:hAnsi="Arial" w:cs="Arial"/>
        </w:rPr>
      </w:pPr>
      <w:r>
        <w:rPr>
          <w:rFonts w:cs="Arial"/>
        </w:rPr>
        <w:t>Adquirir mobiliário e rede lógica para o prédio da DEAD.</w:t>
      </w:r>
    </w:p>
    <w:p>
      <w:pPr>
        <w:pStyle w:val="ListParagraph"/>
        <w:numPr>
          <w:ilvl w:val="0"/>
          <w:numId w:val="44"/>
        </w:numPr>
        <w:spacing w:lineRule="auto" w:line="360" w:before="0" w:after="0"/>
        <w:contextualSpacing/>
        <w:jc w:val="both"/>
        <w:rPr>
          <w:rFonts w:ascii="Arial" w:hAnsi="Arial" w:cs="Arial"/>
        </w:rPr>
      </w:pPr>
      <w:r>
        <w:rPr>
          <w:rFonts w:cs="Arial"/>
        </w:rPr>
        <w:t>Implementar cursos em parceria com a PROGEP.</w:t>
      </w:r>
    </w:p>
    <w:p>
      <w:pPr>
        <w:pStyle w:val="ListParagraph"/>
        <w:numPr>
          <w:ilvl w:val="0"/>
          <w:numId w:val="44"/>
        </w:numPr>
        <w:spacing w:lineRule="auto" w:line="360" w:before="0" w:after="0"/>
        <w:contextualSpacing/>
        <w:jc w:val="both"/>
        <w:rPr>
          <w:rFonts w:ascii="Arial" w:hAnsi="Arial" w:cs="Arial"/>
        </w:rPr>
      </w:pPr>
      <w:r>
        <w:rPr>
          <w:rFonts w:cs="Arial"/>
        </w:rPr>
        <w:t>Migrar os atuais servidores para um serviço de “nuvem eletrônica”.</w:t>
      </w:r>
    </w:p>
    <w:p>
      <w:pPr>
        <w:pStyle w:val="ListParagraph"/>
        <w:numPr>
          <w:ilvl w:val="0"/>
          <w:numId w:val="44"/>
        </w:numPr>
        <w:spacing w:lineRule="auto" w:line="360" w:before="0" w:after="0"/>
        <w:contextualSpacing/>
        <w:jc w:val="both"/>
        <w:rPr>
          <w:rFonts w:ascii="Arial" w:hAnsi="Arial" w:cs="Arial"/>
          <w:color w:val="0070C0"/>
        </w:rPr>
      </w:pPr>
      <w:r>
        <w:rPr>
          <w:rFonts w:cs="Arial"/>
          <w:color w:val="0070C0"/>
        </w:rPr>
        <w:t xml:space="preserve">Ofertar disciplinas, na modalidade a distância, de cursos de pós-graduação </w:t>
      </w:r>
      <w:r>
        <w:rPr>
          <w:rFonts w:cs="Arial"/>
          <w:i/>
          <w:color w:val="0070C0"/>
        </w:rPr>
        <w:t>Stricto Sensu</w:t>
      </w:r>
      <w:r>
        <w:rPr>
          <w:rFonts w:cs="Arial"/>
          <w:color w:val="0070C0"/>
        </w:rPr>
        <w:t xml:space="preserve"> já existentes na UFVJM, bem como cursos relacionados a EaD para professores e técnicos-administrativos da UFVJM.</w:t>
      </w:r>
    </w:p>
    <w:p>
      <w:pPr>
        <w:pStyle w:val="ListParagraph"/>
        <w:numPr>
          <w:ilvl w:val="0"/>
          <w:numId w:val="44"/>
        </w:numPr>
        <w:spacing w:lineRule="auto" w:line="360" w:before="0" w:after="0"/>
        <w:contextualSpacing/>
        <w:jc w:val="both"/>
        <w:rPr>
          <w:rFonts w:ascii="Arial" w:hAnsi="Arial" w:cs="Arial"/>
        </w:rPr>
      </w:pPr>
      <w:r>
        <w:rPr>
          <w:rFonts w:cs="Arial"/>
        </w:rPr>
        <w:t xml:space="preserve">Ofertar disciplinas, na modalidade a distância, de cursos de pós-graduação </w:t>
      </w:r>
      <w:r>
        <w:rPr>
          <w:rFonts w:cs="Arial"/>
          <w:i/>
        </w:rPr>
        <w:t>stricto sensu</w:t>
      </w:r>
      <w:r>
        <w:rPr>
          <w:rFonts w:cs="Arial"/>
        </w:rPr>
        <w:t xml:space="preserve"> já existentes na UFVJM.</w:t>
      </w:r>
    </w:p>
    <w:p>
      <w:pPr>
        <w:pStyle w:val="ListParagraph"/>
        <w:numPr>
          <w:ilvl w:val="0"/>
          <w:numId w:val="44"/>
        </w:numPr>
        <w:spacing w:lineRule="auto" w:line="360" w:before="0" w:after="0"/>
        <w:contextualSpacing/>
        <w:jc w:val="both"/>
        <w:rPr>
          <w:rFonts w:ascii="Arial" w:hAnsi="Arial" w:cs="Arial"/>
        </w:rPr>
      </w:pPr>
      <w:r>
        <w:rPr>
          <w:rFonts w:cs="Arial"/>
        </w:rPr>
        <w:t>Condicionar a oferta nos polos de apoio presenciais existentes e a ampliá-la a outros municípios, mediante contrapartida de custeio dos cursos e manutenção dos polos, com força de lei municipal.</w:t>
      </w:r>
    </w:p>
    <w:p>
      <w:pPr>
        <w:pStyle w:val="ListParagraph"/>
        <w:numPr>
          <w:ilvl w:val="0"/>
          <w:numId w:val="44"/>
        </w:numPr>
        <w:spacing w:lineRule="auto" w:line="360" w:before="0" w:after="0"/>
        <w:contextualSpacing/>
        <w:jc w:val="both"/>
        <w:rPr>
          <w:rFonts w:ascii="Arial" w:hAnsi="Arial" w:cs="Arial"/>
        </w:rPr>
      </w:pPr>
      <w:r>
        <w:rPr>
          <w:rFonts w:cs="Arial"/>
        </w:rPr>
        <w:t>Expandir e internacionalizar o ensino também por meio da modalidade EAD, com oferta de cursos de capacitação e de extensão.</w:t>
      </w:r>
    </w:p>
    <w:p>
      <w:pPr>
        <w:pStyle w:val="ListParagraph"/>
        <w:numPr>
          <w:ilvl w:val="0"/>
          <w:numId w:val="44"/>
        </w:numPr>
        <w:spacing w:lineRule="auto" w:line="360" w:before="0" w:after="0"/>
        <w:contextualSpacing/>
        <w:jc w:val="both"/>
        <w:rPr>
          <w:rFonts w:ascii="Arial" w:hAnsi="Arial" w:cs="Arial"/>
        </w:rPr>
      </w:pPr>
      <w:r>
        <w:rPr>
          <w:rFonts w:cs="Arial"/>
        </w:rPr>
        <w:t>Aumentar a qualidade do ensino a distância com base em referenciais conceituais e políticos que privilegiem a eficiência acadêmica.</w:t>
      </w:r>
    </w:p>
    <w:p>
      <w:pPr>
        <w:pStyle w:val="ListParagraph"/>
        <w:numPr>
          <w:ilvl w:val="0"/>
          <w:numId w:val="44"/>
        </w:numPr>
        <w:spacing w:lineRule="auto" w:line="360" w:before="0" w:after="0"/>
        <w:contextualSpacing/>
        <w:jc w:val="both"/>
        <w:rPr>
          <w:rFonts w:ascii="Arial" w:hAnsi="Arial" w:cs="Arial"/>
        </w:rPr>
      </w:pPr>
      <w:r>
        <w:rPr>
          <w:rFonts w:cs="Arial"/>
        </w:rPr>
        <w:t>Ampliar o quadro de docentes e servidores técnico-administrativos efetivos para atuação em atividades administrativas e acadêmicas relacionadas à EAD.</w:t>
      </w:r>
    </w:p>
    <w:p>
      <w:pPr>
        <w:pStyle w:val="Normal1"/>
        <w:spacing w:lineRule="auto" w:line="360"/>
        <w:jc w:val="both"/>
        <w:rPr>
          <w:rFonts w:ascii="Arial" w:hAnsi="Arial" w:cs="Arial"/>
        </w:rPr>
      </w:pPr>
      <w:r>
        <w:rPr>
          <w:rFonts w:cs="Arial"/>
        </w:rPr>
      </w:r>
    </w:p>
    <w:p>
      <w:pPr>
        <w:pStyle w:val="Normal1"/>
        <w:spacing w:lineRule="auto" w:line="360"/>
        <w:jc w:val="both"/>
        <w:rPr>
          <w:rFonts w:ascii="Arial" w:hAnsi="Arial" w:cs="Arial"/>
          <w:b/>
          <w:b/>
        </w:rPr>
      </w:pPr>
      <w:r>
        <w:rPr>
          <w:rFonts w:cs="Arial"/>
          <w:b/>
        </w:rPr>
        <w:t xml:space="preserve">Ações </w:t>
      </w:r>
    </w:p>
    <w:p>
      <w:pPr>
        <w:pStyle w:val="Normal1"/>
        <w:spacing w:lineRule="auto" w:line="360"/>
        <w:jc w:val="both"/>
        <w:rPr>
          <w:rFonts w:ascii="Arial" w:hAnsi="Arial" w:cs="Arial"/>
          <w:b/>
          <w:b/>
        </w:rPr>
      </w:pPr>
      <w:r>
        <w:rPr>
          <w:rFonts w:cs="Arial"/>
          <w:b/>
        </w:rPr>
      </w:r>
    </w:p>
    <w:p>
      <w:pPr>
        <w:pStyle w:val="ListParagraph"/>
        <w:numPr>
          <w:ilvl w:val="0"/>
          <w:numId w:val="45"/>
        </w:numPr>
        <w:spacing w:lineRule="auto" w:line="360" w:before="0" w:after="0"/>
        <w:contextualSpacing/>
        <w:jc w:val="both"/>
        <w:rPr>
          <w:rFonts w:ascii="Arial" w:hAnsi="Arial" w:cs="Arial"/>
        </w:rPr>
      </w:pPr>
      <w:r>
        <w:rPr>
          <w:rFonts w:cs="Arial"/>
        </w:rPr>
        <w:t xml:space="preserve">Estabelecer medidas de aprimoramento dos processos de ensino e aprendizagem nos cursos de graduação a distância, a partir de processos avaliativos a serem instituídos nesses cursos. </w:t>
      </w:r>
    </w:p>
    <w:p>
      <w:pPr>
        <w:pStyle w:val="ListParagraph"/>
        <w:numPr>
          <w:ilvl w:val="0"/>
          <w:numId w:val="45"/>
        </w:numPr>
        <w:spacing w:lineRule="auto" w:line="360" w:before="0" w:after="0"/>
        <w:contextualSpacing/>
        <w:jc w:val="both"/>
        <w:rPr>
          <w:rFonts w:ascii="Arial" w:hAnsi="Arial" w:cs="Arial"/>
        </w:rPr>
      </w:pPr>
      <w:r>
        <w:rPr>
          <w:rFonts w:cs="Arial"/>
        </w:rPr>
        <w:t>Inserir os alunos da modalidade no financiamento global da UFVJM, reduzindo a dependência dos recursos do Programa UAB e proporcionando um aumento do número de discentes matriculados em cursos de graduação e pós-graduação nessa modalidade, ampliando o acesso à universidade.</w:t>
      </w:r>
    </w:p>
    <w:p>
      <w:pPr>
        <w:pStyle w:val="ListParagraph"/>
        <w:numPr>
          <w:ilvl w:val="0"/>
          <w:numId w:val="45"/>
        </w:numPr>
        <w:spacing w:lineRule="auto" w:line="360" w:before="0" w:after="0"/>
        <w:contextualSpacing/>
        <w:jc w:val="both"/>
        <w:rPr>
          <w:rFonts w:ascii="Arial" w:hAnsi="Arial" w:cs="Arial"/>
        </w:rPr>
      </w:pPr>
      <w:r>
        <w:rPr>
          <w:rFonts w:cs="Arial"/>
        </w:rPr>
        <w:t>Negociar com a Reitoria a obtenção de recursos para aquisição de mobiliário e de rede lógica para o prédio da DEAD.</w:t>
      </w:r>
    </w:p>
    <w:p>
      <w:pPr>
        <w:pStyle w:val="ListParagraph"/>
        <w:numPr>
          <w:ilvl w:val="0"/>
          <w:numId w:val="45"/>
        </w:numPr>
        <w:spacing w:lineRule="auto" w:line="360" w:before="0" w:after="0"/>
        <w:contextualSpacing/>
        <w:jc w:val="both"/>
        <w:rPr>
          <w:rFonts w:ascii="Arial" w:hAnsi="Arial" w:cs="Arial"/>
        </w:rPr>
      </w:pPr>
      <w:r>
        <w:rPr>
          <w:rFonts w:cs="Arial"/>
        </w:rPr>
        <w:t xml:space="preserve">Criar, organizar e implementar cursos, via modalidade EaD, juntamente com a PROGEP </w:t>
      </w:r>
      <w:r>
        <w:rPr>
          <w:rFonts w:cs="Arial"/>
          <w:color w:val="0070C0"/>
        </w:rPr>
        <w:t>e a PROPLAN</w:t>
      </w:r>
      <w:r>
        <w:rPr>
          <w:rFonts w:cs="Arial"/>
        </w:rPr>
        <w:t xml:space="preserve"> para qualificação de servidores.</w:t>
      </w:r>
    </w:p>
    <w:p>
      <w:pPr>
        <w:pStyle w:val="ListParagraph"/>
        <w:numPr>
          <w:ilvl w:val="0"/>
          <w:numId w:val="45"/>
        </w:numPr>
        <w:spacing w:lineRule="auto" w:line="360" w:before="0" w:after="0"/>
        <w:contextualSpacing/>
        <w:jc w:val="both"/>
        <w:rPr>
          <w:rFonts w:ascii="Arial" w:hAnsi="Arial" w:cs="Arial"/>
        </w:rPr>
      </w:pPr>
      <w:r>
        <w:rPr>
          <w:rFonts w:cs="Arial"/>
        </w:rPr>
        <w:t>Conseguir financiamento para a contratação de uma empresa de serviço de “nuvem eletrônica”.</w:t>
      </w:r>
    </w:p>
    <w:p>
      <w:pPr>
        <w:pStyle w:val="ListParagraph"/>
        <w:numPr>
          <w:ilvl w:val="0"/>
          <w:numId w:val="45"/>
        </w:numPr>
        <w:spacing w:lineRule="auto" w:line="360" w:before="0" w:after="0"/>
        <w:contextualSpacing/>
        <w:jc w:val="both"/>
        <w:rPr>
          <w:rFonts w:ascii="Arial" w:hAnsi="Arial" w:cs="Arial"/>
        </w:rPr>
      </w:pPr>
      <w:r>
        <w:rPr>
          <w:rFonts w:cs="Arial"/>
        </w:rPr>
        <w:t xml:space="preserve">Firmar parceria com os Programas de Pós-graduação </w:t>
      </w:r>
      <w:r>
        <w:rPr>
          <w:rFonts w:cs="Arial"/>
          <w:i/>
        </w:rPr>
        <w:t>stricto sensu</w:t>
      </w:r>
      <w:r>
        <w:rPr>
          <w:rFonts w:cs="Arial"/>
        </w:rPr>
        <w:t xml:space="preserve"> da UFVJM, a fim de prestar auxílio à construção e à oferta de disciplinas a distância.</w:t>
      </w:r>
    </w:p>
    <w:p>
      <w:pPr>
        <w:pStyle w:val="ListParagraph"/>
        <w:numPr>
          <w:ilvl w:val="0"/>
          <w:numId w:val="45"/>
        </w:numPr>
        <w:spacing w:lineRule="auto" w:line="360" w:before="0" w:after="0"/>
        <w:contextualSpacing/>
        <w:jc w:val="both"/>
        <w:rPr>
          <w:rFonts w:ascii="Arial" w:hAnsi="Arial" w:cs="Arial"/>
          <w:color w:val="0070C0"/>
        </w:rPr>
      </w:pPr>
      <w:r>
        <w:rPr>
          <w:rFonts w:cs="Arial"/>
          <w:color w:val="0070C0"/>
        </w:rPr>
        <w:t>Definir os cursos a serem apresentados aos municípios bem como os polos a serem implementados por ano a partir de 2018.</w:t>
      </w:r>
    </w:p>
    <w:p>
      <w:pPr>
        <w:pStyle w:val="ListParagraph"/>
        <w:numPr>
          <w:ilvl w:val="0"/>
          <w:numId w:val="45"/>
        </w:numPr>
        <w:spacing w:lineRule="auto" w:line="360" w:before="0" w:after="0"/>
        <w:contextualSpacing/>
        <w:jc w:val="both"/>
        <w:rPr>
          <w:rFonts w:ascii="Arial" w:hAnsi="Arial" w:cs="Arial"/>
        </w:rPr>
      </w:pPr>
      <w:r>
        <w:rPr>
          <w:rFonts w:cs="Arial"/>
        </w:rPr>
        <w:t>Definir os cursos a serem apresentados aos municípios, com implementação limitada a um polo por ano a partir de 2018.</w:t>
      </w:r>
    </w:p>
    <w:p>
      <w:pPr>
        <w:pStyle w:val="ListParagraph"/>
        <w:numPr>
          <w:ilvl w:val="0"/>
          <w:numId w:val="45"/>
        </w:numPr>
        <w:spacing w:lineRule="auto" w:line="360" w:before="0" w:after="0"/>
        <w:contextualSpacing/>
        <w:jc w:val="both"/>
        <w:rPr>
          <w:rFonts w:ascii="Arial" w:hAnsi="Arial" w:cs="Arial"/>
        </w:rPr>
      </w:pPr>
      <w:r>
        <w:rPr>
          <w:rFonts w:cs="Arial"/>
        </w:rPr>
        <w:t>Estabelecer parcerias com universidades brasileiras e estrangeiras para a oferta de diferentes cursos em EaD.</w:t>
      </w:r>
    </w:p>
    <w:p>
      <w:pPr>
        <w:pStyle w:val="Normal"/>
        <w:spacing w:lineRule="auto" w:line="360"/>
        <w:ind w:left="360" w:hanging="0"/>
        <w:jc w:val="both"/>
        <w:rPr>
          <w:rFonts w:ascii="Arial" w:hAnsi="Arial" w:cs="Arial"/>
          <w:sz w:val="24"/>
          <w:szCs w:val="24"/>
        </w:rPr>
      </w:pPr>
      <w:r>
        <w:rPr>
          <w:rFonts w:cs="Arial" w:ascii="Arial" w:hAnsi="Arial"/>
          <w:sz w:val="24"/>
          <w:szCs w:val="24"/>
          <w:highlight w:val="cyan"/>
        </w:rPr>
        <w:t>(SOLICITANTE: LEIDA – PROGRAD)</w:t>
      </w:r>
    </w:p>
    <w:p>
      <w:pPr>
        <w:pStyle w:val="ListParagraph"/>
        <w:numPr>
          <w:ilvl w:val="0"/>
          <w:numId w:val="45"/>
        </w:numPr>
        <w:spacing w:lineRule="auto" w:line="360" w:before="0" w:after="0"/>
        <w:contextualSpacing/>
        <w:jc w:val="both"/>
        <w:rPr>
          <w:rFonts w:ascii="Arial" w:hAnsi="Arial" w:cs="Arial"/>
          <w:color w:val="0070C0"/>
        </w:rPr>
      </w:pPr>
      <w:r>
        <w:rPr>
          <w:rFonts w:cs="Arial"/>
          <w:color w:val="0070C0"/>
        </w:rPr>
        <w:t>Consolidar a relação com a Educação Básica, promovendo um contínuo contato dos saberes e experiências;</w:t>
      </w:r>
    </w:p>
    <w:p>
      <w:pPr>
        <w:pStyle w:val="ListParagraph"/>
        <w:numPr>
          <w:ilvl w:val="0"/>
          <w:numId w:val="45"/>
        </w:numPr>
        <w:spacing w:lineRule="auto" w:line="360" w:before="0" w:after="0"/>
        <w:contextualSpacing/>
        <w:jc w:val="both"/>
        <w:rPr>
          <w:rFonts w:ascii="Arial" w:hAnsi="Arial" w:cs="Arial"/>
        </w:rPr>
      </w:pPr>
      <w:r>
        <w:rPr>
          <w:rFonts w:cs="Arial"/>
        </w:rPr>
        <w:t>Investir em recursos tecnológicos e em ferramentas de aprendizagem para EaD.</w:t>
      </w:r>
    </w:p>
    <w:p>
      <w:pPr>
        <w:pStyle w:val="ListParagraph"/>
        <w:numPr>
          <w:ilvl w:val="0"/>
          <w:numId w:val="45"/>
        </w:numPr>
        <w:spacing w:lineRule="auto" w:line="360" w:before="0" w:after="0"/>
        <w:contextualSpacing/>
        <w:jc w:val="both"/>
        <w:rPr>
          <w:rFonts w:ascii="Arial" w:hAnsi="Arial" w:cs="Arial"/>
        </w:rPr>
      </w:pPr>
      <w:r>
        <w:rPr>
          <w:rFonts w:cs="Arial"/>
        </w:rPr>
        <w:t>Contratar e capacitar novos técnico-administrativos e docentes vinculados à Educação Aberta e à Distância.</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highlight w:val="cyan"/>
        </w:rPr>
        <w:t>(SOLICITANTE: COORDENAÇÃO DA LEC – sugestão de local de inserção: Comissão PDI 2017-2021)</w:t>
      </w:r>
    </w:p>
    <w:p>
      <w:pPr>
        <w:pStyle w:val="Normal"/>
        <w:spacing w:lineRule="auto" w:line="360"/>
        <w:jc w:val="both"/>
        <w:rPr>
          <w:rFonts w:ascii="Arial" w:hAnsi="Arial" w:cs="Arial"/>
          <w:sz w:val="24"/>
          <w:szCs w:val="24"/>
        </w:rPr>
      </w:pPr>
      <w:r>
        <w:rPr>
          <w:rFonts w:cs="Arial" w:ascii="Arial" w:hAnsi="Arial"/>
          <w:sz w:val="24"/>
          <w:szCs w:val="24"/>
        </w:rPr>
      </w:r>
    </w:p>
    <w:p>
      <w:pPr>
        <w:pStyle w:val="Normal1"/>
        <w:spacing w:lineRule="auto" w:line="360"/>
        <w:jc w:val="both"/>
        <w:rPr>
          <w:rFonts w:ascii="Arial" w:hAnsi="Arial" w:cs="Arial"/>
          <w:b/>
          <w:b/>
        </w:rPr>
      </w:pPr>
      <w:r>
        <w:rPr>
          <w:rFonts w:cs="Arial"/>
          <w:b/>
        </w:rPr>
        <w:t xml:space="preserve">2.9 Graduação em Educação do Campo </w:t>
      </w:r>
    </w:p>
    <w:p>
      <w:pPr>
        <w:pStyle w:val="Normal1"/>
        <w:spacing w:lineRule="auto" w:line="360"/>
        <w:ind w:firstLine="708"/>
        <w:jc w:val="both"/>
        <w:rPr>
          <w:rFonts w:ascii="Arial" w:hAnsi="Arial" w:cs="Arial"/>
        </w:rPr>
      </w:pPr>
      <w:r>
        <w:rPr>
          <w:rFonts w:cs="Arial"/>
        </w:rPr>
        <w:tab/>
      </w:r>
    </w:p>
    <w:p>
      <w:pPr>
        <w:pStyle w:val="Normal"/>
        <w:spacing w:lineRule="auto" w:line="360"/>
        <w:ind w:left="142" w:firstLine="566"/>
        <w:jc w:val="both"/>
        <w:rPr>
          <w:rFonts w:ascii="Arial" w:hAnsi="Arial" w:cs="Arial"/>
          <w:color w:val="4F81BD" w:themeColor="accent1"/>
          <w:sz w:val="24"/>
          <w:szCs w:val="24"/>
        </w:rPr>
      </w:pP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3"/>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4"/>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ondiçõ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4"/>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w:t>
      </w:r>
      <w:r>
        <w:rPr>
          <w:rFonts w:eastAsia="Times New Roman" w:cs="Arial" w:ascii="Arial" w:hAnsi="Arial"/>
          <w:color w:val="4F81BD" w:themeColor="accent1"/>
          <w:spacing w:val="10"/>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rta</w:t>
      </w:r>
      <w:r>
        <w:rPr>
          <w:rFonts w:eastAsia="Times New Roman" w:cs="Arial" w:ascii="Arial" w:hAnsi="Arial"/>
          <w:color w:val="4F81BD" w:themeColor="accent1"/>
          <w:spacing w:val="13"/>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3"/>
          <w:sz w:val="24"/>
          <w:szCs w:val="24"/>
        </w:rPr>
        <w:t xml:space="preserve"> </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mpo</w:t>
      </w:r>
      <w:r>
        <w:rPr>
          <w:rFonts w:eastAsia="Times New Roman" w:cs="Arial" w:ascii="Arial" w:hAnsi="Arial"/>
          <w:color w:val="4F81BD" w:themeColor="accent1"/>
          <w:spacing w:val="12"/>
          <w:sz w:val="24"/>
          <w:szCs w:val="24"/>
        </w:rPr>
        <w:t xml:space="preserve"> </w:t>
      </w:r>
      <w:r>
        <w:rPr>
          <w:rFonts w:eastAsia="Times New Roman" w:cs="Arial" w:ascii="Arial" w:hAnsi="Arial"/>
          <w:color w:val="4F81BD" w:themeColor="accent1"/>
          <w:sz w:val="24"/>
          <w:szCs w:val="24"/>
        </w:rPr>
        <w:t>Uni</w:t>
      </w:r>
      <w:r>
        <w:rPr>
          <w:rFonts w:eastAsia="Times New Roman" w:cs="Arial" w:ascii="Arial" w:hAnsi="Arial"/>
          <w:color w:val="4F81BD" w:themeColor="accent1"/>
          <w:spacing w:val="2"/>
          <w:sz w:val="24"/>
          <w:szCs w:val="24"/>
        </w:rPr>
        <w:t>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rsid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3"/>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1"/>
          <w:sz w:val="24"/>
          <w:szCs w:val="24"/>
        </w:rPr>
        <w:t xml:space="preserve"> </w:t>
      </w:r>
      <w:r>
        <w:rPr>
          <w:rFonts w:eastAsia="Times New Roman" w:cs="Arial" w:ascii="Arial" w:hAnsi="Arial"/>
          <w:color w:val="4F81BD" w:themeColor="accent1"/>
          <w:spacing w:val="2"/>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mpo</w:t>
      </w:r>
      <w:r>
        <w:rPr>
          <w:rFonts w:eastAsia="Times New Roman" w:cs="Arial" w:ascii="Arial" w:hAnsi="Arial"/>
          <w:color w:val="4F81BD" w:themeColor="accent1"/>
          <w:spacing w:val="12"/>
          <w:sz w:val="24"/>
          <w:szCs w:val="24"/>
        </w:rPr>
        <w:t xml:space="preserve"> </w:t>
      </w:r>
      <w:r>
        <w:rPr>
          <w:rFonts w:eastAsia="Times New Roman" w:cs="Arial" w:ascii="Arial" w:hAnsi="Arial"/>
          <w:color w:val="4F81BD" w:themeColor="accent1"/>
          <w:sz w:val="24"/>
          <w:szCs w:val="24"/>
        </w:rPr>
        <w:t>C</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w:t>
      </w:r>
      <w:r>
        <w:rPr>
          <w:rFonts w:cs="Arial" w:ascii="Arial" w:hAnsi="Arial"/>
          <w:color w:val="4F81BD" w:themeColor="accent1"/>
          <w:sz w:val="24"/>
          <w:szCs w:val="24"/>
        </w:rPr>
        <w:t xml:space="preserve"> </w:t>
      </w:r>
      <w:r>
        <w:rPr>
          <w:rFonts w:eastAsia="Times New Roman" w:cs="Arial" w:ascii="Arial" w:hAnsi="Arial"/>
          <w:color w:val="4F81BD" w:themeColor="accent1"/>
          <w:sz w:val="24"/>
          <w:szCs w:val="24"/>
        </w:rPr>
        <w:t>Este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njo</w:t>
      </w:r>
      <w:r>
        <w:rPr>
          <w:rFonts w:eastAsia="Times New Roman" w:cs="Arial" w:ascii="Arial" w:hAnsi="Arial"/>
          <w:color w:val="4F81BD" w:themeColor="accent1"/>
          <w:spacing w:val="2"/>
          <w:sz w:val="24"/>
          <w:szCs w:val="24"/>
        </w:rPr>
        <w:t xml:space="preserve"> d</w:t>
      </w:r>
      <w:r>
        <w:rPr>
          <w:rFonts w:eastAsia="Times New Roman" w:cs="Arial" w:ascii="Arial" w:hAnsi="Arial"/>
          <w:color w:val="4F81BD" w:themeColor="accent1"/>
          <w:sz w:val="24"/>
          <w:szCs w:val="24"/>
        </w:rPr>
        <w:t>e tempos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spa</w:t>
      </w:r>
      <w:r>
        <w:rPr>
          <w:rFonts w:eastAsia="Times New Roman" w:cs="Arial" w:ascii="Arial" w:hAnsi="Arial"/>
          <w:color w:val="4F81BD" w:themeColor="accent1"/>
          <w:spacing w:val="-2"/>
          <w:sz w:val="24"/>
          <w:szCs w:val="24"/>
        </w:rPr>
        <w:t>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d</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dos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rticul</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2"/>
          <w:sz w:val="24"/>
          <w:szCs w:val="24"/>
        </w:rPr>
        <w:t xml:space="preserve"> d</w:t>
      </w:r>
      <w:r>
        <w:rPr>
          <w:rFonts w:eastAsia="Times New Roman" w:cs="Arial" w:ascii="Arial" w:hAnsi="Arial"/>
          <w:color w:val="4F81BD" w:themeColor="accent1"/>
          <w:sz w:val="24"/>
          <w:szCs w:val="24"/>
        </w:rPr>
        <w:t>e  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 xml:space="preserve">dos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studan</w:t>
      </w:r>
      <w:r>
        <w:rPr>
          <w:rFonts w:eastAsia="Times New Roman" w:cs="Arial" w:ascii="Arial" w:hAnsi="Arial"/>
          <w:color w:val="4F81BD" w:themeColor="accent1"/>
          <w:spacing w:val="2"/>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stá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na </w:t>
      </w:r>
      <w:r>
        <w:rPr>
          <w:rFonts w:eastAsia="Times New Roman" w:cs="Arial" w:ascii="Arial" w:hAnsi="Arial"/>
          <w:color w:val="4F81BD" w:themeColor="accent1"/>
          <w:spacing w:val="5"/>
          <w:sz w:val="24"/>
          <w:szCs w:val="24"/>
        </w:rPr>
        <w:t xml:space="preserve"> </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2"/>
          <w:sz w:val="24"/>
          <w:szCs w:val="24"/>
        </w:rPr>
        <w:t>s</w:t>
      </w:r>
      <w:r>
        <w:rPr>
          <w:rFonts w:eastAsia="Times New Roman" w:cs="Arial" w:ascii="Arial" w:hAnsi="Arial"/>
          <w:color w:val="4F81BD" w:themeColor="accent1"/>
          <w:sz w:val="24"/>
          <w:szCs w:val="24"/>
        </w:rPr>
        <w:t xml:space="preserve">e  e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rte  </w:t>
      </w:r>
      <w:r>
        <w:rPr>
          <w:rFonts w:eastAsia="Times New Roman" w:cs="Arial" w:ascii="Arial" w:hAnsi="Arial"/>
          <w:color w:val="4F81BD" w:themeColor="accent1"/>
          <w:spacing w:val="3"/>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vidade</w:t>
      </w:r>
      <w:r>
        <w:rPr>
          <w:rFonts w:eastAsia="Times New Roman" w:cs="Arial" w:ascii="Arial" w:hAnsi="Arial"/>
          <w:color w:val="4F81BD" w:themeColor="accent1"/>
          <w:spacing w:val="2"/>
          <w:sz w:val="24"/>
          <w:szCs w:val="24"/>
        </w:rPr>
        <w:t xml:space="preserve"> q</w:t>
      </w:r>
      <w:r>
        <w:rPr>
          <w:rFonts w:eastAsia="Times New Roman" w:cs="Arial" w:ascii="Arial" w:hAnsi="Arial"/>
          <w:color w:val="4F81BD" w:themeColor="accent1"/>
          <w:sz w:val="24"/>
          <w:szCs w:val="24"/>
        </w:rPr>
        <w:t>ue 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z w:val="24"/>
          <w:szCs w:val="24"/>
        </w:rPr>
        <w:t>ou</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U</w:t>
      </w:r>
      <w:r>
        <w:rPr>
          <w:rFonts w:eastAsia="Times New Roman" w:cs="Arial" w:ascii="Arial" w:hAnsi="Arial"/>
          <w:color w:val="4F81BD" w:themeColor="accent1"/>
          <w:spacing w:val="-2"/>
          <w:sz w:val="24"/>
          <w:szCs w:val="24"/>
        </w:rPr>
        <w:t>F</w:t>
      </w:r>
      <w:r>
        <w:rPr>
          <w:rFonts w:eastAsia="Times New Roman" w:cs="Arial" w:ascii="Arial" w:hAnsi="Arial"/>
          <w:color w:val="4F81BD" w:themeColor="accent1"/>
          <w:sz w:val="24"/>
          <w:szCs w:val="24"/>
        </w:rPr>
        <w:t>V</w:t>
      </w:r>
      <w:r>
        <w:rPr>
          <w:rFonts w:eastAsia="Times New Roman" w:cs="Arial" w:ascii="Arial" w:hAnsi="Arial"/>
          <w:color w:val="4F81BD" w:themeColor="accent1"/>
          <w:spacing w:val="2"/>
          <w:sz w:val="24"/>
          <w:szCs w:val="24"/>
        </w:rPr>
        <w:t>J</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outr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ins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uiçõ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 qu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is  é</w:t>
      </w:r>
      <w:r>
        <w:rPr>
          <w:rFonts w:eastAsia="Times New Roman" w:cs="Arial" w:ascii="Arial" w:hAnsi="Arial"/>
          <w:color w:val="4F81BD" w:themeColor="accent1"/>
          <w:spacing w:val="59"/>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rt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do.  A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5"/>
          <w:sz w:val="24"/>
          <w:szCs w:val="24"/>
        </w:rPr>
        <w:t>L</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 xml:space="preserve">C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ssu</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irá</w:t>
      </w:r>
      <w:r>
        <w:rPr>
          <w:rFonts w:eastAsia="Times New Roman" w:cs="Arial" w:ascii="Arial" w:hAnsi="Arial"/>
          <w:color w:val="4F81BD" w:themeColor="accent1"/>
          <w:spacing w:val="59"/>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utono</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57"/>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59"/>
          <w:sz w:val="24"/>
          <w:szCs w:val="24"/>
        </w:rPr>
        <w:t xml:space="preserve"> </w:t>
      </w:r>
      <w:r>
        <w:rPr>
          <w:rFonts w:eastAsia="Times New Roman" w:cs="Arial" w:ascii="Arial" w:hAnsi="Arial"/>
          <w:color w:val="4F81BD" w:themeColor="accent1"/>
          <w:sz w:val="24"/>
          <w:szCs w:val="24"/>
        </w:rPr>
        <w:t>sus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ntabil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59"/>
          <w:sz w:val="24"/>
          <w:szCs w:val="24"/>
        </w:rPr>
        <w:t xml:space="preserve"> </w:t>
      </w:r>
      <w:r>
        <w:rPr>
          <w:rFonts w:eastAsia="Times New Roman" w:cs="Arial" w:ascii="Arial" w:hAnsi="Arial"/>
          <w:color w:val="4F81BD" w:themeColor="accent1"/>
          <w:sz w:val="24"/>
          <w:szCs w:val="24"/>
        </w:rPr>
        <w:t xml:space="preserve">no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onte</w:t>
      </w:r>
      <w:r>
        <w:rPr>
          <w:rFonts w:eastAsia="Times New Roman" w:cs="Arial" w:ascii="Arial" w:hAnsi="Arial"/>
          <w:color w:val="4F81BD" w:themeColor="accent1"/>
          <w:spacing w:val="2"/>
          <w:sz w:val="24"/>
          <w:szCs w:val="24"/>
        </w:rPr>
        <w:t>x</w:t>
      </w:r>
      <w:r>
        <w:rPr>
          <w:rFonts w:eastAsia="Times New Roman" w:cs="Arial" w:ascii="Arial" w:hAnsi="Arial"/>
          <w:color w:val="4F81BD" w:themeColor="accent1"/>
          <w:sz w:val="24"/>
          <w:szCs w:val="24"/>
        </w:rPr>
        <w:t xml:space="preserve">to </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z w:val="24"/>
          <w:szCs w:val="24"/>
        </w:rPr>
        <w:t>da U</w:t>
      </w:r>
      <w:r>
        <w:rPr>
          <w:rFonts w:eastAsia="Times New Roman" w:cs="Arial" w:ascii="Arial" w:hAnsi="Arial"/>
          <w:color w:val="4F81BD" w:themeColor="accent1"/>
          <w:spacing w:val="-2"/>
          <w:sz w:val="24"/>
          <w:szCs w:val="24"/>
        </w:rPr>
        <w:t>F</w:t>
      </w:r>
      <w:r>
        <w:rPr>
          <w:rFonts w:eastAsia="Times New Roman" w:cs="Arial" w:ascii="Arial" w:hAnsi="Arial"/>
          <w:color w:val="4F81BD" w:themeColor="accent1"/>
          <w:sz w:val="24"/>
          <w:szCs w:val="24"/>
        </w:rPr>
        <w:t>V</w:t>
      </w:r>
      <w:r>
        <w:rPr>
          <w:rFonts w:eastAsia="Times New Roman" w:cs="Arial" w:ascii="Arial" w:hAnsi="Arial"/>
          <w:color w:val="4F81BD" w:themeColor="accent1"/>
          <w:spacing w:val="2"/>
          <w:sz w:val="24"/>
          <w:szCs w:val="24"/>
        </w:rPr>
        <w:t>J</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na medida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q</w:t>
      </w:r>
      <w:r>
        <w:rPr>
          <w:rFonts w:eastAsia="Times New Roman" w:cs="Arial" w:ascii="Arial" w:hAnsi="Arial"/>
          <w:color w:val="4F81BD" w:themeColor="accent1"/>
          <w:sz w:val="24"/>
          <w:szCs w:val="24"/>
        </w:rPr>
        <w:t>ue for</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da</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z w:val="24"/>
          <w:szCs w:val="24"/>
        </w:rPr>
        <w:t>a 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rta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de hosp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a 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studant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dur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nte a re</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mpo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Univ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rsid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 e 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ment</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qu</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les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ntes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que n</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possuam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ondiçõ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fin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i</w:t>
      </w:r>
      <w:r>
        <w:rPr>
          <w:rFonts w:eastAsia="Times New Roman" w:cs="Arial" w:ascii="Arial" w:hAnsi="Arial"/>
          <w:color w:val="4F81BD" w:themeColor="accent1"/>
          <w:spacing w:val="2"/>
          <w:sz w:val="24"/>
          <w:szCs w:val="24"/>
        </w:rPr>
        <w: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de se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ust</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At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íp</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da </w:t>
      </w:r>
      <w:r>
        <w:rPr>
          <w:rFonts w:eastAsia="Times New Roman" w:cs="Arial" w:ascii="Arial" w:hAnsi="Arial"/>
          <w:color w:val="4F81BD" w:themeColor="accent1"/>
          <w:spacing w:val="-1"/>
          <w:sz w:val="24"/>
          <w:szCs w:val="24"/>
        </w:rPr>
        <w:t>ec</w:t>
      </w:r>
      <w:r>
        <w:rPr>
          <w:rFonts w:eastAsia="Times New Roman" w:cs="Arial" w:ascii="Arial" w:hAnsi="Arial"/>
          <w:color w:val="4F81BD" w:themeColor="accent1"/>
          <w:sz w:val="24"/>
          <w:szCs w:val="24"/>
        </w:rPr>
        <w:t>onom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idade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 xml:space="preserve">e da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iên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 na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stão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públ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z w:val="24"/>
          <w:szCs w:val="24"/>
        </w:rPr>
        <w:t>,</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a ut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poio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 da mor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dia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studantil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tem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se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mos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 xml:space="preserve">do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 xml:space="preserve">omo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viáv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is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a  su</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 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manda por hosp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studant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dur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a re</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TU, e a i</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plem</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sta</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unive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si</w:t>
      </w:r>
      <w:r>
        <w:rPr>
          <w:rFonts w:eastAsia="Times New Roman" w:cs="Arial" w:ascii="Arial" w:hAnsi="Arial"/>
          <w:color w:val="4F81BD" w:themeColor="accent1"/>
          <w:spacing w:val="1"/>
          <w:sz w:val="24"/>
          <w:szCs w:val="24"/>
        </w:rPr>
        <w:t>tá</w:t>
      </w:r>
      <w:r>
        <w:rPr>
          <w:rFonts w:eastAsia="Times New Roman" w:cs="Arial" w:ascii="Arial" w:hAnsi="Arial"/>
          <w:color w:val="4F81BD" w:themeColor="accent1"/>
          <w:sz w:val="24"/>
          <w:szCs w:val="24"/>
        </w:rPr>
        <w:t>rio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ontr</w:t>
      </w:r>
      <w:r>
        <w:rPr>
          <w:rFonts w:eastAsia="Times New Roman" w:cs="Arial" w:ascii="Arial" w:hAnsi="Arial"/>
          <w:color w:val="4F81BD" w:themeColor="accent1"/>
          <w:spacing w:val="2"/>
          <w:sz w:val="24"/>
          <w:szCs w:val="24"/>
        </w:rPr>
        <w:t>i</w:t>
      </w:r>
      <w:r>
        <w:rPr>
          <w:rFonts w:eastAsia="Times New Roman" w:cs="Arial" w:ascii="Arial" w:hAnsi="Arial"/>
          <w:color w:val="4F81BD" w:themeColor="accent1"/>
          <w:sz w:val="24"/>
          <w:szCs w:val="24"/>
        </w:rPr>
        <w:t xml:space="preserve">buirá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rv</w:t>
      </w:r>
      <w:r>
        <w:rPr>
          <w:rFonts w:eastAsia="Times New Roman" w:cs="Arial" w:ascii="Arial" w:hAnsi="Arial"/>
          <w:color w:val="4F81BD" w:themeColor="accent1"/>
          <w:spacing w:val="2"/>
          <w:sz w:val="24"/>
          <w:szCs w:val="24"/>
        </w:rPr>
        <w:t>i</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 xml:space="preserve">rta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ment</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stu</w:t>
      </w:r>
      <w:r>
        <w:rPr>
          <w:rFonts w:eastAsia="Times New Roman" w:cs="Arial" w:ascii="Arial" w:hAnsi="Arial"/>
          <w:color w:val="4F81BD" w:themeColor="accent1"/>
          <w:spacing w:val="3"/>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l.</w:t>
      </w:r>
    </w:p>
    <w:p>
      <w:pPr>
        <w:pStyle w:val="Normal"/>
        <w:spacing w:lineRule="auto" w:line="360"/>
        <w:ind w:left="142" w:firstLine="566"/>
        <w:jc w:val="both"/>
        <w:rPr>
          <w:rFonts w:ascii="Arial" w:hAnsi="Arial" w:cs="Arial"/>
          <w:color w:val="4F81BD" w:themeColor="accent1"/>
          <w:sz w:val="24"/>
          <w:szCs w:val="24"/>
        </w:rPr>
      </w:pP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35"/>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36"/>
          <w:sz w:val="24"/>
          <w:szCs w:val="24"/>
        </w:rPr>
        <w:t xml:space="preserve"> </w:t>
      </w:r>
      <w:r>
        <w:rPr>
          <w:rFonts w:eastAsia="Times New Roman" w:cs="Arial" w:ascii="Arial" w:hAnsi="Arial"/>
          <w:color w:val="4F81BD" w:themeColor="accent1"/>
          <w:sz w:val="24"/>
          <w:szCs w:val="24"/>
        </w:rPr>
        <w:t xml:space="preserve">do </w:t>
      </w:r>
      <w:r>
        <w:rPr>
          <w:rFonts w:eastAsia="Times New Roman" w:cs="Arial" w:ascii="Arial" w:hAnsi="Arial"/>
          <w:color w:val="4F81BD" w:themeColor="accent1"/>
          <w:spacing w:val="36"/>
          <w:sz w:val="24"/>
          <w:szCs w:val="24"/>
        </w:rPr>
        <w:t xml:space="preserve"> </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3"/>
          <w:sz w:val="24"/>
          <w:szCs w:val="24"/>
        </w:rPr>
        <w:t>p</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36"/>
          <w:sz w:val="24"/>
          <w:szCs w:val="24"/>
        </w:rPr>
        <w:t xml:space="preserve"> </w:t>
      </w:r>
      <w:r>
        <w:rPr>
          <w:rFonts w:eastAsia="Times New Roman" w:cs="Arial" w:ascii="Arial" w:hAnsi="Arial"/>
          <w:color w:val="4F81BD" w:themeColor="accent1"/>
          <w:sz w:val="24"/>
          <w:szCs w:val="24"/>
        </w:rPr>
        <w:t>Com</w:t>
      </w:r>
      <w:r>
        <w:rPr>
          <w:rFonts w:eastAsia="Times New Roman" w:cs="Arial" w:ascii="Arial" w:hAnsi="Arial"/>
          <w:color w:val="4F81BD" w:themeColor="accent1"/>
          <w:spacing w:val="3"/>
          <w:sz w:val="24"/>
          <w:szCs w:val="24"/>
        </w:rPr>
        <w:t>u</w:t>
      </w:r>
      <w:r>
        <w:rPr>
          <w:rFonts w:eastAsia="Times New Roman" w:cs="Arial" w:ascii="Arial" w:hAnsi="Arial"/>
          <w:color w:val="4F81BD" w:themeColor="accent1"/>
          <w:sz w:val="24"/>
          <w:szCs w:val="24"/>
        </w:rPr>
        <w:t xml:space="preserve">nidade </w:t>
      </w:r>
      <w:r>
        <w:rPr>
          <w:rFonts w:eastAsia="Times New Roman" w:cs="Arial" w:ascii="Arial" w:hAnsi="Arial"/>
          <w:color w:val="4F81BD" w:themeColor="accent1"/>
          <w:spacing w:val="34"/>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manda </w:t>
      </w:r>
      <w:r>
        <w:rPr>
          <w:rFonts w:eastAsia="Times New Roman" w:cs="Arial" w:ascii="Arial" w:hAnsi="Arial"/>
          <w:color w:val="4F81BD" w:themeColor="accent1"/>
          <w:spacing w:val="34"/>
          <w:sz w:val="24"/>
          <w:szCs w:val="24"/>
        </w:rPr>
        <w:t xml:space="preserve"> </w:t>
      </w:r>
      <w:r>
        <w:rPr>
          <w:rFonts w:eastAsia="Times New Roman" w:cs="Arial" w:ascii="Arial" w:hAnsi="Arial"/>
          <w:color w:val="4F81BD" w:themeColor="accent1"/>
          <w:sz w:val="24"/>
          <w:szCs w:val="24"/>
        </w:rPr>
        <w:t xml:space="preserve">que </w:t>
      </w:r>
      <w:r>
        <w:rPr>
          <w:rFonts w:eastAsia="Times New Roman" w:cs="Arial" w:ascii="Arial" w:hAnsi="Arial"/>
          <w:color w:val="4F81BD" w:themeColor="accent1"/>
          <w:spacing w:val="35"/>
          <w:sz w:val="24"/>
          <w:szCs w:val="24"/>
        </w:rPr>
        <w:t xml:space="preserve"> </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35"/>
          <w:sz w:val="24"/>
          <w:szCs w:val="24"/>
        </w:rPr>
        <w:t xml:space="preserve"> </w:t>
      </w:r>
      <w:r>
        <w:rPr>
          <w:rFonts w:eastAsia="Times New Roman" w:cs="Arial" w:ascii="Arial" w:hAnsi="Arial"/>
          <w:color w:val="4F81BD" w:themeColor="accent1"/>
          <w:sz w:val="24"/>
          <w:szCs w:val="24"/>
        </w:rPr>
        <w:t>unive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sida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37"/>
          <w:sz w:val="24"/>
          <w:szCs w:val="24"/>
        </w:rPr>
        <w:t xml:space="preserve"> </w:t>
      </w:r>
      <w:r>
        <w:rPr>
          <w:rFonts w:eastAsia="Times New Roman" w:cs="Arial" w:ascii="Arial" w:hAnsi="Arial"/>
          <w:color w:val="4F81BD" w:themeColor="accent1"/>
          <w:spacing w:val="-1"/>
          <w:sz w:val="24"/>
          <w:szCs w:val="24"/>
        </w:rPr>
        <w:t>ace</w:t>
      </w:r>
      <w:r>
        <w:rPr>
          <w:rFonts w:eastAsia="Times New Roman" w:cs="Arial" w:ascii="Arial" w:hAnsi="Arial"/>
          <w:color w:val="4F81BD" w:themeColor="accent1"/>
          <w:sz w:val="24"/>
          <w:szCs w:val="24"/>
        </w:rPr>
        <w:t xml:space="preserve">sse </w:t>
      </w:r>
      <w:r>
        <w:rPr>
          <w:rFonts w:eastAsia="Times New Roman" w:cs="Arial" w:ascii="Arial" w:hAnsi="Arial"/>
          <w:color w:val="4F81BD" w:themeColor="accent1"/>
          <w:spacing w:val="38"/>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nas q</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is 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studant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 do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 e m</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m suas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ondiçõ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de vida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re</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z w:val="24"/>
          <w:szCs w:val="24"/>
        </w:rPr>
        <w:t>di</w:t>
      </w:r>
      <w:r>
        <w:rPr>
          <w:rFonts w:eastAsia="Times New Roman" w:cs="Arial" w:ascii="Arial" w:hAnsi="Arial"/>
          <w:color w:val="4F81BD" w:themeColor="accent1"/>
          <w:spacing w:val="2"/>
          <w:sz w:val="24"/>
          <w:szCs w:val="24"/>
        </w:rPr>
        <w:t>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sinali</w:t>
      </w:r>
      <w:r>
        <w:rPr>
          <w:rFonts w:eastAsia="Times New Roman" w:cs="Arial" w:ascii="Arial" w:hAnsi="Arial"/>
          <w:color w:val="4F81BD" w:themeColor="accent1"/>
          <w:spacing w:val="1"/>
          <w:sz w:val="24"/>
          <w:szCs w:val="24"/>
        </w:rPr>
        <w:t>z</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pacing w:val="-1"/>
          <w:sz w:val="24"/>
          <w:szCs w:val="24"/>
        </w:rPr>
        <w:t>-</w:t>
      </w:r>
      <w:r>
        <w:rPr>
          <w:rFonts w:eastAsia="Times New Roman" w:cs="Arial" w:ascii="Arial" w:hAnsi="Arial"/>
          <w:color w:val="4F81BD" w:themeColor="accent1"/>
          <w:spacing w:val="2"/>
          <w:sz w:val="24"/>
          <w:szCs w:val="24"/>
        </w:rPr>
        <w:t>s</w:t>
      </w:r>
      <w:r>
        <w:rPr>
          <w:rFonts w:eastAsia="Times New Roman" w:cs="Arial" w:ascii="Arial" w:hAnsi="Arial"/>
          <w:color w:val="4F81BD" w:themeColor="accent1"/>
          <w:sz w:val="24"/>
          <w:szCs w:val="24"/>
        </w:rPr>
        <w:t>e 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 xml:space="preserve">a a </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ece</w:t>
      </w:r>
      <w:r>
        <w:rPr>
          <w:rFonts w:eastAsia="Times New Roman" w:cs="Arial" w:ascii="Arial" w:hAnsi="Arial"/>
          <w:color w:val="4F81BD" w:themeColor="accent1"/>
          <w:sz w:val="24"/>
          <w:szCs w:val="24"/>
        </w:rPr>
        <w:t>ss</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 de</w:t>
      </w:r>
      <w:r>
        <w:rPr>
          <w:rFonts w:eastAsia="Times New Roman" w:cs="Arial" w:ascii="Arial" w:hAnsi="Arial"/>
          <w:color w:val="4F81BD" w:themeColor="accent1"/>
          <w:spacing w:val="5"/>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umento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 f</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ota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ículos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mo</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ndo</w:t>
      </w:r>
      <w:r>
        <w:rPr>
          <w:rFonts w:eastAsia="Times New Roman" w:cs="Arial" w:ascii="Arial" w:hAnsi="Arial"/>
          <w:color w:val="4F81BD" w:themeColor="accent1"/>
          <w:spacing w:val="5"/>
          <w:sz w:val="24"/>
          <w:szCs w:val="24"/>
        </w:rPr>
        <w:t xml:space="preserve"> </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w:t>
      </w:r>
      <w:r>
        <w:rPr>
          <w:rFonts w:eastAsia="Times New Roman" w:cs="Arial" w:ascii="Arial" w:hAnsi="Arial"/>
          <w:color w:val="4F81BD" w:themeColor="accent1"/>
          <w:spacing w:val="4"/>
          <w:sz w:val="24"/>
          <w:szCs w:val="24"/>
        </w:rPr>
        <w:t>t</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ondiçõ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 que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un</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rsid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de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mente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sse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ontribua</w:t>
      </w:r>
      <w:r>
        <w:rPr>
          <w:rFonts w:eastAsia="Times New Roman" w:cs="Arial" w:ascii="Arial" w:hAnsi="Arial"/>
          <w:color w:val="4F81BD" w:themeColor="accent1"/>
          <w:spacing w:val="2"/>
          <w:sz w:val="24"/>
          <w:szCs w:val="24"/>
        </w:rPr>
        <w:t xml:space="preserve"> </w:t>
      </w:r>
      <w:r>
        <w:rPr>
          <w:rFonts w:eastAsia="Times New Roman" w:cs="Arial" w:ascii="Arial" w:hAnsi="Arial"/>
          <w:i/>
          <w:color w:val="4F81BD" w:themeColor="accent1"/>
          <w:sz w:val="24"/>
          <w:szCs w:val="24"/>
        </w:rPr>
        <w:t>in</w:t>
      </w:r>
      <w:r>
        <w:rPr>
          <w:rFonts w:eastAsia="Times New Roman" w:cs="Arial" w:ascii="Arial" w:hAnsi="Arial"/>
          <w:i/>
          <w:color w:val="4F81BD" w:themeColor="accent1"/>
          <w:spacing w:val="1"/>
          <w:sz w:val="24"/>
          <w:szCs w:val="24"/>
        </w:rPr>
        <w:t xml:space="preserve"> </w:t>
      </w:r>
      <w:r>
        <w:rPr>
          <w:rFonts w:eastAsia="Times New Roman" w:cs="Arial" w:ascii="Arial" w:hAnsi="Arial"/>
          <w:i/>
          <w:color w:val="4F81BD" w:themeColor="accent1"/>
          <w:sz w:val="24"/>
          <w:szCs w:val="24"/>
        </w:rPr>
        <w:t xml:space="preserve">loco </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nsfo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 s</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ial p</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 xml:space="preserve">r meio da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du</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 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 na </w:t>
      </w:r>
      <w:r>
        <w:rPr>
          <w:rFonts w:eastAsia="Times New Roman" w:cs="Arial" w:ascii="Arial" w:hAnsi="Arial"/>
          <w:color w:val="4F81BD" w:themeColor="accent1"/>
          <w:spacing w:val="-2"/>
          <w:sz w:val="24"/>
          <w:szCs w:val="24"/>
        </w:rPr>
        <w:t>á</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
          <w:sz w:val="24"/>
          <w:szCs w:val="24"/>
        </w:rPr>
        <w:t xml:space="preserve"> a</w:t>
      </w:r>
      <w:r>
        <w:rPr>
          <w:rFonts w:eastAsia="Times New Roman" w:cs="Arial" w:ascii="Arial" w:hAnsi="Arial"/>
          <w:color w:val="4F81BD" w:themeColor="accent1"/>
          <w:sz w:val="24"/>
          <w:szCs w:val="24"/>
        </w:rPr>
        <w:t>b</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te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ritori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l da </w:t>
      </w:r>
      <w:r>
        <w:rPr>
          <w:rFonts w:eastAsia="Times New Roman" w:cs="Arial" w:ascii="Arial" w:hAnsi="Arial"/>
          <w:color w:val="4F81BD" w:themeColor="accent1"/>
          <w:spacing w:val="1"/>
          <w:sz w:val="24"/>
          <w:szCs w:val="24"/>
        </w:rPr>
        <w:t>U</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z w:val="24"/>
          <w:szCs w:val="24"/>
        </w:rPr>
        <w:t>V</w:t>
      </w:r>
      <w:r>
        <w:rPr>
          <w:rFonts w:eastAsia="Times New Roman" w:cs="Arial" w:ascii="Arial" w:hAnsi="Arial"/>
          <w:color w:val="4F81BD" w:themeColor="accent1"/>
          <w:spacing w:val="2"/>
          <w:sz w:val="24"/>
          <w:szCs w:val="24"/>
        </w:rPr>
        <w:t>J</w:t>
      </w:r>
      <w:r>
        <w:rPr>
          <w:rFonts w:eastAsia="Times New Roman" w:cs="Arial" w:ascii="Arial" w:hAnsi="Arial"/>
          <w:color w:val="4F81BD" w:themeColor="accent1"/>
          <w:sz w:val="24"/>
          <w:szCs w:val="24"/>
        </w:rPr>
        <w:t>M.</w:t>
      </w:r>
    </w:p>
    <w:p>
      <w:pPr>
        <w:pStyle w:val="Normal"/>
        <w:spacing w:lineRule="auto" w:line="360"/>
        <w:ind w:left="142" w:right="44" w:firstLine="566"/>
        <w:jc w:val="both"/>
        <w:rPr>
          <w:rFonts w:ascii="Arial" w:hAnsi="Arial" w:cs="Arial"/>
          <w:color w:val="4F81BD" w:themeColor="accent1"/>
          <w:sz w:val="24"/>
          <w:szCs w:val="24"/>
        </w:rPr>
      </w:pPr>
      <w:r>
        <w:rPr>
          <w:rFonts w:eastAsia="Times New Roman" w:cs="Arial" w:ascii="Arial" w:hAnsi="Arial"/>
          <w:color w:val="4F81BD" w:themeColor="accent1"/>
          <w:sz w:val="24"/>
          <w:szCs w:val="24"/>
        </w:rPr>
        <w:t xml:space="preserve">Na  </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z w:val="24"/>
          <w:szCs w:val="24"/>
        </w:rPr>
        <w:t>V</w:t>
      </w:r>
      <w:r>
        <w:rPr>
          <w:rFonts w:eastAsia="Times New Roman" w:cs="Arial" w:ascii="Arial" w:hAnsi="Arial"/>
          <w:color w:val="4F81BD" w:themeColor="accent1"/>
          <w:spacing w:val="2"/>
          <w:sz w:val="24"/>
          <w:szCs w:val="24"/>
        </w:rPr>
        <w:t>J</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mento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  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rta  de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 xml:space="preserve">sos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 xml:space="preserve">ia  tem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s</w:t>
      </w:r>
      <w:r>
        <w:rPr>
          <w:rFonts w:eastAsia="Times New Roman" w:cs="Arial" w:ascii="Arial" w:hAnsi="Arial"/>
          <w:color w:val="4F81BD" w:themeColor="accent1"/>
          <w:spacing w:val="7"/>
          <w:sz w:val="24"/>
          <w:szCs w:val="24"/>
        </w:rPr>
        <w:t>i</w:t>
      </w:r>
      <w:r>
        <w:rPr>
          <w:rFonts w:eastAsia="Times New Roman" w:cs="Arial" w:ascii="Arial" w:hAnsi="Arial"/>
          <w:color w:val="4F81BD" w:themeColor="accent1"/>
          <w:sz w:val="24"/>
          <w:szCs w:val="24"/>
        </w:rPr>
        <w:t xml:space="preserve">do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um 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sso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ont</w:t>
      </w:r>
      <w:r>
        <w:rPr>
          <w:rFonts w:eastAsia="Times New Roman" w:cs="Arial" w:ascii="Arial" w:hAnsi="Arial"/>
          <w:color w:val="4F81BD" w:themeColor="accent1"/>
          <w:spacing w:val="1"/>
          <w:sz w:val="24"/>
          <w:szCs w:val="24"/>
        </w:rPr>
        <w:t>í</w:t>
      </w:r>
      <w:r>
        <w:rPr>
          <w:rFonts w:eastAsia="Times New Roman" w:cs="Arial" w:ascii="Arial" w:hAnsi="Arial"/>
          <w:color w:val="4F81BD" w:themeColor="accent1"/>
          <w:sz w:val="24"/>
          <w:szCs w:val="24"/>
        </w:rPr>
        <w:t>nuo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 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ss</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fo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rt</w:t>
      </w:r>
      <w:r>
        <w:rPr>
          <w:rFonts w:eastAsia="Times New Roman" w:cs="Arial" w:ascii="Arial" w:hAnsi="Arial"/>
          <w:color w:val="4F81BD" w:themeColor="accent1"/>
          <w:spacing w:val="2"/>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ipa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3"/>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nho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da </w:t>
      </w:r>
      <w:r>
        <w:rPr>
          <w:rFonts w:eastAsia="Times New Roman" w:cs="Arial" w:ascii="Arial" w:hAnsi="Arial"/>
          <w:color w:val="4F81BD" w:themeColor="accent1"/>
          <w:spacing w:val="1"/>
          <w:sz w:val="24"/>
          <w:szCs w:val="24"/>
        </w:rPr>
        <w:t>P</w:t>
      </w:r>
      <w:r>
        <w:rPr>
          <w:rFonts w:eastAsia="Times New Roman" w:cs="Arial" w:ascii="Arial" w:hAnsi="Arial"/>
          <w:color w:val="4F81BD" w:themeColor="accent1"/>
          <w:sz w:val="24"/>
          <w:szCs w:val="24"/>
        </w:rPr>
        <w:t>RO</w:t>
      </w:r>
      <w:r>
        <w:rPr>
          <w:rFonts w:eastAsia="Times New Roman" w:cs="Arial" w:ascii="Arial" w:hAnsi="Arial"/>
          <w:color w:val="4F81BD" w:themeColor="accent1"/>
          <w:spacing w:val="-1"/>
          <w:sz w:val="24"/>
          <w:szCs w:val="24"/>
        </w:rPr>
        <w:t>G</w:t>
      </w:r>
      <w:r>
        <w:rPr>
          <w:rFonts w:eastAsia="Times New Roman" w:cs="Arial" w:ascii="Arial" w:hAnsi="Arial"/>
          <w:color w:val="4F81BD" w:themeColor="accent1"/>
          <w:sz w:val="24"/>
          <w:szCs w:val="24"/>
        </w:rPr>
        <w:t>RA</w:t>
      </w:r>
      <w:r>
        <w:rPr>
          <w:rFonts w:eastAsia="Times New Roman" w:cs="Arial" w:ascii="Arial" w:hAnsi="Arial"/>
          <w:color w:val="4F81BD" w:themeColor="accent1"/>
          <w:spacing w:val="-1"/>
          <w:sz w:val="24"/>
          <w:szCs w:val="24"/>
        </w:rPr>
        <w:t>D</w:t>
      </w:r>
      <w:r>
        <w:rPr>
          <w:rFonts w:eastAsia="Times New Roman" w:cs="Arial" w:ascii="Arial" w:hAnsi="Arial"/>
          <w:color w:val="4F81BD" w:themeColor="accent1"/>
          <w:sz w:val="24"/>
          <w:szCs w:val="24"/>
        </w:rPr>
        <w:t xml:space="preserve">. </w:t>
      </w:r>
      <w:r>
        <w:rPr>
          <w:rFonts w:eastAsia="Times New Roman" w:cs="Arial" w:ascii="Arial" w:hAnsi="Arial"/>
          <w:color w:val="4F81BD" w:themeColor="accent1"/>
          <w:spacing w:val="1"/>
          <w:sz w:val="24"/>
          <w:szCs w:val="24"/>
        </w:rPr>
        <w:t>S</w:t>
      </w:r>
      <w:r>
        <w:rPr>
          <w:rFonts w:eastAsia="Times New Roman" w:cs="Arial" w:ascii="Arial" w:hAnsi="Arial"/>
          <w:color w:val="4F81BD" w:themeColor="accent1"/>
          <w:sz w:val="24"/>
          <w:szCs w:val="24"/>
        </w:rPr>
        <w:t>inali</w:t>
      </w:r>
      <w:r>
        <w:rPr>
          <w:rFonts w:eastAsia="Times New Roman" w:cs="Arial" w:ascii="Arial" w:hAnsi="Arial"/>
          <w:color w:val="4F81BD" w:themeColor="accent1"/>
          <w:spacing w:val="2"/>
          <w:sz w:val="24"/>
          <w:szCs w:val="24"/>
        </w:rPr>
        <w:t>z</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 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ss</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nu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sse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sso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vis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iç</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 xml:space="preserve"> a</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ondiçõ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du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Edu</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mpo,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b</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como,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2"/>
          <w:sz w:val="24"/>
          <w:szCs w:val="24"/>
        </w:rPr>
        <w:t>x</w:t>
      </w:r>
      <w:r>
        <w:rPr>
          <w:rFonts w:eastAsia="Times New Roman" w:cs="Arial" w:ascii="Arial" w:hAnsi="Arial"/>
          <w:color w:val="4F81BD" w:themeColor="accent1"/>
          <w:sz w:val="24"/>
          <w:szCs w:val="24"/>
        </w:rPr>
        <w:t>tens</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squisa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qu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is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vivem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 xml:space="preserve">os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studant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de</w:t>
      </w:r>
      <w:r>
        <w:rPr>
          <w:rFonts w:eastAsia="Times New Roman" w:cs="Arial" w:ascii="Arial" w:hAnsi="Arial"/>
          <w:color w:val="4F81BD" w:themeColor="accent1"/>
          <w:spacing w:val="-1"/>
          <w:sz w:val="24"/>
          <w:szCs w:val="24"/>
        </w:rPr>
        <w:t xml:space="preserve"> 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 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w:t>
      </w:r>
    </w:p>
    <w:p>
      <w:pPr>
        <w:pStyle w:val="Normal"/>
        <w:spacing w:lineRule="auto" w:line="360"/>
        <w:ind w:left="142" w:right="44" w:firstLine="566"/>
        <w:jc w:val="both"/>
        <w:rPr>
          <w:rFonts w:ascii="Arial" w:hAnsi="Arial" w:cs="Arial"/>
          <w:color w:val="4F81BD" w:themeColor="accent1"/>
          <w:sz w:val="24"/>
          <w:szCs w:val="24"/>
        </w:rPr>
      </w:pPr>
      <w:r>
        <w:rPr>
          <w:rFonts w:eastAsia="Times New Roman" w:cs="Arial" w:ascii="Arial" w:hAnsi="Arial"/>
          <w:color w:val="4F81BD" w:themeColor="accent1"/>
          <w:sz w:val="24"/>
          <w:szCs w:val="24"/>
        </w:rPr>
        <w:t>Na 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n</w:t>
      </w:r>
      <w:r>
        <w:rPr>
          <w:rFonts w:eastAsia="Times New Roman" w:cs="Arial" w:ascii="Arial" w:hAnsi="Arial"/>
          <w:color w:val="4F81BD" w:themeColor="accent1"/>
          <w:spacing w:val="-1"/>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rticul</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ter</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da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 tempos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ntre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 unive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sidad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on</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stão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ntes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e inf</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ae</w:t>
      </w:r>
      <w:r>
        <w:rPr>
          <w:rFonts w:eastAsia="Times New Roman" w:cs="Arial" w:ascii="Arial" w:hAnsi="Arial"/>
          <w:color w:val="4F81BD" w:themeColor="accent1"/>
          <w:sz w:val="24"/>
          <w:szCs w:val="24"/>
        </w:rPr>
        <w:t>strutu</w:t>
      </w:r>
      <w:r>
        <w:rPr>
          <w:rFonts w:eastAsia="Times New Roman" w:cs="Arial" w:ascii="Arial" w:hAnsi="Arial"/>
          <w:color w:val="4F81BD" w:themeColor="accent1"/>
          <w:spacing w:val="2"/>
          <w:sz w:val="24"/>
          <w:szCs w:val="24"/>
        </w:rPr>
        <w:t>r</w:t>
      </w:r>
      <w:r>
        <w:rPr>
          <w:rFonts w:eastAsia="Times New Roman" w:cs="Arial" w:ascii="Arial" w:hAnsi="Arial"/>
          <w:color w:val="4F81BD" w:themeColor="accent1"/>
          <w:sz w:val="24"/>
          <w:szCs w:val="24"/>
        </w:rPr>
        <w:t>a de lab</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tórios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bib</w:t>
      </w:r>
      <w:r>
        <w:rPr>
          <w:rFonts w:eastAsia="Times New Roman" w:cs="Arial" w:ascii="Arial" w:hAnsi="Arial"/>
          <w:color w:val="4F81BD" w:themeColor="accent1"/>
          <w:spacing w:val="1"/>
          <w:sz w:val="24"/>
          <w:szCs w:val="24"/>
        </w:rPr>
        <w:t>l</w:t>
      </w:r>
      <w:r>
        <w:rPr>
          <w:rFonts w:eastAsia="Times New Roman" w:cs="Arial" w:ascii="Arial" w:hAnsi="Arial"/>
          <w:color w:val="4F81BD" w:themeColor="accent1"/>
          <w:sz w:val="24"/>
          <w:szCs w:val="24"/>
        </w:rPr>
        <w:t>io</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eca</w:t>
      </w:r>
      <w:r>
        <w:rPr>
          <w:rFonts w:eastAsia="Times New Roman" w:cs="Arial" w:ascii="Arial" w:hAnsi="Arial"/>
          <w:color w:val="4F81BD" w:themeColor="accent1"/>
          <w:spacing w:val="6"/>
          <w:sz w:val="24"/>
          <w:szCs w:val="24"/>
        </w:rPr>
        <w:t>s</w:t>
      </w:r>
      <w:r>
        <w:rPr>
          <w:rFonts w:eastAsia="Times New Roman" w:cs="Arial" w:ascii="Arial" w:hAnsi="Arial"/>
          <w:color w:val="4F81BD" w:themeColor="accent1"/>
          <w:sz w:val="24"/>
          <w:szCs w:val="24"/>
        </w:rPr>
        <w:t>,</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onde se mat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ondiçõ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de vida 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du</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dos</w:t>
      </w:r>
      <w:r>
        <w:rPr>
          <w:rFonts w:eastAsia="Times New Roman" w:cs="Arial" w:ascii="Arial" w:hAnsi="Arial"/>
          <w:color w:val="4F81BD" w:themeColor="accent1"/>
          <w:spacing w:val="1"/>
          <w:sz w:val="24"/>
          <w:szCs w:val="24"/>
        </w:rPr>
        <w:t xml:space="preserve"> e</w:t>
      </w:r>
      <w:r>
        <w:rPr>
          <w:rFonts w:eastAsia="Times New Roman" w:cs="Arial" w:ascii="Arial" w:hAnsi="Arial"/>
          <w:color w:val="4F81BD" w:themeColor="accent1"/>
          <w:sz w:val="24"/>
          <w:szCs w:val="24"/>
        </w:rPr>
        <w:t>studant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poten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iali</w:t>
      </w:r>
      <w:r>
        <w:rPr>
          <w:rFonts w:eastAsia="Times New Roman" w:cs="Arial" w:ascii="Arial" w:hAnsi="Arial"/>
          <w:color w:val="4F81BD" w:themeColor="accent1"/>
          <w:spacing w:val="2"/>
          <w:sz w:val="24"/>
          <w:szCs w:val="24"/>
        </w:rPr>
        <w:t>z</w:t>
      </w:r>
      <w:r>
        <w:rPr>
          <w:rFonts w:eastAsia="Times New Roman" w:cs="Arial" w:ascii="Arial" w:hAnsi="Arial"/>
          <w:color w:val="4F81BD" w:themeColor="accent1"/>
          <w:sz w:val="24"/>
          <w:szCs w:val="24"/>
        </w:rPr>
        <w:t>a 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ndi</w:t>
      </w:r>
      <w:r>
        <w:rPr>
          <w:rFonts w:eastAsia="Times New Roman" w:cs="Arial" w:ascii="Arial" w:hAnsi="Arial"/>
          <w:color w:val="4F81BD" w:themeColor="accent1"/>
          <w:spacing w:val="2"/>
          <w:sz w:val="24"/>
          <w:szCs w:val="24"/>
        </w:rPr>
        <w:t>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mesmo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tempo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que n</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induz</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a 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ritori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36"/>
          <w:sz w:val="24"/>
          <w:szCs w:val="24"/>
        </w:rPr>
        <w:t xml:space="preserve"> </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sse 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pacing w:val="4"/>
          <w:sz w:val="24"/>
          <w:szCs w:val="24"/>
        </w:rPr>
        <w:t>z</w:t>
      </w:r>
      <w:r>
        <w:rPr>
          <w:rFonts w:eastAsia="Times New Roman" w:cs="Arial" w:ascii="Arial" w:hAnsi="Arial"/>
          <w:color w:val="4F81BD" w:themeColor="accent1"/>
          <w:spacing w:val="-1"/>
          <w:sz w:val="24"/>
          <w:szCs w:val="24"/>
        </w:rPr>
        <w:t>-</w:t>
      </w:r>
      <w:r>
        <w:rPr>
          <w:rFonts w:eastAsia="Times New Roman" w:cs="Arial" w:ascii="Arial" w:hAnsi="Arial"/>
          <w:color w:val="4F81BD" w:themeColor="accent1"/>
          <w:sz w:val="24"/>
          <w:szCs w:val="24"/>
        </w:rPr>
        <w:t xml:space="preserve">se </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ssá</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dir</w:t>
      </w:r>
      <w:r>
        <w:rPr>
          <w:rFonts w:eastAsia="Times New Roman" w:cs="Arial" w:ascii="Arial" w:hAnsi="Arial"/>
          <w:color w:val="4F81BD" w:themeColor="accent1"/>
          <w:spacing w:val="-1"/>
          <w:sz w:val="24"/>
          <w:szCs w:val="24"/>
        </w:rPr>
        <w:t>ec</w:t>
      </w:r>
      <w:r>
        <w:rPr>
          <w:rFonts w:eastAsia="Times New Roman" w:cs="Arial" w:ascii="Arial" w:hAnsi="Arial"/>
          <w:color w:val="4F81BD" w:themeColor="accent1"/>
          <w:sz w:val="24"/>
          <w:szCs w:val="24"/>
        </w:rPr>
        <w:t>io</w:t>
      </w:r>
      <w:r>
        <w:rPr>
          <w:rFonts w:eastAsia="Times New Roman" w:cs="Arial" w:ascii="Arial" w:hAnsi="Arial"/>
          <w:color w:val="4F81BD" w:themeColor="accent1"/>
          <w:spacing w:val="3"/>
          <w:sz w:val="24"/>
          <w:szCs w:val="24"/>
        </w:rPr>
        <w:t>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sf</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8"/>
          <w:sz w:val="24"/>
          <w:szCs w:val="24"/>
        </w:rPr>
        <w:t xml:space="preserve"> </w:t>
      </w:r>
      <w:r>
        <w:rPr>
          <w:rFonts w:eastAsia="Times New Roman" w:cs="Arial" w:ascii="Arial" w:hAnsi="Arial"/>
          <w:color w:val="4F81BD" w:themeColor="accent1"/>
          <w:sz w:val="24"/>
          <w:szCs w:val="24"/>
        </w:rPr>
        <w:t>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lend</w:t>
      </w:r>
      <w:r>
        <w:rPr>
          <w:rFonts w:eastAsia="Times New Roman" w:cs="Arial" w:ascii="Arial" w:hAnsi="Arial"/>
          <w:color w:val="4F81BD" w:themeColor="accent1"/>
          <w:spacing w:val="-1"/>
          <w:sz w:val="24"/>
          <w:szCs w:val="24"/>
        </w:rPr>
        <w:t>á</w:t>
      </w:r>
      <w:r>
        <w:rPr>
          <w:rFonts w:eastAsia="Times New Roman" w:cs="Arial" w:ascii="Arial" w:hAnsi="Arial"/>
          <w:color w:val="4F81BD" w:themeColor="accent1"/>
          <w:sz w:val="24"/>
          <w:szCs w:val="24"/>
        </w:rPr>
        <w:t>rio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a Alte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w:t>
      </w:r>
      <w:r>
        <w:rPr>
          <w:rFonts w:eastAsia="Times New Roman" w:cs="Arial" w:ascii="Arial" w:hAnsi="Arial"/>
          <w:color w:val="4F81BD" w:themeColor="accent1"/>
          <w:spacing w:val="2"/>
          <w:sz w:val="24"/>
          <w:szCs w:val="24"/>
        </w:rPr>
        <w:t>s</w:t>
      </w:r>
      <w:r>
        <w:rPr>
          <w:rFonts w:eastAsia="Times New Roman" w:cs="Arial" w:ascii="Arial" w:hAnsi="Arial"/>
          <w:color w:val="4F81BD" w:themeColor="accent1"/>
          <w:sz w:val="24"/>
          <w:szCs w:val="24"/>
        </w:rPr>
        <w:t>truído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onson</w:t>
      </w:r>
      <w:r>
        <w:rPr>
          <w:rFonts w:eastAsia="Times New Roman" w:cs="Arial" w:ascii="Arial" w:hAnsi="Arial"/>
          <w:color w:val="4F81BD" w:themeColor="accent1"/>
          <w:spacing w:val="-1"/>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mais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z w:val="24"/>
          <w:szCs w:val="24"/>
        </w:rPr>
        <w:t>lend</w:t>
      </w:r>
      <w:r>
        <w:rPr>
          <w:rFonts w:eastAsia="Times New Roman" w:cs="Arial" w:ascii="Arial" w:hAnsi="Arial"/>
          <w:color w:val="4F81BD" w:themeColor="accent1"/>
          <w:spacing w:val="1"/>
          <w:sz w:val="24"/>
          <w:szCs w:val="24"/>
        </w:rPr>
        <w:t>á</w:t>
      </w:r>
      <w:r>
        <w:rPr>
          <w:rFonts w:eastAsia="Times New Roman" w:cs="Arial" w:ascii="Arial" w:hAnsi="Arial"/>
          <w:color w:val="4F81BD" w:themeColor="accent1"/>
          <w:sz w:val="24"/>
          <w:szCs w:val="24"/>
        </w:rPr>
        <w:t>rios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aca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da unive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sidad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vis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 ot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uso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re</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fin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iros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e hum</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b</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a ple</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z w:val="24"/>
          <w:szCs w:val="24"/>
        </w:rPr>
        <w:t>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ut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açã</w:t>
      </w:r>
      <w:r>
        <w:rPr>
          <w:rFonts w:eastAsia="Times New Roman" w:cs="Arial" w:ascii="Arial" w:hAnsi="Arial"/>
          <w:color w:val="4F81BD" w:themeColor="accent1"/>
          <w:sz w:val="24"/>
          <w:szCs w:val="24"/>
        </w:rPr>
        <w:t xml:space="preserve">o do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spa</w:t>
      </w:r>
      <w:r>
        <w:rPr>
          <w:rFonts w:eastAsia="Times New Roman" w:cs="Arial" w:ascii="Arial" w:hAnsi="Arial"/>
          <w:color w:val="4F81BD" w:themeColor="accent1"/>
          <w:spacing w:val="-2"/>
          <w:sz w:val="24"/>
          <w:szCs w:val="24"/>
        </w:rPr>
        <w:t>ç</w:t>
      </w:r>
      <w:r>
        <w:rPr>
          <w:rFonts w:eastAsia="Times New Roman" w:cs="Arial" w:ascii="Arial" w:hAnsi="Arial"/>
          <w:color w:val="4F81BD" w:themeColor="accent1"/>
          <w:sz w:val="24"/>
          <w:szCs w:val="24"/>
        </w:rPr>
        <w:t>o ins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 xml:space="preserve">ional </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los d</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n</w:t>
      </w:r>
      <w:r>
        <w:rPr>
          <w:rFonts w:eastAsia="Times New Roman" w:cs="Arial" w:ascii="Arial" w:hAnsi="Arial"/>
          <w:color w:val="4F81BD" w:themeColor="accent1"/>
          <w:spacing w:val="2"/>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 de </w:t>
      </w:r>
      <w:r>
        <w:rPr>
          <w:rFonts w:eastAsia="Times New Roman" w:cs="Arial" w:ascii="Arial" w:hAnsi="Arial"/>
          <w:color w:val="4F81BD" w:themeColor="accent1"/>
          <w:spacing w:val="-2"/>
          <w:sz w:val="24"/>
          <w:szCs w:val="24"/>
        </w:rPr>
        <w:t>c</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z w:val="24"/>
          <w:szCs w:val="24"/>
        </w:rPr>
        <w:t xml:space="preserve">rsos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w:t>
      </w:r>
    </w:p>
    <w:p>
      <w:pPr>
        <w:pStyle w:val="Normal"/>
        <w:spacing w:lineRule="auto" w:line="360"/>
        <w:ind w:left="142" w:right="44" w:firstLine="566"/>
        <w:jc w:val="both"/>
        <w:rPr>
          <w:rFonts w:ascii="Arial" w:hAnsi="Arial" w:cs="Arial"/>
          <w:color w:val="4F81BD" w:themeColor="accent1"/>
          <w:sz w:val="24"/>
          <w:szCs w:val="24"/>
        </w:rPr>
      </w:pPr>
      <w:r>
        <w:rPr>
          <w:rFonts w:eastAsia="Times New Roman" w:cs="Arial" w:ascii="Arial" w:hAnsi="Arial"/>
          <w:color w:val="4F81BD" w:themeColor="accent1"/>
          <w:spacing w:val="-1"/>
          <w:sz w:val="24"/>
          <w:szCs w:val="24"/>
        </w:rPr>
        <w:t>Fa</w:t>
      </w:r>
      <w:r>
        <w:rPr>
          <w:rFonts w:eastAsia="Times New Roman" w:cs="Arial" w:ascii="Arial" w:hAnsi="Arial"/>
          <w:color w:val="4F81BD" w:themeColor="accent1"/>
          <w:spacing w:val="1"/>
          <w:sz w:val="24"/>
          <w:szCs w:val="24"/>
        </w:rPr>
        <w:t>z</w:t>
      </w:r>
      <w:r>
        <w:rPr>
          <w:rFonts w:eastAsia="Times New Roman" w:cs="Arial" w:ascii="Arial" w:hAnsi="Arial"/>
          <w:color w:val="4F81BD" w:themeColor="accent1"/>
          <w:spacing w:val="-1"/>
          <w:sz w:val="24"/>
          <w:szCs w:val="24"/>
        </w:rPr>
        <w:t>-</w:t>
      </w:r>
      <w:r>
        <w:rPr>
          <w:rFonts w:eastAsia="Times New Roman" w:cs="Arial" w:ascii="Arial" w:hAnsi="Arial"/>
          <w:color w:val="4F81BD" w:themeColor="accent1"/>
          <w:sz w:val="24"/>
          <w:szCs w:val="24"/>
        </w:rPr>
        <w:t>se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ss</w:t>
      </w:r>
      <w:r>
        <w:rPr>
          <w:rFonts w:eastAsia="Times New Roman" w:cs="Arial" w:ascii="Arial" w:hAnsi="Arial"/>
          <w:color w:val="4F81BD" w:themeColor="accent1"/>
          <w:spacing w:val="2"/>
          <w:sz w:val="24"/>
          <w:szCs w:val="24"/>
        </w:rPr>
        <w:t>á</w:t>
      </w:r>
      <w:r>
        <w:rPr>
          <w:rFonts w:eastAsia="Times New Roman" w:cs="Arial" w:ascii="Arial" w:hAnsi="Arial"/>
          <w:color w:val="4F81BD" w:themeColor="accent1"/>
          <w:sz w:val="24"/>
          <w:szCs w:val="24"/>
        </w:rPr>
        <w:t>rio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tamb</w:t>
      </w:r>
      <w:r>
        <w:rPr>
          <w:rFonts w:eastAsia="Times New Roman" w:cs="Arial" w:ascii="Arial" w:hAnsi="Arial"/>
          <w:color w:val="4F81BD" w:themeColor="accent1"/>
          <w:spacing w:val="1"/>
          <w:sz w:val="24"/>
          <w:szCs w:val="24"/>
        </w:rPr>
        <w:t>é</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dir</w:t>
      </w:r>
      <w:r>
        <w:rPr>
          <w:rFonts w:eastAsia="Times New Roman" w:cs="Arial" w:ascii="Arial" w:hAnsi="Arial"/>
          <w:color w:val="4F81BD" w:themeColor="accent1"/>
          <w:spacing w:val="-1"/>
          <w:sz w:val="24"/>
          <w:szCs w:val="24"/>
        </w:rPr>
        <w:t>ec</w:t>
      </w:r>
      <w:r>
        <w:rPr>
          <w:rFonts w:eastAsia="Times New Roman" w:cs="Arial" w:ascii="Arial" w:hAnsi="Arial"/>
          <w:color w:val="4F81BD" w:themeColor="accent1"/>
          <w:sz w:val="24"/>
          <w:szCs w:val="24"/>
        </w:rPr>
        <w:t>ionar</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2"/>
          <w:sz w:val="24"/>
          <w:szCs w:val="24"/>
        </w:rPr>
        <w:t>s</w:t>
      </w:r>
      <w:r>
        <w:rPr>
          <w:rFonts w:eastAsia="Times New Roman" w:cs="Arial" w:ascii="Arial" w:hAnsi="Arial"/>
          <w:color w:val="4F81BD" w:themeColor="accent1"/>
          <w:sz w:val="24"/>
          <w:szCs w:val="24"/>
        </w:rPr>
        <w:t>fo</w:t>
      </w:r>
      <w:r>
        <w:rPr>
          <w:rFonts w:eastAsia="Times New Roman" w:cs="Arial" w:ascii="Arial" w:hAnsi="Arial"/>
          <w:color w:val="4F81BD" w:themeColor="accent1"/>
          <w:spacing w:val="-1"/>
          <w:sz w:val="24"/>
          <w:szCs w:val="24"/>
        </w:rPr>
        <w:t>rç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ten</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3"/>
          <w:sz w:val="24"/>
          <w:szCs w:val="24"/>
        </w:rPr>
        <w:t>m</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nda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qu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 do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S</w:t>
      </w:r>
      <w:r>
        <w:rPr>
          <w:rFonts w:eastAsia="Times New Roman" w:cs="Arial" w:ascii="Arial" w:hAnsi="Arial"/>
          <w:color w:val="4F81BD" w:themeColor="accent1"/>
          <w:sz w:val="24"/>
          <w:szCs w:val="24"/>
        </w:rPr>
        <w:t>is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6"/>
          <w:sz w:val="24"/>
          <w:szCs w:val="24"/>
        </w:rPr>
        <w:t>I</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stão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a</w:t>
      </w:r>
      <w:r>
        <w:rPr>
          <w:rFonts w:eastAsia="Times New Roman" w:cs="Arial" w:ascii="Arial" w:hAnsi="Arial"/>
          <w:color w:val="4F81BD" w:themeColor="accent1"/>
          <w:spacing w:val="3"/>
          <w:sz w:val="24"/>
          <w:szCs w:val="24"/>
        </w:rPr>
        <w:t xml:space="preserve"> (S</w:t>
      </w:r>
      <w:r>
        <w:rPr>
          <w:rFonts w:eastAsia="Times New Roman" w:cs="Arial" w:ascii="Arial" w:hAnsi="Arial"/>
          <w:color w:val="4F81BD" w:themeColor="accent1"/>
          <w:spacing w:val="-6"/>
          <w:sz w:val="24"/>
          <w:szCs w:val="24"/>
        </w:rPr>
        <w:t>I</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do 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tend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r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spe</w:t>
      </w:r>
      <w:r>
        <w:rPr>
          <w:rFonts w:eastAsia="Times New Roman" w:cs="Arial" w:ascii="Arial" w:hAnsi="Arial"/>
          <w:color w:val="4F81BD" w:themeColor="accent1"/>
          <w:spacing w:val="-2"/>
          <w:sz w:val="24"/>
          <w:szCs w:val="24"/>
        </w:rPr>
        <w:t>c</w:t>
      </w:r>
      <w:r>
        <w:rPr>
          <w:rFonts w:eastAsia="Times New Roman" w:cs="Arial" w:ascii="Arial" w:hAnsi="Arial"/>
          <w:color w:val="4F81BD" w:themeColor="accent1"/>
          <w:sz w:val="24"/>
          <w:szCs w:val="24"/>
        </w:rPr>
        <w:t>ifici</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dos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 o</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rt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os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içõ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dif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3"/>
          <w:sz w:val="24"/>
          <w:szCs w:val="24"/>
        </w:rPr>
        <w:t>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is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omo</w:t>
      </w:r>
      <w:r>
        <w:rPr>
          <w:rFonts w:eastAsia="Times New Roman" w:cs="Arial" w:ascii="Arial" w:hAnsi="Arial"/>
          <w:color w:val="4F81BD" w:themeColor="accent1"/>
          <w:spacing w:val="8"/>
          <w:sz w:val="24"/>
          <w:szCs w:val="24"/>
        </w:rPr>
        <w:t xml:space="preserve"> </w:t>
      </w:r>
      <w:r>
        <w:rPr>
          <w:rFonts w:eastAsia="Times New Roman" w:cs="Arial" w:ascii="Arial" w:hAnsi="Arial"/>
          <w:color w:val="4F81BD" w:themeColor="accent1"/>
          <w:sz w:val="24"/>
          <w:szCs w:val="24"/>
        </w:rPr>
        <w:t>a G</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du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Ed</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mpo,</w:t>
      </w:r>
      <w:r>
        <w:rPr>
          <w:rFonts w:eastAsia="Times New Roman" w:cs="Arial" w:ascii="Arial" w:hAnsi="Arial"/>
          <w:color w:val="4F81BD" w:themeColor="accent1"/>
          <w:spacing w:val="2"/>
          <w:sz w:val="24"/>
          <w:szCs w:val="24"/>
        </w:rPr>
        <w:t xml:space="preserve"> o</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modalidade </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pacing w:val="2"/>
          <w:sz w:val="24"/>
          <w:szCs w:val="24"/>
        </w:rPr>
        <w:t>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ial</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w:t>
      </w:r>
    </w:p>
    <w:p>
      <w:pPr>
        <w:pStyle w:val="Normal"/>
        <w:spacing w:lineRule="auto" w:line="360"/>
        <w:ind w:left="142" w:right="44" w:firstLine="566"/>
        <w:jc w:val="both"/>
        <w:rPr>
          <w:rFonts w:ascii="Arial" w:hAnsi="Arial" w:cs="Arial"/>
          <w:color w:val="4F81BD" w:themeColor="accent1"/>
          <w:sz w:val="24"/>
          <w:szCs w:val="24"/>
        </w:rPr>
      </w:pPr>
      <w:r>
        <w:rPr>
          <w:rFonts w:eastAsia="Times New Roman" w:cs="Arial" w:ascii="Arial" w:hAnsi="Arial"/>
          <w:color w:val="4F81BD" w:themeColor="accent1"/>
          <w:sz w:val="24"/>
          <w:szCs w:val="24"/>
        </w:rPr>
        <w:t>Outra</w:t>
      </w:r>
      <w:r>
        <w:rPr>
          <w:rFonts w:eastAsia="Times New Roman" w:cs="Arial" w:ascii="Arial" w:hAnsi="Arial"/>
          <w:color w:val="4F81BD" w:themeColor="accent1"/>
          <w:spacing w:val="5"/>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ondiç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7"/>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w:t>
      </w:r>
      <w:r>
        <w:rPr>
          <w:rFonts w:eastAsia="Times New Roman" w:cs="Arial" w:ascii="Arial" w:hAnsi="Arial"/>
          <w:color w:val="4F81BD" w:themeColor="accent1"/>
          <w:spacing w:val="5"/>
          <w:sz w:val="24"/>
          <w:szCs w:val="24"/>
        </w:rPr>
        <w:t xml:space="preserve"> </w:t>
      </w:r>
      <w:r>
        <w:rPr>
          <w:rFonts w:eastAsia="Times New Roman" w:cs="Arial" w:ascii="Arial" w:hAnsi="Arial"/>
          <w:color w:val="4F81BD" w:themeColor="accent1"/>
          <w:sz w:val="24"/>
          <w:szCs w:val="24"/>
        </w:rPr>
        <w:t>sus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ntabil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z w:val="24"/>
          <w:szCs w:val="24"/>
        </w:rPr>
        <w:t>da</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t</w:t>
      </w:r>
      <w:r>
        <w:rPr>
          <w:rFonts w:eastAsia="Times New Roman" w:cs="Arial" w:ascii="Arial" w:hAnsi="Arial"/>
          <w:color w:val="4F81BD" w:themeColor="accent1"/>
          <w:sz w:val="24"/>
          <w:szCs w:val="24"/>
        </w:rPr>
        <w:t>a</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w:t>
      </w:r>
      <w:r>
        <w:rPr>
          <w:rFonts w:eastAsia="Times New Roman" w:cs="Arial" w:ascii="Arial" w:hAnsi="Arial"/>
          <w:color w:val="4F81BD" w:themeColor="accent1"/>
          <w:spacing w:val="7"/>
          <w:sz w:val="24"/>
          <w:szCs w:val="24"/>
        </w:rPr>
        <w:t xml:space="preserve"> </w:t>
      </w:r>
      <w:r>
        <w:rPr>
          <w:rFonts w:eastAsia="Times New Roman" w:cs="Arial" w:ascii="Arial" w:hAnsi="Arial"/>
          <w:color w:val="4F81BD" w:themeColor="accent1"/>
          <w:sz w:val="24"/>
          <w:szCs w:val="24"/>
        </w:rPr>
        <w:t>na</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z w:val="24"/>
          <w:szCs w:val="24"/>
        </w:rPr>
        <w:t>da</w:t>
      </w:r>
      <w:r>
        <w:rPr>
          <w:rFonts w:eastAsia="Times New Roman" w:cs="Arial" w:ascii="Arial" w:hAnsi="Arial"/>
          <w:color w:val="4F81BD" w:themeColor="accent1"/>
          <w:spacing w:val="6"/>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a é 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 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rta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ontros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de </w:t>
      </w:r>
      <w:r>
        <w:rPr>
          <w:rFonts w:eastAsia="Times New Roman" w:cs="Arial" w:ascii="Arial" w:hAnsi="Arial"/>
          <w:color w:val="4F81BD" w:themeColor="accent1"/>
          <w:spacing w:val="2"/>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mpo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Comun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mo</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no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qu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 Univ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rsid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20"/>
          <w:sz w:val="24"/>
          <w:szCs w:val="24"/>
        </w:rPr>
        <w:t xml:space="preserve"> </w:t>
      </w:r>
      <w:r>
        <w:rPr>
          <w:rFonts w:eastAsia="Times New Roman" w:cs="Arial" w:ascii="Arial" w:hAnsi="Arial"/>
          <w:color w:val="4F81BD" w:themeColor="accent1"/>
          <w:sz w:val="24"/>
          <w:szCs w:val="24"/>
        </w:rPr>
        <w:t>se</w:t>
      </w:r>
      <w:r>
        <w:rPr>
          <w:rFonts w:eastAsia="Times New Roman" w:cs="Arial" w:ascii="Arial" w:hAnsi="Arial"/>
          <w:color w:val="4F81BD" w:themeColor="accent1"/>
          <w:spacing w:val="2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slo</w:t>
      </w:r>
      <w:r>
        <w:rPr>
          <w:rFonts w:eastAsia="Times New Roman" w:cs="Arial" w:ascii="Arial" w:hAnsi="Arial"/>
          <w:color w:val="4F81BD" w:themeColor="accent1"/>
          <w:spacing w:val="2"/>
          <w:sz w:val="24"/>
          <w:szCs w:val="24"/>
        </w:rPr>
        <w:t>c</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0"/>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té</w:t>
      </w:r>
      <w:r>
        <w:rPr>
          <w:rFonts w:eastAsia="Times New Roman" w:cs="Arial" w:ascii="Arial" w:hAnsi="Arial"/>
          <w:color w:val="4F81BD" w:themeColor="accent1"/>
          <w:spacing w:val="21"/>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0"/>
          <w:sz w:val="24"/>
          <w:szCs w:val="24"/>
        </w:rPr>
        <w:t xml:space="preserve"> </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w:t>
      </w:r>
      <w:r>
        <w:rPr>
          <w:rFonts w:eastAsia="Times New Roman" w:cs="Arial" w:ascii="Arial" w:hAnsi="Arial"/>
          <w:color w:val="4F81BD" w:themeColor="accent1"/>
          <w:spacing w:val="20"/>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3"/>
          <w:sz w:val="24"/>
          <w:szCs w:val="24"/>
        </w:rPr>
        <w:t>u</w:t>
      </w:r>
      <w:r>
        <w:rPr>
          <w:rFonts w:eastAsia="Times New Roman" w:cs="Arial" w:ascii="Arial" w:hAnsi="Arial"/>
          <w:color w:val="4F81BD" w:themeColor="accent1"/>
          <w:sz w:val="24"/>
          <w:szCs w:val="24"/>
        </w:rPr>
        <w:t>nidad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2"/>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20"/>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las</w:t>
      </w:r>
      <w:r>
        <w:rPr>
          <w:rFonts w:eastAsia="Times New Roman" w:cs="Arial" w:ascii="Arial" w:hAnsi="Arial"/>
          <w:color w:val="4F81BD" w:themeColor="accent1"/>
          <w:spacing w:val="2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onstrói</w:t>
      </w:r>
      <w:r>
        <w:rPr>
          <w:rFonts w:eastAsia="Times New Roman" w:cs="Arial" w:ascii="Arial" w:hAnsi="Arial"/>
          <w:color w:val="4F81BD" w:themeColor="accent1"/>
          <w:spacing w:val="21"/>
          <w:sz w:val="24"/>
          <w:szCs w:val="24"/>
        </w:rPr>
        <w:t xml:space="preserve"> </w:t>
      </w:r>
      <w:r>
        <w:rPr>
          <w:rFonts w:eastAsia="Times New Roman" w:cs="Arial" w:ascii="Arial" w:hAnsi="Arial"/>
          <w:color w:val="4F81BD" w:themeColor="accent1"/>
          <w:spacing w:val="-1"/>
          <w:sz w:val="24"/>
          <w:szCs w:val="24"/>
        </w:rPr>
        <w:t>aç</w:t>
      </w:r>
      <w:r>
        <w:rPr>
          <w:rFonts w:eastAsia="Times New Roman" w:cs="Arial" w:ascii="Arial" w:hAnsi="Arial"/>
          <w:color w:val="4F81BD" w:themeColor="accent1"/>
          <w:sz w:val="24"/>
          <w:szCs w:val="24"/>
        </w:rPr>
        <w:t>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 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nsino,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squisa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2"/>
          <w:sz w:val="24"/>
          <w:szCs w:val="24"/>
        </w:rPr>
        <w:t>x</w:t>
      </w:r>
      <w:r>
        <w:rPr>
          <w:rFonts w:eastAsia="Times New Roman" w:cs="Arial" w:ascii="Arial" w:hAnsi="Arial"/>
          <w:color w:val="4F81BD" w:themeColor="accent1"/>
          <w:sz w:val="24"/>
          <w:szCs w:val="24"/>
        </w:rPr>
        <w:t>tens</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que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nte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ontribu</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 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fo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ma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aca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a dos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studant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3"/>
          <w:sz w:val="24"/>
          <w:szCs w:val="24"/>
        </w:rPr>
        <w:t>L</w:t>
      </w:r>
      <w:r>
        <w:rPr>
          <w:rFonts w:eastAsia="Times New Roman" w:cs="Arial" w:ascii="Arial" w:hAnsi="Arial"/>
          <w:color w:val="4F81BD" w:themeColor="accent1"/>
          <w:sz w:val="24"/>
          <w:szCs w:val="24"/>
        </w:rPr>
        <w:t>EC,</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b</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 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nsf</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rm</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so</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ial</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stas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omun</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4"/>
          <w:sz w:val="24"/>
          <w:szCs w:val="24"/>
        </w:rPr>
        <w:t xml:space="preserve"> </w:t>
      </w:r>
      <w:r>
        <w:rPr>
          <w:rFonts w:eastAsia="Times New Roman" w:cs="Arial" w:ascii="Arial" w:hAnsi="Arial"/>
          <w:color w:val="4F81BD" w:themeColor="accent1"/>
          <w:sz w:val="24"/>
          <w:szCs w:val="24"/>
        </w:rPr>
        <w:t>por</w:t>
      </w:r>
      <w:r>
        <w:rPr>
          <w:rFonts w:eastAsia="Times New Roman" w:cs="Arial" w:ascii="Arial" w:hAnsi="Arial"/>
          <w:color w:val="4F81BD" w:themeColor="accent1"/>
          <w:spacing w:val="33"/>
          <w:sz w:val="24"/>
          <w:szCs w:val="24"/>
        </w:rPr>
        <w:t xml:space="preserve"> </w:t>
      </w:r>
      <w:r>
        <w:rPr>
          <w:rFonts w:eastAsia="Times New Roman" w:cs="Arial" w:ascii="Arial" w:hAnsi="Arial"/>
          <w:color w:val="4F81BD" w:themeColor="accent1"/>
          <w:sz w:val="24"/>
          <w:szCs w:val="24"/>
        </w:rPr>
        <w:t>meio</w:t>
      </w:r>
      <w:r>
        <w:rPr>
          <w:rFonts w:eastAsia="Times New Roman" w:cs="Arial" w:ascii="Arial" w:hAnsi="Arial"/>
          <w:color w:val="4F81BD" w:themeColor="accent1"/>
          <w:spacing w:val="33"/>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33"/>
          <w:sz w:val="24"/>
          <w:szCs w:val="24"/>
        </w:rPr>
        <w:t xml:space="preserve"> </w:t>
      </w:r>
      <w:r>
        <w:rPr>
          <w:rFonts w:eastAsia="Times New Roman" w:cs="Arial" w:ascii="Arial" w:hAnsi="Arial"/>
          <w:color w:val="4F81BD" w:themeColor="accent1"/>
          <w:spacing w:val="-1"/>
          <w:sz w:val="24"/>
          <w:szCs w:val="24"/>
        </w:rPr>
        <w:t>ace</w:t>
      </w:r>
      <w:r>
        <w:rPr>
          <w:rFonts w:eastAsia="Times New Roman" w:cs="Arial" w:ascii="Arial" w:hAnsi="Arial"/>
          <w:color w:val="4F81BD" w:themeColor="accent1"/>
          <w:sz w:val="24"/>
          <w:szCs w:val="24"/>
        </w:rPr>
        <w:t>sso</w:t>
      </w:r>
      <w:r>
        <w:rPr>
          <w:rFonts w:eastAsia="Times New Roman" w:cs="Arial" w:ascii="Arial" w:hAnsi="Arial"/>
          <w:color w:val="4F81BD" w:themeColor="accent1"/>
          <w:spacing w:val="34"/>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o</w:t>
      </w:r>
      <w:r>
        <w:rPr>
          <w:rFonts w:eastAsia="Times New Roman" w:cs="Arial" w:ascii="Arial" w:hAnsi="Arial"/>
          <w:color w:val="4F81BD" w:themeColor="accent1"/>
          <w:spacing w:val="3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onh</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me</w:t>
      </w:r>
      <w:r>
        <w:rPr>
          <w:rFonts w:eastAsia="Times New Roman" w:cs="Arial" w:ascii="Arial" w:hAnsi="Arial"/>
          <w:color w:val="4F81BD" w:themeColor="accent1"/>
          <w:sz w:val="24"/>
          <w:szCs w:val="24"/>
        </w:rPr>
        <w:t>nto</w:t>
      </w:r>
      <w:r>
        <w:rPr>
          <w:rFonts w:eastAsia="Times New Roman" w:cs="Arial" w:ascii="Arial" w:hAnsi="Arial"/>
          <w:color w:val="4F81BD" w:themeColor="accent1"/>
          <w:spacing w:val="34"/>
          <w:sz w:val="24"/>
          <w:szCs w:val="24"/>
        </w:rPr>
        <w:t xml:space="preserve"> </w:t>
      </w:r>
      <w:r>
        <w:rPr>
          <w:rFonts w:eastAsia="Times New Roman" w:cs="Arial" w:ascii="Arial" w:hAnsi="Arial"/>
          <w:color w:val="4F81BD" w:themeColor="accent1"/>
          <w:spacing w:val="-1"/>
          <w:sz w:val="24"/>
          <w:szCs w:val="24"/>
        </w:rPr>
        <w:t>aca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w:t>
      </w:r>
      <w:r>
        <w:rPr>
          <w:rFonts w:eastAsia="Times New Roman" w:cs="Arial" w:ascii="Arial" w:hAnsi="Arial"/>
          <w:color w:val="4F81BD" w:themeColor="accent1"/>
          <w:spacing w:val="33"/>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32"/>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33"/>
          <w:sz w:val="24"/>
          <w:szCs w:val="24"/>
        </w:rPr>
        <w:t xml:space="preserve"> </w:t>
      </w:r>
      <w:r>
        <w:rPr>
          <w:rFonts w:eastAsia="Times New Roman" w:cs="Arial" w:ascii="Arial" w:hAnsi="Arial"/>
          <w:color w:val="4F81BD" w:themeColor="accent1"/>
          <w:sz w:val="24"/>
          <w:szCs w:val="24"/>
        </w:rPr>
        <w:t>diál</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o</w:t>
      </w:r>
      <w:r>
        <w:rPr>
          <w:rFonts w:eastAsia="Times New Roman" w:cs="Arial" w:ascii="Arial" w:hAnsi="Arial"/>
          <w:color w:val="4F81BD" w:themeColor="accent1"/>
          <w:spacing w:val="3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34"/>
          <w:sz w:val="24"/>
          <w:szCs w:val="24"/>
        </w:rPr>
        <w:t xml:space="preserve"> </w:t>
      </w:r>
      <w:r>
        <w:rPr>
          <w:rFonts w:eastAsia="Times New Roman" w:cs="Arial" w:ascii="Arial" w:hAnsi="Arial"/>
          <w:color w:val="4F81BD" w:themeColor="accent1"/>
          <w:sz w:val="24"/>
          <w:szCs w:val="24"/>
        </w:rPr>
        <w:t>os s</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b</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s t</w:t>
      </w:r>
      <w:r>
        <w:rPr>
          <w:rFonts w:eastAsia="Times New Roman" w:cs="Arial" w:ascii="Arial" w:hAnsi="Arial"/>
          <w:color w:val="4F81BD" w:themeColor="accent1"/>
          <w:spacing w:val="2"/>
          <w:sz w:val="24"/>
          <w:szCs w:val="24"/>
        </w:rPr>
        <w: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dicion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is.</w:t>
      </w:r>
    </w:p>
    <w:p>
      <w:pPr>
        <w:pStyle w:val="Normal"/>
        <w:spacing w:lineRule="auto" w:line="360"/>
        <w:ind w:left="142" w:right="44" w:firstLine="566"/>
        <w:jc w:val="both"/>
        <w:rPr>
          <w:rFonts w:ascii="Arial" w:hAnsi="Arial" w:cs="Arial"/>
          <w:color w:val="4F81BD" w:themeColor="accent1"/>
          <w:sz w:val="24"/>
          <w:szCs w:val="24"/>
        </w:rPr>
      </w:pPr>
      <w:r>
        <w:rPr>
          <w:rFonts w:eastAsia="Times New Roman" w:cs="Arial" w:ascii="Arial" w:hAnsi="Arial"/>
          <w:color w:val="4F81BD" w:themeColor="accent1"/>
          <w:sz w:val="24"/>
          <w:szCs w:val="24"/>
        </w:rPr>
        <w:t>O uso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w:t>
      </w:r>
      <w:r>
        <w:rPr>
          <w:rFonts w:eastAsia="Times New Roman" w:cs="Arial" w:ascii="Arial" w:hAnsi="Arial"/>
          <w:color w:val="4F81BD" w:themeColor="accent1"/>
          <w:spacing w:val="3"/>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rtilhado </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la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3"/>
          <w:sz w:val="24"/>
          <w:szCs w:val="24"/>
        </w:rPr>
        <w:t>L</w:t>
      </w:r>
      <w:r>
        <w:rPr>
          <w:rFonts w:eastAsia="Times New Roman" w:cs="Arial" w:ascii="Arial" w:hAnsi="Arial"/>
          <w:color w:val="4F81BD" w:themeColor="accent1"/>
          <w:sz w:val="24"/>
          <w:szCs w:val="24"/>
        </w:rPr>
        <w:t>EC</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aç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fo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3"/>
          <w:sz w:val="24"/>
          <w:szCs w:val="24"/>
        </w:rPr>
        <w:t>m</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stados p</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r out</w:t>
      </w:r>
      <w:r>
        <w:rPr>
          <w:rFonts w:eastAsia="Times New Roman" w:cs="Arial" w:ascii="Arial" w:hAnsi="Arial"/>
          <w:color w:val="4F81BD" w:themeColor="accent1"/>
          <w:spacing w:val="2"/>
          <w:sz w:val="24"/>
          <w:szCs w:val="24"/>
        </w:rPr>
        <w:t>r</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 xml:space="preserve">sos,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labo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tórios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á</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 Ciên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tur</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3"/>
          <w:sz w:val="24"/>
          <w:szCs w:val="24"/>
        </w:rPr>
        <w:t>L</w:t>
      </w:r>
      <w:r>
        <w:rPr>
          <w:rFonts w:eastAsia="Times New Roman" w:cs="Arial" w:ascii="Arial" w:hAnsi="Arial"/>
          <w:color w:val="4F81BD" w:themeColor="accent1"/>
          <w:sz w:val="24"/>
          <w:szCs w:val="24"/>
        </w:rPr>
        <w:t>i</w:t>
      </w:r>
      <w:r>
        <w:rPr>
          <w:rFonts w:eastAsia="Times New Roman" w:cs="Arial" w:ascii="Arial" w:hAnsi="Arial"/>
          <w:color w:val="4F81BD" w:themeColor="accent1"/>
          <w:spacing w:val="3"/>
          <w:sz w:val="24"/>
          <w:szCs w:val="24"/>
        </w:rPr>
        <w:t>n</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g</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ns</w:t>
      </w:r>
      <w:r>
        <w:rPr>
          <w:rFonts w:eastAsia="Times New Roman" w:cs="Arial" w:ascii="Arial" w:hAnsi="Arial"/>
          <w:color w:val="4F81BD" w:themeColor="accent1"/>
          <w:spacing w:val="7"/>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Códi</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 Ciên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Hum</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tem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qu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rta da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3"/>
          <w:sz w:val="24"/>
          <w:szCs w:val="24"/>
        </w:rPr>
        <w:t>L</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C.</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uso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ompa</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lhado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sp</w:t>
      </w:r>
      <w:r>
        <w:rPr>
          <w:rFonts w:eastAsia="Times New Roman" w:cs="Arial" w:ascii="Arial" w:hAnsi="Arial"/>
          <w:color w:val="4F81BD" w:themeColor="accent1"/>
          <w:spacing w:val="1"/>
          <w:sz w:val="24"/>
          <w:szCs w:val="24"/>
        </w:rPr>
        <w:t>aç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se soma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onquista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3"/>
          <w:sz w:val="24"/>
          <w:szCs w:val="24"/>
        </w:rPr>
        <w:t>L</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b</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tório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 E</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ca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 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mpo,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loc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ré</w:t>
      </w:r>
      <w:r>
        <w:rPr>
          <w:rFonts w:eastAsia="Times New Roman" w:cs="Arial" w:ascii="Arial" w:hAnsi="Arial"/>
          <w:color w:val="4F81BD" w:themeColor="accent1"/>
          <w:sz w:val="24"/>
          <w:szCs w:val="24"/>
        </w:rPr>
        <w:t>dio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Hum</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nida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O uso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sses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aç</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mand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 diálo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omov</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qu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uso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z w:val="24"/>
          <w:szCs w:val="24"/>
        </w:rPr>
        <w:t>side</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ndo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e 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7"/>
          <w:sz w:val="24"/>
          <w:szCs w:val="24"/>
        </w:rPr>
        <w:t>u</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2"/>
          <w:sz w:val="24"/>
          <w:szCs w:val="24"/>
        </w:rPr>
        <w:t>s</w:t>
      </w:r>
      <w:r>
        <w:rPr>
          <w:rFonts w:eastAsia="Times New Roman" w:cs="Arial" w:ascii="Arial" w:hAnsi="Arial"/>
          <w:color w:val="4F81BD" w:themeColor="accent1"/>
          <w:sz w:val="24"/>
          <w:szCs w:val="24"/>
        </w:rPr>
        <w:t>o o</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rt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ss</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man</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poio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té</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nico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specífico 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ra poten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iali</w:t>
      </w:r>
      <w:r>
        <w:rPr>
          <w:rFonts w:eastAsia="Times New Roman" w:cs="Arial" w:ascii="Arial" w:hAnsi="Arial"/>
          <w:color w:val="4F81BD" w:themeColor="accent1"/>
          <w:spacing w:val="2"/>
          <w:sz w:val="24"/>
          <w:szCs w:val="24"/>
        </w:rPr>
        <w:t>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qu</w:t>
      </w:r>
      <w:r>
        <w:rPr>
          <w:rFonts w:eastAsia="Times New Roman" w:cs="Arial" w:ascii="Arial" w:hAnsi="Arial"/>
          <w:color w:val="4F81BD" w:themeColor="accent1"/>
          <w:spacing w:val="-1"/>
          <w:sz w:val="24"/>
          <w:szCs w:val="24"/>
        </w:rPr>
        <w:t>aç</w:t>
      </w:r>
      <w:r>
        <w:rPr>
          <w:rFonts w:eastAsia="Times New Roman" w:cs="Arial" w:ascii="Arial" w:hAnsi="Arial"/>
          <w:color w:val="4F81BD" w:themeColor="accent1"/>
          <w:spacing w:val="2"/>
          <w:sz w:val="24"/>
          <w:szCs w:val="24"/>
        </w:rPr>
        <w:t>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 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oposi</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2"/>
          <w:sz w:val="24"/>
          <w:szCs w:val="24"/>
        </w:rPr>
        <w:t>õ</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didáti</w:t>
      </w:r>
      <w:r>
        <w:rPr>
          <w:rFonts w:eastAsia="Times New Roman" w:cs="Arial" w:ascii="Arial" w:hAnsi="Arial"/>
          <w:color w:val="4F81BD" w:themeColor="accent1"/>
          <w:spacing w:val="2"/>
          <w:sz w:val="24"/>
          <w:szCs w:val="24"/>
        </w:rPr>
        <w:t>c</w:t>
      </w:r>
      <w:r>
        <w:rPr>
          <w:rFonts w:eastAsia="Times New Roman" w:cs="Arial" w:ascii="Arial" w:hAnsi="Arial"/>
          <w:color w:val="4F81BD" w:themeColor="accent1"/>
          <w:spacing w:val="4"/>
          <w:sz w:val="24"/>
          <w:szCs w:val="24"/>
        </w:rPr>
        <w:t>o</w:t>
      </w:r>
      <w:r>
        <w:rPr>
          <w:rFonts w:eastAsia="Times New Roman" w:cs="Arial" w:ascii="Arial" w:hAnsi="Arial"/>
          <w:color w:val="4F81BD" w:themeColor="accent1"/>
          <w:spacing w:val="-1"/>
          <w:sz w:val="24"/>
          <w:szCs w:val="24"/>
        </w:rPr>
        <w:t>-</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2"/>
          <w:sz w:val="24"/>
          <w:szCs w:val="24"/>
        </w:rPr>
        <w:t>ó</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i</w:t>
      </w:r>
      <w:r>
        <w:rPr>
          <w:rFonts w:eastAsia="Times New Roman" w:cs="Arial" w:ascii="Arial" w:hAnsi="Arial"/>
          <w:color w:val="4F81BD" w:themeColor="accent1"/>
          <w:spacing w:val="2"/>
          <w:sz w:val="24"/>
          <w:szCs w:val="24"/>
        </w:rPr>
        <w:t>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met</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dolo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ias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w:t>
      </w:r>
      <w:r>
        <w:rPr>
          <w:rFonts w:eastAsia="Times New Roman" w:cs="Arial" w:ascii="Arial" w:hAnsi="Arial"/>
          <w:color w:val="4F81BD" w:themeColor="accent1"/>
          <w:spacing w:val="2"/>
          <w:sz w:val="24"/>
          <w:szCs w:val="24"/>
        </w:rPr>
        <w:t>é</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ias 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nsino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w:t>
      </w:r>
    </w:p>
    <w:p>
      <w:pPr>
        <w:pStyle w:val="Normal"/>
        <w:spacing w:lineRule="auto" w:line="360"/>
        <w:ind w:left="142" w:right="44" w:firstLine="566"/>
        <w:jc w:val="both"/>
        <w:rPr>
          <w:rFonts w:ascii="Arial" w:hAnsi="Arial" w:eastAsia="Times New Roman" w:cs="Arial"/>
          <w:color w:val="4F81BD" w:themeColor="accent1"/>
          <w:sz w:val="24"/>
          <w:szCs w:val="24"/>
        </w:rPr>
      </w:pP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sfo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r</w:t>
      </w:r>
      <w:r>
        <w:rPr>
          <w:rFonts w:eastAsia="Times New Roman" w:cs="Arial" w:ascii="Arial" w:hAnsi="Arial"/>
          <w:color w:val="4F81BD" w:themeColor="accent1"/>
          <w:spacing w:val="-1"/>
          <w:sz w:val="24"/>
          <w:szCs w:val="24"/>
        </w:rPr>
        <w:t>ea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no</w:t>
      </w:r>
      <w:r>
        <w:rPr>
          <w:rFonts w:eastAsia="Times New Roman" w:cs="Arial" w:ascii="Arial" w:hAnsi="Arial"/>
          <w:color w:val="4F81BD" w:themeColor="accent1"/>
          <w:spacing w:val="1"/>
          <w:sz w:val="24"/>
          <w:szCs w:val="24"/>
        </w:rPr>
        <w:t xml:space="preserve"> â</w:t>
      </w:r>
      <w:r>
        <w:rPr>
          <w:rFonts w:eastAsia="Times New Roman" w:cs="Arial" w:ascii="Arial" w:hAnsi="Arial"/>
          <w:color w:val="4F81BD" w:themeColor="accent1"/>
          <w:sz w:val="24"/>
          <w:szCs w:val="24"/>
        </w:rPr>
        <w:t>mb</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 Com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ssão de R</w:t>
      </w:r>
      <w:r>
        <w:rPr>
          <w:rFonts w:eastAsia="Times New Roman" w:cs="Arial" w:ascii="Arial" w:hAnsi="Arial"/>
          <w:color w:val="4F81BD" w:themeColor="accent1"/>
          <w:spacing w:val="-1"/>
          <w:sz w:val="24"/>
          <w:szCs w:val="24"/>
        </w:rPr>
        <w:t>ee</w:t>
      </w:r>
      <w:r>
        <w:rPr>
          <w:rFonts w:eastAsia="Times New Roman" w:cs="Arial" w:ascii="Arial" w:hAnsi="Arial"/>
          <w:color w:val="4F81BD" w:themeColor="accent1"/>
          <w:sz w:val="24"/>
          <w:szCs w:val="24"/>
        </w:rPr>
        <w:t>stru</w:t>
      </w:r>
      <w:r>
        <w:rPr>
          <w:rFonts w:eastAsia="Times New Roman" w:cs="Arial" w:ascii="Arial" w:hAnsi="Arial"/>
          <w:color w:val="4F81BD" w:themeColor="accent1"/>
          <w:spacing w:val="5"/>
          <w:sz w:val="24"/>
          <w:szCs w:val="24"/>
        </w:rPr>
        <w:t>t</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3"/>
          <w:sz w:val="24"/>
          <w:szCs w:val="24"/>
        </w:rPr>
        <w:t>L</w:t>
      </w:r>
      <w:r>
        <w:rPr>
          <w:rFonts w:eastAsia="Times New Roman" w:cs="Arial" w:ascii="Arial" w:hAnsi="Arial"/>
          <w:color w:val="4F81BD" w:themeColor="accent1"/>
          <w:sz w:val="24"/>
          <w:szCs w:val="24"/>
        </w:rPr>
        <w:t>ic</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iatur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da U</w:t>
      </w:r>
      <w:r>
        <w:rPr>
          <w:rFonts w:eastAsia="Times New Roman" w:cs="Arial" w:ascii="Arial" w:hAnsi="Arial"/>
          <w:color w:val="4F81BD" w:themeColor="accent1"/>
          <w:spacing w:val="-2"/>
          <w:sz w:val="24"/>
          <w:szCs w:val="24"/>
        </w:rPr>
        <w:t>F</w:t>
      </w:r>
      <w:r>
        <w:rPr>
          <w:rFonts w:eastAsia="Times New Roman" w:cs="Arial" w:ascii="Arial" w:hAnsi="Arial"/>
          <w:color w:val="4F81BD" w:themeColor="accent1"/>
          <w:sz w:val="24"/>
          <w:szCs w:val="24"/>
        </w:rPr>
        <w:t>V</w:t>
      </w:r>
      <w:r>
        <w:rPr>
          <w:rFonts w:eastAsia="Times New Roman" w:cs="Arial" w:ascii="Arial" w:hAnsi="Arial"/>
          <w:color w:val="4F81BD" w:themeColor="accent1"/>
          <w:spacing w:val="2"/>
          <w:sz w:val="24"/>
          <w:szCs w:val="24"/>
        </w:rPr>
        <w:t>J</w:t>
      </w:r>
      <w:r>
        <w:rPr>
          <w:rFonts w:eastAsia="Times New Roman" w:cs="Arial" w:ascii="Arial" w:hAnsi="Arial"/>
          <w:color w:val="4F81BD" w:themeColor="accent1"/>
          <w:sz w:val="24"/>
          <w:szCs w:val="24"/>
        </w:rPr>
        <w:t>M,</w:t>
      </w:r>
      <w:r>
        <w:rPr>
          <w:rFonts w:eastAsia="Times New Roman" w:cs="Arial" w:ascii="Arial" w:hAnsi="Arial"/>
          <w:color w:val="4F81BD" w:themeColor="accent1"/>
          <w:spacing w:val="58"/>
          <w:sz w:val="24"/>
          <w:szCs w:val="24"/>
        </w:rPr>
        <w:t xml:space="preserve"> </w:t>
      </w:r>
      <w:r>
        <w:rPr>
          <w:rFonts w:eastAsia="Times New Roman" w:cs="Arial" w:ascii="Arial" w:hAnsi="Arial"/>
          <w:color w:val="4F81BD" w:themeColor="accent1"/>
          <w:sz w:val="24"/>
          <w:szCs w:val="24"/>
        </w:rPr>
        <w:t>dur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nte</w:t>
      </w:r>
      <w:r>
        <w:rPr>
          <w:rFonts w:eastAsia="Times New Roman" w:cs="Arial" w:ascii="Arial" w:hAnsi="Arial"/>
          <w:color w:val="4F81BD" w:themeColor="accent1"/>
          <w:spacing w:val="59"/>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57"/>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ríodo</w:t>
      </w:r>
      <w:r>
        <w:rPr>
          <w:rFonts w:eastAsia="Times New Roman" w:cs="Arial" w:ascii="Arial" w:hAnsi="Arial"/>
          <w:color w:val="4F81BD" w:themeColor="accent1"/>
          <w:spacing w:val="57"/>
          <w:sz w:val="24"/>
          <w:szCs w:val="24"/>
        </w:rPr>
        <w:t xml:space="preserve"> </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56"/>
          <w:sz w:val="24"/>
          <w:szCs w:val="24"/>
        </w:rPr>
        <w:t xml:space="preserve"> </w:t>
      </w:r>
      <w:r>
        <w:rPr>
          <w:rFonts w:eastAsia="Times New Roman" w:cs="Arial" w:ascii="Arial" w:hAnsi="Arial"/>
          <w:color w:val="4F81BD" w:themeColor="accent1"/>
          <w:sz w:val="24"/>
          <w:szCs w:val="24"/>
        </w:rPr>
        <w:t>2015  a</w:t>
      </w:r>
      <w:r>
        <w:rPr>
          <w:rFonts w:eastAsia="Times New Roman" w:cs="Arial" w:ascii="Arial" w:hAnsi="Arial"/>
          <w:color w:val="4F81BD" w:themeColor="accent1"/>
          <w:spacing w:val="56"/>
          <w:sz w:val="24"/>
          <w:szCs w:val="24"/>
        </w:rPr>
        <w:t xml:space="preserve"> </w:t>
      </w:r>
      <w:r>
        <w:rPr>
          <w:rFonts w:eastAsia="Times New Roman" w:cs="Arial" w:ascii="Arial" w:hAnsi="Arial"/>
          <w:color w:val="4F81BD" w:themeColor="accent1"/>
          <w:sz w:val="24"/>
          <w:szCs w:val="24"/>
        </w:rPr>
        <w:t xml:space="preserve">2017,  </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ndicou</w:t>
      </w:r>
      <w:r>
        <w:rPr>
          <w:rFonts w:eastAsia="Times New Roman" w:cs="Arial" w:ascii="Arial" w:hAnsi="Arial"/>
          <w:color w:val="4F81BD" w:themeColor="accent1"/>
          <w:spacing w:val="57"/>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57"/>
          <w:sz w:val="24"/>
          <w:szCs w:val="24"/>
        </w:rPr>
        <w:t xml:space="preserve"> </w:t>
      </w:r>
      <w:r>
        <w:rPr>
          <w:rFonts w:eastAsia="Times New Roman" w:cs="Arial" w:ascii="Arial" w:hAnsi="Arial"/>
          <w:color w:val="4F81BD" w:themeColor="accent1"/>
          <w:sz w:val="24"/>
          <w:szCs w:val="24"/>
        </w:rPr>
        <w:t>pote</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ial</w:t>
      </w:r>
      <w:r>
        <w:rPr>
          <w:rFonts w:eastAsia="Times New Roman" w:cs="Arial" w:ascii="Arial" w:hAnsi="Arial"/>
          <w:color w:val="4F81BD" w:themeColor="accent1"/>
          <w:spacing w:val="57"/>
          <w:sz w:val="24"/>
          <w:szCs w:val="24"/>
        </w:rPr>
        <w:t xml:space="preserve"> </w:t>
      </w:r>
      <w:r>
        <w:rPr>
          <w:rFonts w:eastAsia="Times New Roman" w:cs="Arial" w:ascii="Arial" w:hAnsi="Arial"/>
          <w:color w:val="4F81BD" w:themeColor="accent1"/>
          <w:sz w:val="24"/>
          <w:szCs w:val="24"/>
        </w:rPr>
        <w:t>que</w:t>
      </w:r>
      <w:r>
        <w:rPr>
          <w:rFonts w:eastAsia="Times New Roman" w:cs="Arial" w:ascii="Arial" w:hAnsi="Arial"/>
          <w:color w:val="4F81BD" w:themeColor="accent1"/>
          <w:spacing w:val="59"/>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57"/>
          <w:sz w:val="24"/>
          <w:szCs w:val="24"/>
        </w:rPr>
        <w:t xml:space="preserve"> </w:t>
      </w:r>
      <w:r>
        <w:rPr>
          <w:rFonts w:eastAsia="Times New Roman" w:cs="Arial" w:ascii="Arial" w:hAnsi="Arial"/>
          <w:color w:val="4F81BD" w:themeColor="accent1"/>
          <w:sz w:val="24"/>
          <w:szCs w:val="24"/>
        </w:rPr>
        <w:t>diál</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o ins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ional</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ntre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rt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la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Univ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sidade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oduz</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ra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la</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finir 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 xml:space="preserve">incípios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w:t>
      </w:r>
      <w:r>
        <w:rPr>
          <w:rFonts w:eastAsia="Times New Roman" w:cs="Arial" w:ascii="Arial" w:hAnsi="Arial"/>
          <w:color w:val="4F81BD" w:themeColor="accent1"/>
          <w:spacing w:val="2"/>
          <w:sz w:val="24"/>
          <w:szCs w:val="24"/>
        </w:rPr>
        <w:t>é</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 xml:space="preserve">ias </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ç</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2"/>
          <w:sz w:val="24"/>
          <w:szCs w:val="24"/>
        </w:rPr>
        <w:t>ó</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i</w:t>
      </w:r>
      <w:r>
        <w:rPr>
          <w:rFonts w:eastAsia="Times New Roman" w:cs="Arial" w:ascii="Arial" w:hAnsi="Arial"/>
          <w:color w:val="4F81BD" w:themeColor="accent1"/>
          <w:spacing w:val="2"/>
          <w:sz w:val="24"/>
          <w:szCs w:val="24"/>
        </w:rPr>
        <w:t>c</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 </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ss</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 xml:space="preserve">omo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5"/>
          <w:sz w:val="24"/>
          <w:szCs w:val="24"/>
        </w:rPr>
        <w:t>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fe</w:t>
      </w:r>
      <w:r>
        <w:rPr>
          <w:rFonts w:eastAsia="Times New Roman" w:cs="Arial" w:ascii="Arial" w:hAnsi="Arial"/>
          <w:color w:val="4F81BD" w:themeColor="accent1"/>
          <w:sz w:val="24"/>
          <w:szCs w:val="24"/>
        </w:rPr>
        <w:t>iç</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 ot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iz</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r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uso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 xml:space="preserve">de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w:t>
      </w:r>
      <w:r>
        <w:rPr>
          <w:rFonts w:eastAsia="Times New Roman" w:cs="Arial" w:ascii="Arial" w:hAnsi="Arial"/>
          <w:color w:val="4F81BD" w:themeColor="accent1"/>
          <w:spacing w:val="2"/>
          <w:sz w:val="24"/>
          <w:szCs w:val="24"/>
        </w:rPr>
        <w:t>r</w:t>
      </w:r>
      <w:r>
        <w:rPr>
          <w:rFonts w:eastAsia="Times New Roman" w:cs="Arial" w:ascii="Arial" w:hAnsi="Arial"/>
          <w:color w:val="4F81BD" w:themeColor="accent1"/>
          <w:sz w:val="24"/>
          <w:szCs w:val="24"/>
        </w:rPr>
        <w:t>utur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s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bo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tórios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outros </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spa</w:t>
      </w:r>
      <w:r>
        <w:rPr>
          <w:rFonts w:eastAsia="Times New Roman" w:cs="Arial" w:ascii="Arial" w:hAnsi="Arial"/>
          <w:color w:val="4F81BD" w:themeColor="accent1"/>
          <w:spacing w:val="-2"/>
          <w:sz w:val="24"/>
          <w:szCs w:val="24"/>
        </w:rPr>
        <w:t>ç</w:t>
      </w:r>
      <w:r>
        <w:rPr>
          <w:rFonts w:eastAsia="Times New Roman" w:cs="Arial" w:ascii="Arial" w:hAnsi="Arial"/>
          <w:color w:val="4F81BD" w:themeColor="accent1"/>
          <w:sz w:val="24"/>
          <w:szCs w:val="24"/>
        </w:rPr>
        <w:t xml:space="preserve">os </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físicos</w:t>
      </w:r>
      <w:r>
        <w:rPr>
          <w:rFonts w:eastAsia="Times New Roman" w:cs="Arial" w:ascii="Arial" w:hAnsi="Arial"/>
          <w:color w:val="4F81BD" w:themeColor="accent1"/>
          <w:spacing w:val="-1"/>
          <w:sz w:val="24"/>
          <w:szCs w:val="24"/>
        </w:rPr>
        <w:t>)</w:t>
      </w:r>
      <w:r>
        <w:rPr>
          <w:rFonts w:eastAsia="Times New Roman" w:cs="Arial" w:ascii="Arial" w:hAnsi="Arial"/>
          <w:color w:val="4F81BD" w:themeColor="accent1"/>
          <w:sz w:val="24"/>
          <w:szCs w:val="24"/>
        </w:rPr>
        <w:t xml:space="preserve">, </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 xml:space="preserve">tempos </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e r</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
          <w:sz w:val="24"/>
          <w:szCs w:val="24"/>
        </w:rPr>
        <w:t>p</w:t>
      </w:r>
      <w:r>
        <w:rPr>
          <w:rFonts w:eastAsia="Times New Roman" w:cs="Arial" w:ascii="Arial" w:hAnsi="Arial"/>
          <w:color w:val="4F81BD" w:themeColor="accent1"/>
          <w:sz w:val="24"/>
          <w:szCs w:val="24"/>
        </w:rPr>
        <w:t>ro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z w:val="24"/>
          <w:szCs w:val="24"/>
        </w:rPr>
        <w:t>und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diálo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z w:val="24"/>
          <w:szCs w:val="24"/>
        </w:rPr>
        <w:t>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ins</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ionais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ntre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ce</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tur</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5"/>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ssas,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onsid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ndo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ificid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 xml:space="preserve">m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 o</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z w:val="24"/>
          <w:szCs w:val="24"/>
        </w:rPr>
        <w:t xml:space="preserve">tros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 da Univ</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rsid</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se m</w:t>
      </w:r>
      <w:r>
        <w:rPr>
          <w:rFonts w:eastAsia="Times New Roman" w:cs="Arial" w:ascii="Arial" w:hAnsi="Arial"/>
          <w:color w:val="4F81BD" w:themeColor="accent1"/>
          <w:spacing w:val="3"/>
          <w:sz w:val="24"/>
          <w:szCs w:val="24"/>
        </w:rPr>
        <w:t>o</w:t>
      </w:r>
      <w:r>
        <w:rPr>
          <w:rFonts w:eastAsia="Times New Roman" w:cs="Arial" w:ascii="Arial" w:hAnsi="Arial"/>
          <w:color w:val="4F81BD" w:themeColor="accent1"/>
          <w:sz w:val="24"/>
          <w:szCs w:val="24"/>
        </w:rPr>
        <w:t xml:space="preserve">stra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omo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z w:val="24"/>
          <w:szCs w:val="24"/>
        </w:rPr>
        <w:t>uma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f</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poss</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bi</w:t>
      </w:r>
      <w:r>
        <w:rPr>
          <w:rFonts w:eastAsia="Times New Roman" w:cs="Arial" w:ascii="Arial" w:hAnsi="Arial"/>
          <w:color w:val="4F81BD" w:themeColor="accent1"/>
          <w:spacing w:val="1"/>
          <w:sz w:val="24"/>
          <w:szCs w:val="24"/>
        </w:rPr>
        <w:t>l</w:t>
      </w:r>
      <w:r>
        <w:rPr>
          <w:rFonts w:eastAsia="Times New Roman" w:cs="Arial" w:ascii="Arial" w:hAnsi="Arial"/>
          <w:color w:val="4F81BD" w:themeColor="accent1"/>
          <w:sz w:val="24"/>
          <w:szCs w:val="24"/>
        </w:rPr>
        <w:t>idade p</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a</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nst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tu</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 xml:space="preserve">o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r s</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 est</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t</w:t>
      </w:r>
      <w:r>
        <w:rPr>
          <w:rFonts w:eastAsia="Times New Roman" w:cs="Arial" w:ascii="Arial" w:hAnsi="Arial"/>
          <w:color w:val="4F81BD" w:themeColor="accent1"/>
          <w:spacing w:val="2"/>
          <w:sz w:val="24"/>
          <w:szCs w:val="24"/>
        </w:rPr>
        <w:t>é</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 xml:space="preserve">s de </w:t>
      </w:r>
      <w:r>
        <w:rPr>
          <w:rFonts w:eastAsia="Times New Roman" w:cs="Arial" w:ascii="Arial" w:hAnsi="Arial"/>
          <w:color w:val="4F81BD" w:themeColor="accent1"/>
          <w:spacing w:val="-2"/>
          <w:sz w:val="24"/>
          <w:szCs w:val="24"/>
        </w:rPr>
        <w:t>e</w:t>
      </w:r>
      <w:r>
        <w:rPr>
          <w:rFonts w:eastAsia="Times New Roman" w:cs="Arial" w:ascii="Arial" w:hAnsi="Arial"/>
          <w:color w:val="4F81BD" w:themeColor="accent1"/>
          <w:sz w:val="24"/>
          <w:szCs w:val="24"/>
        </w:rPr>
        <w:t>nsino, p</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squisa</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w:t>
      </w:r>
      <w:r>
        <w:rPr>
          <w:rFonts w:eastAsia="Times New Roman" w:cs="Arial" w:ascii="Arial" w:hAnsi="Arial"/>
          <w:color w:val="4F81BD" w:themeColor="accent1"/>
          <w:spacing w:val="1"/>
          <w:sz w:val="24"/>
          <w:szCs w:val="24"/>
        </w:rPr>
        <w:t xml:space="preserve"> e</w:t>
      </w:r>
      <w:r>
        <w:rPr>
          <w:rFonts w:eastAsia="Times New Roman" w:cs="Arial" w:ascii="Arial" w:hAnsi="Arial"/>
          <w:color w:val="4F81BD" w:themeColor="accent1"/>
          <w:spacing w:val="2"/>
          <w:sz w:val="24"/>
          <w:szCs w:val="24"/>
        </w:rPr>
        <w:t>x</w:t>
      </w:r>
      <w:r>
        <w:rPr>
          <w:rFonts w:eastAsia="Times New Roman" w:cs="Arial" w:ascii="Arial" w:hAnsi="Arial"/>
          <w:color w:val="4F81BD" w:themeColor="accent1"/>
          <w:sz w:val="24"/>
          <w:szCs w:val="24"/>
        </w:rPr>
        <w:t>tens</w:t>
      </w:r>
      <w:r>
        <w:rPr>
          <w:rFonts w:eastAsia="Times New Roman" w:cs="Arial" w:ascii="Arial" w:hAnsi="Arial"/>
          <w:color w:val="4F81BD" w:themeColor="accent1"/>
          <w:spacing w:val="-1"/>
          <w:sz w:val="24"/>
          <w:szCs w:val="24"/>
        </w:rPr>
        <w:t>ã</w:t>
      </w:r>
      <w:r>
        <w:rPr>
          <w:rFonts w:eastAsia="Times New Roman" w:cs="Arial" w:ascii="Arial" w:hAnsi="Arial"/>
          <w:color w:val="4F81BD" w:themeColor="accent1"/>
          <w:sz w:val="24"/>
          <w:szCs w:val="24"/>
        </w:rPr>
        <w:t>o</w:t>
      </w:r>
    </w:p>
    <w:p>
      <w:pPr>
        <w:pStyle w:val="Normal"/>
        <w:spacing w:lineRule="auto" w:line="360"/>
        <w:ind w:left="142" w:right="44" w:firstLine="566"/>
        <w:jc w:val="both"/>
        <w:rPr>
          <w:rFonts w:ascii="Arial" w:hAnsi="Arial" w:cs="Arial"/>
          <w:sz w:val="24"/>
          <w:szCs w:val="24"/>
        </w:rPr>
      </w:pP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ste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do,</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r</w:t>
      </w:r>
      <w:r>
        <w:rPr>
          <w:rFonts w:eastAsia="Times New Roman" w:cs="Arial" w:ascii="Arial" w:hAnsi="Arial"/>
          <w:color w:val="4F81BD" w:themeColor="accent1"/>
          <w:spacing w:val="-2"/>
          <w:sz w:val="24"/>
          <w:szCs w:val="24"/>
        </w:rPr>
        <w:t>a</w:t>
      </w:r>
      <w:r>
        <w:rPr>
          <w:rFonts w:eastAsia="Times New Roman" w:cs="Arial" w:ascii="Arial" w:hAnsi="Arial"/>
          <w:color w:val="4F81BD" w:themeColor="accent1"/>
          <w:sz w:val="24"/>
          <w:szCs w:val="24"/>
        </w:rPr>
        <w:t>nt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r</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z w:val="24"/>
          <w:szCs w:val="24"/>
        </w:rPr>
        <w:t>mento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a o</w:t>
      </w:r>
      <w:r>
        <w:rPr>
          <w:rFonts w:eastAsia="Times New Roman" w:cs="Arial" w:ascii="Arial" w:hAnsi="Arial"/>
          <w:color w:val="4F81BD" w:themeColor="accent1"/>
          <w:spacing w:val="1"/>
          <w:sz w:val="24"/>
          <w:szCs w:val="24"/>
        </w:rPr>
        <w:t>f</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rta de</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sos</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m</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re</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me</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de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rn</w:t>
      </w:r>
      <w:r>
        <w:rPr>
          <w:rFonts w:eastAsia="Times New Roman" w:cs="Arial" w:ascii="Arial" w:hAnsi="Arial"/>
          <w:color w:val="4F81BD" w:themeColor="accent1"/>
          <w:spacing w:val="-2"/>
          <w:sz w:val="24"/>
          <w:szCs w:val="24"/>
        </w:rPr>
        <w:t>â</w:t>
      </w:r>
      <w:r>
        <w:rPr>
          <w:rFonts w:eastAsia="Times New Roman" w:cs="Arial" w:ascii="Arial" w:hAnsi="Arial"/>
          <w:color w:val="4F81BD" w:themeColor="accent1"/>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3"/>
          <w:sz w:val="24"/>
          <w:szCs w:val="24"/>
        </w:rPr>
        <w:t>i</w:t>
      </w:r>
      <w:r>
        <w:rPr>
          <w:rFonts w:eastAsia="Times New Roman" w:cs="Arial" w:ascii="Arial" w:hAnsi="Arial"/>
          <w:color w:val="4F81BD" w:themeColor="accent1"/>
          <w:sz w:val="24"/>
          <w:szCs w:val="24"/>
        </w:rPr>
        <w:t xml:space="preserve">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x</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m</w:t>
      </w:r>
      <w:r>
        <w:rPr>
          <w:rFonts w:eastAsia="Times New Roman" w:cs="Arial" w:ascii="Arial" w:hAnsi="Arial"/>
          <w:color w:val="4F81BD" w:themeColor="accent1"/>
          <w:sz w:val="24"/>
          <w:szCs w:val="24"/>
        </w:rPr>
        <w:t>a p</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o</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ss</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v</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mente 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UFVJM</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 xml:space="preserve">da </w:t>
      </w:r>
      <w:r>
        <w:rPr>
          <w:rFonts w:eastAsia="Times New Roman" w:cs="Arial" w:ascii="Arial" w:hAnsi="Arial"/>
          <w:color w:val="4F81BD" w:themeColor="accent1"/>
          <w:spacing w:val="3"/>
          <w:sz w:val="24"/>
          <w:szCs w:val="24"/>
        </w:rPr>
        <w:t>c</w:t>
      </w:r>
      <w:r>
        <w:rPr>
          <w:rFonts w:eastAsia="Times New Roman" w:cs="Arial" w:ascii="Arial" w:hAnsi="Arial"/>
          <w:color w:val="4F81BD" w:themeColor="accent1"/>
          <w:sz w:val="24"/>
          <w:szCs w:val="24"/>
        </w:rPr>
        <w:t>onse</w:t>
      </w:r>
      <w:r>
        <w:rPr>
          <w:rFonts w:eastAsia="Times New Roman" w:cs="Arial" w:ascii="Arial" w:hAnsi="Arial"/>
          <w:color w:val="4F81BD" w:themeColor="accent1"/>
          <w:spacing w:val="-2"/>
          <w:sz w:val="24"/>
          <w:szCs w:val="24"/>
        </w:rPr>
        <w:t>c</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pacing w:val="-1"/>
          <w:sz w:val="24"/>
          <w:szCs w:val="24"/>
        </w:rPr>
        <w:t>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2"/>
          <w:sz w:val="24"/>
          <w:szCs w:val="24"/>
        </w:rPr>
        <w:t>d</w:t>
      </w:r>
      <w:r>
        <w:rPr>
          <w:rFonts w:eastAsia="Times New Roman" w:cs="Arial" w:ascii="Arial" w:hAnsi="Arial"/>
          <w:color w:val="4F81BD" w:themeColor="accent1"/>
          <w:sz w:val="24"/>
          <w:szCs w:val="24"/>
        </w:rPr>
        <w:t xml:space="preserve">e </w:t>
      </w:r>
      <w:r>
        <w:rPr>
          <w:rFonts w:eastAsia="Times New Roman" w:cs="Arial" w:ascii="Arial" w:hAnsi="Arial"/>
          <w:color w:val="4F81BD" w:themeColor="accent1"/>
          <w:spacing w:val="2"/>
          <w:sz w:val="24"/>
          <w:szCs w:val="24"/>
        </w:rPr>
        <w:t>s</w:t>
      </w:r>
      <w:r>
        <w:rPr>
          <w:rFonts w:eastAsia="Times New Roman" w:cs="Arial" w:ascii="Arial" w:hAnsi="Arial"/>
          <w:color w:val="4F81BD" w:themeColor="accent1"/>
          <w:sz w:val="24"/>
          <w:szCs w:val="24"/>
        </w:rPr>
        <w:t>u</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met</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s</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z w:val="24"/>
          <w:szCs w:val="24"/>
        </w:rPr>
        <w:t>e objetivos</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e da s</w:t>
      </w:r>
      <w:r>
        <w:rPr>
          <w:rFonts w:eastAsia="Times New Roman" w:cs="Arial" w:ascii="Arial" w:hAnsi="Arial"/>
          <w:color w:val="4F81BD" w:themeColor="accent1"/>
          <w:spacing w:val="2"/>
          <w:sz w:val="24"/>
          <w:szCs w:val="24"/>
        </w:rPr>
        <w:t>u</w:t>
      </w:r>
      <w:r>
        <w:rPr>
          <w:rFonts w:eastAsia="Times New Roman" w:cs="Arial" w:ascii="Arial" w:hAnsi="Arial"/>
          <w:color w:val="4F81BD" w:themeColor="accent1"/>
          <w:sz w:val="24"/>
          <w:szCs w:val="24"/>
        </w:rPr>
        <w:t>a ju</w:t>
      </w:r>
      <w:r>
        <w:rPr>
          <w:rFonts w:eastAsia="Times New Roman" w:cs="Arial" w:ascii="Arial" w:hAnsi="Arial"/>
          <w:color w:val="4F81BD" w:themeColor="accent1"/>
          <w:spacing w:val="3"/>
          <w:sz w:val="24"/>
          <w:szCs w:val="24"/>
        </w:rPr>
        <w:t>s</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z w:val="24"/>
          <w:szCs w:val="24"/>
        </w:rPr>
        <w:t>fi</w:t>
      </w:r>
      <w:r>
        <w:rPr>
          <w:rFonts w:eastAsia="Times New Roman" w:cs="Arial" w:ascii="Arial" w:hAnsi="Arial"/>
          <w:color w:val="4F81BD" w:themeColor="accent1"/>
          <w:spacing w:val="-1"/>
          <w:sz w:val="24"/>
          <w:szCs w:val="24"/>
        </w:rPr>
        <w:t>caçã</w:t>
      </w:r>
      <w:r>
        <w:rPr>
          <w:rFonts w:eastAsia="Times New Roman" w:cs="Arial" w:ascii="Arial" w:hAnsi="Arial"/>
          <w:color w:val="4F81BD" w:themeColor="accent1"/>
          <w:sz w:val="24"/>
          <w:szCs w:val="24"/>
        </w:rPr>
        <w:t>o</w:t>
      </w:r>
      <w:r>
        <w:rPr>
          <w:rFonts w:eastAsia="Times New Roman" w:cs="Arial" w:ascii="Arial" w:hAnsi="Arial"/>
          <w:color w:val="4F81BD" w:themeColor="accent1"/>
          <w:spacing w:val="3"/>
          <w:sz w:val="24"/>
          <w:szCs w:val="24"/>
        </w:rPr>
        <w:t xml:space="preserve"> </w:t>
      </w:r>
      <w:r>
        <w:rPr>
          <w:rFonts w:eastAsia="Times New Roman" w:cs="Arial" w:ascii="Arial" w:hAnsi="Arial"/>
          <w:color w:val="4F81BD" w:themeColor="accent1"/>
          <w:sz w:val="24"/>
          <w:szCs w:val="24"/>
        </w:rPr>
        <w:t>soci</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l,</w:t>
      </w:r>
      <w:r>
        <w:rPr>
          <w:rFonts w:eastAsia="Times New Roman" w:cs="Arial" w:ascii="Arial" w:hAnsi="Arial"/>
          <w:color w:val="4F81BD" w:themeColor="accent1"/>
          <w:spacing w:val="4"/>
          <w:sz w:val="24"/>
          <w:szCs w:val="24"/>
        </w:rPr>
        <w:t xml:space="preserve"> </w:t>
      </w:r>
      <w:r>
        <w:rPr>
          <w:rFonts w:eastAsia="Times New Roman" w:cs="Arial" w:ascii="Arial" w:hAnsi="Arial"/>
          <w:color w:val="4F81BD" w:themeColor="accent1"/>
          <w:spacing w:val="-1"/>
          <w:sz w:val="24"/>
          <w:szCs w:val="24"/>
        </w:rPr>
        <w:t>ec</w:t>
      </w:r>
      <w:r>
        <w:rPr>
          <w:rFonts w:eastAsia="Times New Roman" w:cs="Arial" w:ascii="Arial" w:hAnsi="Arial"/>
          <w:color w:val="4F81BD" w:themeColor="accent1"/>
          <w:sz w:val="24"/>
          <w:szCs w:val="24"/>
        </w:rPr>
        <w:t>on</w:t>
      </w:r>
      <w:r>
        <w:rPr>
          <w:rFonts w:eastAsia="Times New Roman" w:cs="Arial" w:ascii="Arial" w:hAnsi="Arial"/>
          <w:color w:val="4F81BD" w:themeColor="accent1"/>
          <w:spacing w:val="2"/>
          <w:sz w:val="24"/>
          <w:szCs w:val="24"/>
        </w:rPr>
        <w:t>ô</w:t>
      </w:r>
      <w:r>
        <w:rPr>
          <w:rFonts w:eastAsia="Times New Roman" w:cs="Arial" w:ascii="Arial" w:hAnsi="Arial"/>
          <w:color w:val="4F81BD" w:themeColor="accent1"/>
          <w:sz w:val="24"/>
          <w:szCs w:val="24"/>
        </w:rPr>
        <w:t>m</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a e pol</w:t>
      </w:r>
      <w:r>
        <w:rPr>
          <w:rFonts w:eastAsia="Times New Roman" w:cs="Arial" w:ascii="Arial" w:hAnsi="Arial"/>
          <w:color w:val="4F81BD" w:themeColor="accent1"/>
          <w:spacing w:val="1"/>
          <w:sz w:val="24"/>
          <w:szCs w:val="24"/>
        </w:rPr>
        <w:t>í</w:t>
      </w:r>
      <w:r>
        <w:rPr>
          <w:rFonts w:eastAsia="Times New Roman" w:cs="Arial" w:ascii="Arial" w:hAnsi="Arial"/>
          <w:color w:val="4F81BD" w:themeColor="accent1"/>
          <w:sz w:val="24"/>
          <w:szCs w:val="24"/>
        </w:rPr>
        <w:t>t</w:t>
      </w:r>
      <w:r>
        <w:rPr>
          <w:rFonts w:eastAsia="Times New Roman" w:cs="Arial" w:ascii="Arial" w:hAnsi="Arial"/>
          <w:color w:val="4F81BD" w:themeColor="accent1"/>
          <w:spacing w:val="1"/>
          <w:sz w:val="24"/>
          <w:szCs w:val="24"/>
        </w:rPr>
        <w:t>i</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a</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no</w:t>
      </w:r>
      <w:r>
        <w:rPr>
          <w:rFonts w:eastAsia="Times New Roman" w:cs="Arial" w:ascii="Arial" w:hAnsi="Arial"/>
          <w:color w:val="4F81BD" w:themeColor="accent1"/>
          <w:spacing w:val="1"/>
          <w:sz w:val="24"/>
          <w:szCs w:val="24"/>
        </w:rPr>
        <w:t xml:space="preserve"> </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pacing w:val="2"/>
          <w:sz w:val="24"/>
          <w:szCs w:val="24"/>
        </w:rPr>
        <w:t>o</w:t>
      </w:r>
      <w:r>
        <w:rPr>
          <w:rFonts w:eastAsia="Times New Roman" w:cs="Arial" w:ascii="Arial" w:hAnsi="Arial"/>
          <w:color w:val="4F81BD" w:themeColor="accent1"/>
          <w:sz w:val="24"/>
          <w:szCs w:val="24"/>
        </w:rPr>
        <w:t>nte</w:t>
      </w:r>
      <w:r>
        <w:rPr>
          <w:rFonts w:eastAsia="Times New Roman" w:cs="Arial" w:ascii="Arial" w:hAnsi="Arial"/>
          <w:color w:val="4F81BD" w:themeColor="accent1"/>
          <w:spacing w:val="2"/>
          <w:sz w:val="24"/>
          <w:szCs w:val="24"/>
        </w:rPr>
        <w:t>x</w:t>
      </w:r>
      <w:r>
        <w:rPr>
          <w:rFonts w:eastAsia="Times New Roman" w:cs="Arial" w:ascii="Arial" w:hAnsi="Arial"/>
          <w:color w:val="4F81BD" w:themeColor="accent1"/>
          <w:sz w:val="24"/>
          <w:szCs w:val="24"/>
        </w:rPr>
        <w:t>to</w:t>
      </w:r>
      <w:r>
        <w:rPr>
          <w:rFonts w:eastAsia="Times New Roman" w:cs="Arial" w:ascii="Arial" w:hAnsi="Arial"/>
          <w:color w:val="4F81BD" w:themeColor="accent1"/>
          <w:spacing w:val="2"/>
          <w:sz w:val="24"/>
          <w:szCs w:val="24"/>
        </w:rPr>
        <w:t xml:space="preserve"> </w:t>
      </w:r>
      <w:r>
        <w:rPr>
          <w:rFonts w:eastAsia="Times New Roman" w:cs="Arial" w:ascii="Arial" w:hAnsi="Arial"/>
          <w:color w:val="4F81BD" w:themeColor="accent1"/>
          <w:sz w:val="24"/>
          <w:szCs w:val="24"/>
        </w:rPr>
        <w:t xml:space="preserve">de sua </w:t>
      </w:r>
      <w:r>
        <w:rPr>
          <w:rFonts w:eastAsia="Times New Roman" w:cs="Arial" w:ascii="Arial" w:hAnsi="Arial"/>
          <w:color w:val="4F81BD" w:themeColor="accent1"/>
          <w:spacing w:val="-1"/>
          <w:sz w:val="24"/>
          <w:szCs w:val="24"/>
        </w:rPr>
        <w:t>a</w:t>
      </w:r>
      <w:r>
        <w:rPr>
          <w:rFonts w:eastAsia="Times New Roman" w:cs="Arial" w:ascii="Arial" w:hAnsi="Arial"/>
          <w:color w:val="4F81BD" w:themeColor="accent1"/>
          <w:sz w:val="24"/>
          <w:szCs w:val="24"/>
        </w:rPr>
        <w:t>b</w:t>
      </w:r>
      <w:r>
        <w:rPr>
          <w:rFonts w:eastAsia="Times New Roman" w:cs="Arial" w:ascii="Arial" w:hAnsi="Arial"/>
          <w:color w:val="4F81BD" w:themeColor="accent1"/>
          <w:spacing w:val="-1"/>
          <w:sz w:val="24"/>
          <w:szCs w:val="24"/>
        </w:rPr>
        <w:t>ra</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2"/>
          <w:sz w:val="24"/>
          <w:szCs w:val="24"/>
        </w:rPr>
        <w:t>g</w:t>
      </w:r>
      <w:r>
        <w:rPr>
          <w:rFonts w:eastAsia="Times New Roman" w:cs="Arial" w:ascii="Arial" w:hAnsi="Arial"/>
          <w:color w:val="4F81BD" w:themeColor="accent1"/>
          <w:spacing w:val="-1"/>
          <w:sz w:val="24"/>
          <w:szCs w:val="24"/>
        </w:rPr>
        <w:t>ê</w:t>
      </w:r>
      <w:r>
        <w:rPr>
          <w:rFonts w:eastAsia="Times New Roman" w:cs="Arial" w:ascii="Arial" w:hAnsi="Arial"/>
          <w:color w:val="4F81BD" w:themeColor="accent1"/>
          <w:spacing w:val="2"/>
          <w:sz w:val="24"/>
          <w:szCs w:val="24"/>
        </w:rPr>
        <w:t>n</w:t>
      </w:r>
      <w:r>
        <w:rPr>
          <w:rFonts w:eastAsia="Times New Roman" w:cs="Arial" w:ascii="Arial" w:hAnsi="Arial"/>
          <w:color w:val="4F81BD" w:themeColor="accent1"/>
          <w:spacing w:val="-1"/>
          <w:sz w:val="24"/>
          <w:szCs w:val="24"/>
        </w:rPr>
        <w:t>c</w:t>
      </w:r>
      <w:r>
        <w:rPr>
          <w:rFonts w:eastAsia="Times New Roman" w:cs="Arial" w:ascii="Arial" w:hAnsi="Arial"/>
          <w:color w:val="4F81BD" w:themeColor="accent1"/>
          <w:sz w:val="24"/>
          <w:szCs w:val="24"/>
        </w:rPr>
        <w:t>ia t</w:t>
      </w:r>
      <w:r>
        <w:rPr>
          <w:rFonts w:eastAsia="Times New Roman" w:cs="Arial" w:ascii="Arial" w:hAnsi="Arial"/>
          <w:color w:val="4F81BD" w:themeColor="accent1"/>
          <w:spacing w:val="1"/>
          <w:sz w:val="24"/>
          <w:szCs w:val="24"/>
        </w:rPr>
        <w:t>e</w:t>
      </w:r>
      <w:r>
        <w:rPr>
          <w:rFonts w:eastAsia="Times New Roman" w:cs="Arial" w:ascii="Arial" w:hAnsi="Arial"/>
          <w:color w:val="4F81BD" w:themeColor="accent1"/>
          <w:sz w:val="24"/>
          <w:szCs w:val="24"/>
        </w:rPr>
        <w:t>r</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w:t>
      </w:r>
      <w:r>
        <w:rPr>
          <w:rFonts w:eastAsia="Times New Roman" w:cs="Arial" w:ascii="Arial" w:hAnsi="Arial"/>
          <w:color w:val="4F81BD" w:themeColor="accent1"/>
          <w:spacing w:val="1"/>
          <w:sz w:val="24"/>
          <w:szCs w:val="24"/>
        </w:rPr>
        <w:t>t</w:t>
      </w:r>
      <w:r>
        <w:rPr>
          <w:rFonts w:eastAsia="Times New Roman" w:cs="Arial" w:ascii="Arial" w:hAnsi="Arial"/>
          <w:color w:val="4F81BD" w:themeColor="accent1"/>
          <w:sz w:val="24"/>
          <w:szCs w:val="24"/>
        </w:rPr>
        <w:t>o</w:t>
      </w:r>
      <w:r>
        <w:rPr>
          <w:rFonts w:eastAsia="Times New Roman" w:cs="Arial" w:ascii="Arial" w:hAnsi="Arial"/>
          <w:color w:val="4F81BD" w:themeColor="accent1"/>
          <w:spacing w:val="-1"/>
          <w:sz w:val="24"/>
          <w:szCs w:val="24"/>
        </w:rPr>
        <w:t>r</w:t>
      </w:r>
      <w:r>
        <w:rPr>
          <w:rFonts w:eastAsia="Times New Roman" w:cs="Arial" w:ascii="Arial" w:hAnsi="Arial"/>
          <w:color w:val="4F81BD" w:themeColor="accent1"/>
          <w:sz w:val="24"/>
          <w:szCs w:val="24"/>
        </w:rPr>
        <w:t>ial.</w:t>
      </w:r>
      <w:r>
        <w:br w:type="page"/>
      </w:r>
    </w:p>
    <w:p>
      <w:pPr>
        <w:pStyle w:val="Normal1"/>
        <w:spacing w:lineRule="auto" w:line="360"/>
        <w:jc w:val="both"/>
        <w:rPr>
          <w:rFonts w:ascii="Arial" w:hAnsi="Arial" w:cs="Arial"/>
        </w:rPr>
      </w:pPr>
      <w:r>
        <w:rPr>
          <w:rFonts w:cs="Arial"/>
          <w:b/>
          <w:bCs/>
          <w:color w:val="000000" w:themeColor="text1"/>
        </w:rPr>
        <w:t>2.9. Pesquisa e Pós-Graduação</w:t>
      </w:r>
    </w:p>
    <w:p>
      <w:pPr>
        <w:pStyle w:val="Normal1"/>
        <w:spacing w:lineRule="auto" w:line="360"/>
        <w:jc w:val="both"/>
        <w:rPr>
          <w:rFonts w:ascii="Arial" w:hAnsi="Arial" w:cs="Arial"/>
        </w:rPr>
      </w:pPr>
      <w:r>
        <w:rPr>
          <w:rFonts w:cs="Arial"/>
        </w:rPr>
      </w:r>
    </w:p>
    <w:p>
      <w:pPr>
        <w:pStyle w:val="Normal1"/>
        <w:spacing w:lineRule="auto" w:line="360"/>
        <w:jc w:val="both"/>
        <w:rPr>
          <w:rFonts w:ascii="Arial" w:hAnsi="Arial" w:cs="Arial"/>
        </w:rPr>
      </w:pPr>
      <w:r>
        <w:rPr>
          <w:rFonts w:cs="Arial"/>
          <w:b/>
          <w:bCs/>
          <w:color w:val="000000" w:themeColor="text1"/>
        </w:rPr>
        <w:t>2.9.1. Pesquisa e Pós Graduação</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ind w:firstLine="708"/>
        <w:jc w:val="both"/>
        <w:rPr>
          <w:color w:val="000000" w:themeColor="text1"/>
        </w:rPr>
      </w:pPr>
      <w:r>
        <w:rPr>
          <w:color w:val="000000" w:themeColor="text1"/>
          <w:shd w:fill="FFFFFF" w:val="clear"/>
        </w:rPr>
        <w:t>A adesão ao Reuni proporcionou à UFVJM melhorias expressivas em infraestrutura e a adoção de novas medidas de gestão pedagógico-administrativas e a contratação de significativo número de professores e técnico-administrativos. Consequentemente, a relação de discentes foi ampliada para 18 alunos por docente e o número de cursos de graduação atingiu 47 cursos a</w:t>
      </w:r>
      <w:r>
        <w:rPr>
          <w:color w:val="000000" w:themeColor="text1"/>
        </w:rPr>
        <w:t xml:space="preserve">grupados em quatro </w:t>
      </w:r>
      <w:r>
        <w:rPr>
          <w:i/>
          <w:color w:val="000000" w:themeColor="text1"/>
        </w:rPr>
        <w:t>Campi</w:t>
      </w:r>
      <w:r>
        <w:rPr>
          <w:color w:val="000000" w:themeColor="text1"/>
        </w:rPr>
        <w:t xml:space="preserve"> Universitários.</w:t>
      </w:r>
    </w:p>
    <w:p>
      <w:pPr>
        <w:pStyle w:val="Default"/>
        <w:spacing w:lineRule="auto" w:line="360"/>
        <w:ind w:firstLine="708"/>
        <w:jc w:val="both"/>
        <w:rPr>
          <w:color w:val="000000" w:themeColor="text1"/>
        </w:rPr>
      </w:pPr>
      <w:r>
        <w:rPr>
          <w:color w:val="000000" w:themeColor="text1"/>
        </w:rPr>
        <w:t xml:space="preserve">Tal realidade encadeou o crescimento e desenvolvimento das atividades de pesquisa e consequentemente propiciou a organização e o desenvolvimento dos programas de pós-graduação </w:t>
      </w:r>
      <w:r>
        <w:rPr>
          <w:i/>
          <w:color w:val="000000" w:themeColor="text1"/>
        </w:rPr>
        <w:t>stricto sensu</w:t>
      </w:r>
      <w:r>
        <w:rPr>
          <w:color w:val="000000" w:themeColor="text1"/>
        </w:rPr>
        <w:t xml:space="preserve"> e </w:t>
      </w:r>
      <w:r>
        <w:rPr>
          <w:i/>
          <w:color w:val="000000" w:themeColor="text1"/>
        </w:rPr>
        <w:t>lato sensu</w:t>
      </w:r>
      <w:r>
        <w:rPr>
          <w:color w:val="000000" w:themeColor="text1"/>
        </w:rPr>
        <w:t>, passando de 4 cursos de mestrado em 2009 para 20 cursos de mestrado e 6 de doutoradodistribuídos nas seguintes áreas de conhecimento:</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b/>
          <w:color w:val="000000" w:themeColor="text1"/>
        </w:rPr>
        <w:t>Tabela 1</w:t>
      </w:r>
      <w:r>
        <w:rPr>
          <w:color w:val="000000" w:themeColor="text1"/>
        </w:rPr>
        <w:t xml:space="preserve"> – Atuação da pós-graduação por áreas de conhecimento </w:t>
      </w:r>
    </w:p>
    <w:p>
      <w:pPr>
        <w:pStyle w:val="Default"/>
        <w:spacing w:lineRule="auto" w:line="360"/>
        <w:jc w:val="both"/>
        <w:rPr>
          <w:rFonts w:eastAsia="Calibri"/>
          <w:color w:val="000000" w:themeColor="text1"/>
        </w:rPr>
      </w:pPr>
      <w:r>
        <w:rPr>
          <w:rFonts w:eastAsia="Calibri"/>
          <w:color w:val="000000" w:themeColor="text1"/>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Normal1"/>
              <w:numPr>
                <w:ilvl w:val="0"/>
                <w:numId w:val="0"/>
              </w:numPr>
              <w:shd w:val="clear" w:color="auto" w:fill="FFFFFF"/>
              <w:spacing w:lineRule="auto" w:line="360" w:before="0" w:after="200"/>
              <w:jc w:val="both"/>
              <w:outlineLvl w:val="2"/>
              <w:rPr>
                <w:rFonts w:ascii="Arial" w:hAnsi="Arial" w:cs="Arial"/>
                <w:color w:val="000000" w:themeColor="text1"/>
              </w:rPr>
            </w:pPr>
            <w:r>
              <w:rPr>
                <w:rFonts w:eastAsia="Calibri" w:cs="Arial"/>
                <w:b/>
                <w:bCs/>
                <w:color w:val="000000" w:themeColor="text1"/>
                <w:lang w:eastAsia="pt-BR"/>
              </w:rPr>
              <w:t>Administração, Ciências Contábeis e Turismo</w:t>
            </w:r>
          </w:p>
        </w:tc>
      </w:tr>
      <w:tr>
        <w:trPr/>
        <w:tc>
          <w:tcPr>
            <w:tcW w:w="8644" w:type="dxa"/>
            <w:tcBorders/>
            <w:shd w:color="auto" w:fill="auto" w:val="clear"/>
            <w:tcMar>
              <w:left w:w="103" w:type="dxa"/>
            </w:tcMar>
          </w:tcPr>
          <w:p>
            <w:pPr>
              <w:pStyle w:val="Normal1"/>
              <w:numPr>
                <w:ilvl w:val="0"/>
                <w:numId w:val="0"/>
              </w:numPr>
              <w:shd w:val="clear" w:color="auto" w:fill="FFFFFF"/>
              <w:spacing w:lineRule="auto" w:line="240"/>
              <w:jc w:val="both"/>
              <w:outlineLvl w:val="2"/>
              <w:rPr>
                <w:rFonts w:ascii="Arial" w:hAnsi="Arial" w:cs="Arial"/>
                <w:color w:val="000000" w:themeColor="text1"/>
                <w:highlight w:val="white"/>
              </w:rPr>
            </w:pPr>
            <w:r>
              <w:rPr>
                <w:rFonts w:eastAsia="Calibri" w:cs="Arial"/>
                <w:color w:val="000000" w:themeColor="text1"/>
                <w:shd w:fill="FFFFFF" w:val="clear"/>
                <w:lang w:eastAsia="en-US"/>
              </w:rPr>
              <w:t>Programa de Pós-graduação em Administração Pública</w:t>
            </w:r>
          </w:p>
          <w:p>
            <w:pPr>
              <w:pStyle w:val="Normal1"/>
              <w:numPr>
                <w:ilvl w:val="0"/>
                <w:numId w:val="0"/>
              </w:numPr>
              <w:shd w:val="clear" w:color="auto" w:fill="FFFFFF"/>
              <w:spacing w:lineRule="auto" w:line="240" w:before="0" w:after="200"/>
              <w:jc w:val="both"/>
              <w:outlineLvl w:val="2"/>
              <w:rPr>
                <w:rFonts w:ascii="Arial" w:hAnsi="Arial" w:cs="Arial"/>
                <w:color w:val="000000" w:themeColor="text1"/>
              </w:rPr>
            </w:pPr>
            <w:r>
              <w:rPr>
                <w:rFonts w:eastAsia="Calibri" w:cs="Arial"/>
                <w:b/>
                <w:color w:val="000000" w:themeColor="text1"/>
                <w:lang w:eastAsia="en-US"/>
              </w:rPr>
              <w:t>Mestrado Profissional</w:t>
            </w:r>
          </w:p>
        </w:tc>
      </w:tr>
    </w:tbl>
    <w:p>
      <w:pPr>
        <w:pStyle w:val="Default"/>
        <w:spacing w:lineRule="auto" w:line="360"/>
        <w:jc w:val="both"/>
        <w:rPr>
          <w:rFonts w:eastAsia="Calibri"/>
          <w:color w:val="000000" w:themeColor="text1"/>
        </w:rPr>
      </w:pPr>
      <w:r>
        <w:rPr>
          <w:rFonts w:eastAsia="Calibri"/>
          <w:color w:val="000000" w:themeColor="text1"/>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Ttulo3"/>
              <w:numPr>
                <w:ilvl w:val="0"/>
                <w:numId w:val="0"/>
              </w:numPr>
              <w:shd w:val="clear" w:color="auto" w:fill="FFFFFF"/>
              <w:spacing w:lineRule="auto" w:line="360" w:before="0" w:after="0"/>
              <w:jc w:val="both"/>
              <w:outlineLvl w:val="2"/>
              <w:rPr>
                <w:rFonts w:ascii="Arial" w:hAnsi="Arial" w:cs="Arial"/>
                <w:color w:val="000000" w:themeColor="text1"/>
                <w:sz w:val="24"/>
                <w:szCs w:val="24"/>
              </w:rPr>
            </w:pPr>
            <w:r>
              <w:rPr>
                <w:rFonts w:eastAsia="Calibri" w:cs="Arial" w:ascii="Arial" w:hAnsi="Arial"/>
                <w:color w:val="000000" w:themeColor="text1"/>
                <w:sz w:val="24"/>
                <w:szCs w:val="24"/>
                <w:lang w:eastAsia="en-US"/>
              </w:rPr>
              <w:t>Biotecnologia</w:t>
            </w:r>
          </w:p>
        </w:tc>
      </w:tr>
      <w:tr>
        <w:trPr/>
        <w:tc>
          <w:tcPr>
            <w:tcW w:w="8644" w:type="dxa"/>
            <w:tcBorders/>
            <w:shd w:color="auto" w:fill="auto" w:val="clear"/>
            <w:tcMar>
              <w:left w:w="103" w:type="dxa"/>
            </w:tcMar>
          </w:tcPr>
          <w:p>
            <w:pPr>
              <w:pStyle w:val="Normal1"/>
              <w:numPr>
                <w:ilvl w:val="0"/>
                <w:numId w:val="0"/>
              </w:numPr>
              <w:shd w:val="clear" w:color="auto" w:fill="FFFFFF"/>
              <w:spacing w:lineRule="auto" w:line="240"/>
              <w:jc w:val="both"/>
              <w:outlineLvl w:val="2"/>
              <w:rPr>
                <w:rFonts w:ascii="Arial" w:hAnsi="Arial" w:cs="Arial"/>
                <w:color w:val="000000" w:themeColor="text1"/>
                <w:highlight w:val="white"/>
              </w:rPr>
            </w:pPr>
            <w:r>
              <w:rPr>
                <w:rFonts w:eastAsia="Calibri" w:cs="Arial"/>
                <w:color w:val="000000" w:themeColor="text1"/>
                <w:shd w:fill="FFFFFF" w:val="clear"/>
                <w:lang w:eastAsia="en-US"/>
              </w:rPr>
              <w:t>Programa de Pós-Graduação em Biocombustíveis</w:t>
            </w:r>
          </w:p>
          <w:p>
            <w:pPr>
              <w:pStyle w:val="Normal1"/>
              <w:numPr>
                <w:ilvl w:val="0"/>
                <w:numId w:val="0"/>
              </w:numPr>
              <w:shd w:val="clear" w:color="auto" w:fill="FFFFFF"/>
              <w:spacing w:lineRule="auto" w:line="240" w:before="0" w:after="200"/>
              <w:jc w:val="both"/>
              <w:outlineLvl w:val="2"/>
              <w:rPr>
                <w:rFonts w:ascii="Arial" w:hAnsi="Arial" w:cs="Arial"/>
                <w:color w:val="000000" w:themeColor="text1"/>
              </w:rPr>
            </w:pPr>
            <w:r>
              <w:rPr>
                <w:rFonts w:eastAsia="Calibri" w:cs="Arial"/>
                <w:b/>
                <w:color w:val="000000" w:themeColor="text1"/>
                <w:shd w:fill="FFFFFF" w:val="clear"/>
                <w:lang w:eastAsia="en-US"/>
              </w:rPr>
              <w:t>Mestrado Acadêmico e Doutorado</w:t>
            </w:r>
          </w:p>
        </w:tc>
      </w:tr>
    </w:tbl>
    <w:p>
      <w:pPr>
        <w:pStyle w:val="Default"/>
        <w:spacing w:lineRule="auto" w:line="360"/>
        <w:jc w:val="both"/>
        <w:rPr>
          <w:rFonts w:eastAsia="Calibri"/>
          <w:color w:val="000000" w:themeColor="text1"/>
        </w:rPr>
      </w:pPr>
      <w:r>
        <w:rPr>
          <w:rFonts w:eastAsia="Calibri"/>
          <w:color w:val="000000" w:themeColor="text1"/>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Ttulo3"/>
              <w:numPr>
                <w:ilvl w:val="0"/>
                <w:numId w:val="0"/>
              </w:numPr>
              <w:shd w:val="clear" w:color="auto" w:fill="FFFFFF"/>
              <w:spacing w:lineRule="auto" w:line="360" w:before="0" w:after="0"/>
              <w:jc w:val="both"/>
              <w:outlineLvl w:val="2"/>
              <w:rPr>
                <w:rFonts w:ascii="Arial" w:hAnsi="Arial" w:cs="Arial"/>
                <w:color w:val="000000" w:themeColor="text1"/>
                <w:sz w:val="24"/>
                <w:szCs w:val="24"/>
              </w:rPr>
            </w:pPr>
            <w:r>
              <w:rPr>
                <w:rFonts w:eastAsia="Calibri" w:cs="Arial" w:ascii="Arial" w:hAnsi="Arial"/>
                <w:color w:val="000000" w:themeColor="text1"/>
                <w:sz w:val="24"/>
                <w:szCs w:val="24"/>
                <w:lang w:eastAsia="en-US"/>
              </w:rPr>
              <w:t>Ciências Agrárias</w:t>
            </w:r>
          </w:p>
        </w:tc>
      </w:tr>
      <w:tr>
        <w:trPr/>
        <w:tc>
          <w:tcPr>
            <w:tcW w:w="8644" w:type="dxa"/>
            <w:tcBorders/>
            <w:shd w:color="auto" w:fill="auto" w:val="clear"/>
            <w:tcMar>
              <w:left w:w="103" w:type="dxa"/>
            </w:tcMar>
          </w:tcPr>
          <w:p>
            <w:pPr>
              <w:pStyle w:val="Normal1"/>
              <w:numPr>
                <w:ilvl w:val="0"/>
                <w:numId w:val="0"/>
              </w:numPr>
              <w:shd w:val="clear" w:color="auto" w:fill="FFFFFF"/>
              <w:spacing w:lineRule="auto" w:line="240"/>
              <w:jc w:val="both"/>
              <w:outlineLvl w:val="2"/>
              <w:rPr>
                <w:rFonts w:ascii="Arial" w:hAnsi="Arial" w:cs="Arial"/>
                <w:color w:val="000000" w:themeColor="text1"/>
                <w:highlight w:val="white"/>
              </w:rPr>
            </w:pPr>
            <w:r>
              <w:rPr>
                <w:rFonts w:eastAsia="Calibri" w:cs="Arial"/>
                <w:color w:val="000000" w:themeColor="text1"/>
                <w:shd w:fill="FFFFFF" w:val="clear"/>
                <w:lang w:eastAsia="en-US"/>
              </w:rPr>
              <w:t>Pós-Graduação em Produção Vegetal</w:t>
            </w:r>
          </w:p>
          <w:p>
            <w:pPr>
              <w:pStyle w:val="Normal1"/>
              <w:numPr>
                <w:ilvl w:val="0"/>
                <w:numId w:val="0"/>
              </w:numPr>
              <w:shd w:val="clear" w:color="auto" w:fill="FFFFFF"/>
              <w:spacing w:lineRule="auto" w:line="240" w:before="0" w:after="200"/>
              <w:jc w:val="both"/>
              <w:outlineLvl w:val="2"/>
              <w:rPr>
                <w:rFonts w:ascii="Arial" w:hAnsi="Arial" w:cs="Arial"/>
                <w:color w:val="000000" w:themeColor="text1"/>
              </w:rPr>
            </w:pPr>
            <w:r>
              <w:rPr>
                <w:rFonts w:eastAsia="Calibri" w:cs="Arial"/>
                <w:b/>
                <w:color w:val="000000" w:themeColor="text1"/>
                <w:shd w:fill="FFFFFF" w:val="clear"/>
                <w:lang w:eastAsia="en-US"/>
              </w:rPr>
              <w:t>Mestrado Acadêmico e Doutorado</w:t>
            </w:r>
          </w:p>
        </w:tc>
      </w:tr>
      <w:tr>
        <w:trPr/>
        <w:tc>
          <w:tcPr>
            <w:tcW w:w="8644" w:type="dxa"/>
            <w:tcBorders/>
            <w:shd w:color="auto" w:fill="auto" w:val="clear"/>
            <w:tcMar>
              <w:left w:w="103" w:type="dxa"/>
            </w:tcMar>
          </w:tcPr>
          <w:p>
            <w:pPr>
              <w:pStyle w:val="Normal1"/>
              <w:numPr>
                <w:ilvl w:val="0"/>
                <w:numId w:val="0"/>
              </w:numPr>
              <w:shd w:val="clear" w:color="auto" w:fill="FFFFFF"/>
              <w:spacing w:lineRule="auto" w:line="240"/>
              <w:jc w:val="both"/>
              <w:outlineLvl w:val="2"/>
              <w:rPr>
                <w:rFonts w:ascii="Arial" w:hAnsi="Arial" w:cs="Arial"/>
                <w:color w:val="000000" w:themeColor="text1"/>
                <w:highlight w:val="white"/>
              </w:rPr>
            </w:pPr>
            <w:r>
              <w:rPr>
                <w:rStyle w:val="Appleconvertedspace"/>
                <w:rFonts w:eastAsia="Calibri" w:cs="Arial"/>
                <w:color w:val="000000" w:themeColor="text1"/>
                <w:shd w:fill="FFFFFF" w:val="clear"/>
                <w:lang w:eastAsia="en-US"/>
              </w:rPr>
              <w:t>Programa de Pós-graduação em Ciência Florestal</w:t>
            </w:r>
          </w:p>
          <w:p>
            <w:pPr>
              <w:pStyle w:val="Normal1"/>
              <w:numPr>
                <w:ilvl w:val="0"/>
                <w:numId w:val="0"/>
              </w:numPr>
              <w:shd w:val="clear" w:color="auto" w:fill="FFFFFF"/>
              <w:spacing w:lineRule="auto" w:line="240" w:before="0" w:after="200"/>
              <w:jc w:val="both"/>
              <w:outlineLvl w:val="2"/>
              <w:rPr>
                <w:rFonts w:ascii="Arial" w:hAnsi="Arial" w:cs="Arial"/>
                <w:color w:val="000000" w:themeColor="text1"/>
                <w:highlight w:val="white"/>
              </w:rPr>
            </w:pPr>
            <w:r>
              <w:rPr>
                <w:rFonts w:eastAsia="Calibri" w:cs="Arial"/>
                <w:b/>
                <w:color w:val="000000" w:themeColor="text1"/>
                <w:shd w:fill="FFFFFF" w:val="clear"/>
                <w:lang w:eastAsia="en-US"/>
              </w:rPr>
              <w:t>Mestrado Acadêmico e Doutorado</w:t>
            </w:r>
          </w:p>
        </w:tc>
      </w:tr>
      <w:tr>
        <w:trPr/>
        <w:tc>
          <w:tcPr>
            <w:tcW w:w="8644" w:type="dxa"/>
            <w:tcBorders/>
            <w:shd w:color="auto" w:fill="auto" w:val="clear"/>
            <w:tcMar>
              <w:left w:w="103" w:type="dxa"/>
            </w:tcMar>
          </w:tcPr>
          <w:p>
            <w:pPr>
              <w:pStyle w:val="Normal1"/>
              <w:numPr>
                <w:ilvl w:val="0"/>
                <w:numId w:val="0"/>
              </w:numPr>
              <w:shd w:val="clear" w:color="auto" w:fill="FFFFFF"/>
              <w:spacing w:lineRule="auto" w:line="240"/>
              <w:jc w:val="both"/>
              <w:outlineLvl w:val="2"/>
              <w:rPr>
                <w:rFonts w:ascii="Arial" w:hAnsi="Arial" w:cs="Arial"/>
                <w:color w:val="000000" w:themeColor="text1"/>
                <w:highlight w:val="white"/>
              </w:rPr>
            </w:pPr>
            <w:r>
              <w:rPr>
                <w:rFonts w:eastAsia="Calibri" w:cs="Arial"/>
                <w:color w:val="000000" w:themeColor="text1"/>
                <w:shd w:fill="FFFFFF" w:val="clear"/>
                <w:lang w:eastAsia="en-US"/>
              </w:rPr>
              <w:t>Pós-Graduação em Zootecnia</w:t>
            </w:r>
          </w:p>
          <w:p>
            <w:pPr>
              <w:pStyle w:val="Normal1"/>
              <w:numPr>
                <w:ilvl w:val="0"/>
                <w:numId w:val="0"/>
              </w:numPr>
              <w:shd w:val="clear" w:color="auto" w:fill="FFFFFF"/>
              <w:spacing w:lineRule="auto" w:line="240" w:before="0" w:after="200"/>
              <w:jc w:val="both"/>
              <w:outlineLvl w:val="2"/>
              <w:rPr>
                <w:rFonts w:ascii="Arial" w:hAnsi="Arial" w:cs="Arial"/>
                <w:color w:val="000000" w:themeColor="text1"/>
                <w:highlight w:val="white"/>
              </w:rPr>
            </w:pPr>
            <w:r>
              <w:rPr>
                <w:rFonts w:eastAsia="Calibri" w:cs="Arial"/>
                <w:b/>
                <w:color w:val="000000" w:themeColor="text1"/>
                <w:shd w:fill="FFFFFF" w:val="clear"/>
                <w:lang w:eastAsia="en-US"/>
              </w:rPr>
              <w:t>Mestrado Acadêmico</w:t>
            </w:r>
          </w:p>
        </w:tc>
      </w:tr>
    </w:tbl>
    <w:p>
      <w:pPr>
        <w:pStyle w:val="Ttulo3"/>
        <w:shd w:val="clear" w:color="auto" w:fill="FFFFFF"/>
        <w:spacing w:lineRule="auto" w:line="360" w:before="0" w:after="0"/>
        <w:jc w:val="both"/>
        <w:rPr>
          <w:rFonts w:ascii="Arial" w:hAnsi="Arial" w:cs="Arial"/>
          <w:color w:val="000000" w:themeColor="text1"/>
          <w:sz w:val="24"/>
          <w:szCs w:val="24"/>
        </w:rPr>
      </w:pPr>
      <w:r>
        <w:rPr>
          <w:rFonts w:cs="Arial" w:ascii="Arial" w:hAnsi="Arial"/>
          <w:color w:val="000000" w:themeColor="text1"/>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Ttulo3"/>
              <w:numPr>
                <w:ilvl w:val="0"/>
                <w:numId w:val="0"/>
              </w:numPr>
              <w:shd w:val="clear" w:color="auto" w:fill="FFFFFF"/>
              <w:spacing w:lineRule="auto" w:line="360" w:before="0" w:after="0"/>
              <w:jc w:val="both"/>
              <w:outlineLvl w:val="2"/>
              <w:rPr>
                <w:rFonts w:ascii="Arial" w:hAnsi="Arial" w:cs="Arial"/>
                <w:color w:val="000000" w:themeColor="text1"/>
                <w:sz w:val="24"/>
                <w:szCs w:val="24"/>
              </w:rPr>
            </w:pPr>
            <w:r>
              <w:rPr>
                <w:rFonts w:eastAsia="Calibri" w:cs="Arial" w:ascii="Arial" w:hAnsi="Arial"/>
                <w:color w:val="000000" w:themeColor="text1"/>
                <w:sz w:val="24"/>
                <w:szCs w:val="24"/>
                <w:lang w:eastAsia="en-US"/>
              </w:rPr>
              <w:t>Ciências Biológicas e da Saúde</w:t>
            </w:r>
          </w:p>
        </w:tc>
      </w:tr>
      <w:tr>
        <w:trPr/>
        <w:tc>
          <w:tcPr>
            <w:tcW w:w="8644" w:type="dxa"/>
            <w:tcBorders/>
            <w:shd w:color="auto" w:fill="auto" w:val="clear"/>
            <w:tcMar>
              <w:left w:w="103" w:type="dxa"/>
            </w:tcMar>
          </w:tcPr>
          <w:p>
            <w:pPr>
              <w:pStyle w:val="Default"/>
              <w:spacing w:lineRule="auto" w:line="240"/>
              <w:jc w:val="both"/>
              <w:rPr>
                <w:color w:val="000000" w:themeColor="text1"/>
              </w:rPr>
            </w:pPr>
            <w:r>
              <w:rPr>
                <w:rFonts w:eastAsia="Calibri"/>
                <w:color w:val="000000" w:themeColor="text1"/>
                <w:shd w:fill="FFFFFF" w:val="clear"/>
                <w:lang w:eastAsia="en-US"/>
              </w:rPr>
              <w:t xml:space="preserve">Programa Multicêntrico de Pós-graduação em Ciências Fisiológicas </w:t>
            </w:r>
            <w:r>
              <w:rPr>
                <w:rFonts w:eastAsia="Calibri"/>
                <w:b/>
                <w:color w:val="000000" w:themeColor="text1"/>
                <w:shd w:fill="FFFFFF" w:val="clear"/>
                <w:lang w:eastAsia="en-US"/>
              </w:rPr>
              <w:t>Mestrado Acadêmico e Doutorado</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b w:val="false"/>
                <w:color w:val="000000" w:themeColor="text1"/>
                <w:sz w:val="24"/>
                <w:szCs w:val="24"/>
                <w:lang w:eastAsia="en-US"/>
              </w:rPr>
              <w:t>Programa de Pós Graduação em Odontologia</w:t>
            </w:r>
          </w:p>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color w:val="000000" w:themeColor="text1"/>
                <w:sz w:val="24"/>
                <w:szCs w:val="24"/>
                <w:shd w:fill="FFFFFF" w:val="clear"/>
                <w:lang w:eastAsia="en-US"/>
              </w:rPr>
              <w:t>Mestrado Acadêmico e Doutorado</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b w:val="false"/>
                <w:color w:val="000000" w:themeColor="text1"/>
                <w:sz w:val="24"/>
                <w:szCs w:val="24"/>
                <w:lang w:eastAsia="en-US"/>
              </w:rPr>
              <w:t>Programa de Pós Graduação em Biologia Animal</w:t>
            </w:r>
          </w:p>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color w:val="000000" w:themeColor="text1"/>
                <w:sz w:val="24"/>
                <w:szCs w:val="24"/>
                <w:shd w:fill="FFFFFF" w:val="clear"/>
                <w:lang w:eastAsia="en-US"/>
              </w:rPr>
              <w:t>Mestrado Acadêmico</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b w:val="false"/>
                <w:color w:val="000000" w:themeColor="text1"/>
                <w:sz w:val="24"/>
                <w:szCs w:val="24"/>
                <w:shd w:fill="FFFFFF" w:val="clear"/>
                <w:lang w:eastAsia="en-US"/>
              </w:rPr>
              <w:t>Programa de Pós Graduação em Ciências Farmacêuticas</w:t>
            </w:r>
          </w:p>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color w:val="000000" w:themeColor="text1"/>
                <w:sz w:val="24"/>
                <w:szCs w:val="24"/>
                <w:shd w:fill="FFFFFF" w:val="clear"/>
                <w:lang w:eastAsia="en-US"/>
              </w:rPr>
              <w:t>Mestrado Acadêmico</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b w:val="false"/>
                <w:color w:val="000000" w:themeColor="text1"/>
                <w:sz w:val="24"/>
                <w:szCs w:val="24"/>
                <w:lang w:eastAsia="en-US"/>
              </w:rPr>
              <w:t xml:space="preserve">Programa de Pós Graduação em </w:t>
            </w:r>
            <w:r>
              <w:rPr>
                <w:rFonts w:eastAsia="Calibri" w:cs="Arial" w:ascii="Arial" w:hAnsi="Arial"/>
                <w:b w:val="false"/>
                <w:color w:val="000000" w:themeColor="text1"/>
                <w:sz w:val="24"/>
                <w:szCs w:val="24"/>
                <w:shd w:fill="FFFFFF" w:val="clear"/>
                <w:lang w:eastAsia="en-US"/>
              </w:rPr>
              <w:t>Reabilitação e Desempenho Funcional</w:t>
            </w:r>
            <w:r>
              <w:rPr>
                <w:rFonts w:eastAsia="Calibri" w:cs="Arial" w:ascii="Arial" w:hAnsi="Arial"/>
                <w:color w:val="000000" w:themeColor="text1"/>
                <w:sz w:val="24"/>
                <w:szCs w:val="24"/>
                <w:shd w:fill="FFFFFF" w:val="clear"/>
                <w:lang w:eastAsia="en-US"/>
              </w:rPr>
              <w:t>Mestrado Acadêmico</w:t>
            </w:r>
          </w:p>
        </w:tc>
      </w:tr>
      <w:tr>
        <w:trPr/>
        <w:tc>
          <w:tcPr>
            <w:tcW w:w="8644" w:type="dxa"/>
            <w:tcBorders/>
            <w:shd w:color="auto" w:fill="auto" w:val="clear"/>
            <w:tcMar>
              <w:left w:w="103" w:type="dxa"/>
            </w:tcMar>
          </w:tcPr>
          <w:p>
            <w:pPr>
              <w:pStyle w:val="Normal1"/>
              <w:numPr>
                <w:ilvl w:val="0"/>
                <w:numId w:val="0"/>
              </w:numPr>
              <w:shd w:val="clear" w:color="auto" w:fill="FFFFFF"/>
              <w:spacing w:lineRule="auto" w:line="240"/>
              <w:jc w:val="both"/>
              <w:outlineLvl w:val="2"/>
              <w:rPr/>
            </w:pPr>
            <w:r>
              <w:rPr>
                <w:rFonts w:eastAsia="Calibri" w:cs="Arial"/>
                <w:color w:val="000000" w:themeColor="text1"/>
              </w:rPr>
              <w:t xml:space="preserve">Programa de Pós Graduação em </w:t>
            </w:r>
            <w:hyperlink r:id="rId2">
              <w:r>
                <w:rPr>
                  <w:rStyle w:val="LinkdaInternet"/>
                  <w:rFonts w:eastAsia="Calibri" w:cs="Arial"/>
                  <w:color w:val="000000" w:themeColor="text1"/>
                  <w:lang w:eastAsia="pt-BR"/>
                </w:rPr>
                <w:t>Ensino em Saúde</w:t>
              </w:r>
            </w:hyperlink>
          </w:p>
          <w:p>
            <w:pPr>
              <w:pStyle w:val="Normal1"/>
              <w:numPr>
                <w:ilvl w:val="0"/>
                <w:numId w:val="0"/>
              </w:numPr>
              <w:shd w:val="clear" w:color="auto" w:fill="FFFFFF"/>
              <w:spacing w:lineRule="auto" w:line="240" w:before="0" w:after="200"/>
              <w:jc w:val="both"/>
              <w:outlineLvl w:val="2"/>
              <w:rPr>
                <w:rFonts w:ascii="Arial" w:hAnsi="Arial" w:cs="Arial"/>
                <w:color w:val="000000" w:themeColor="text1"/>
              </w:rPr>
            </w:pPr>
            <w:r>
              <w:rPr>
                <w:rFonts w:eastAsia="Calibri" w:cs="Arial"/>
                <w:b/>
                <w:color w:val="000000" w:themeColor="text1"/>
              </w:rPr>
              <w:t>Mestrado Profissional</w:t>
            </w:r>
          </w:p>
        </w:tc>
      </w:tr>
    </w:tbl>
    <w:p>
      <w:pPr>
        <w:pStyle w:val="Ttulo3"/>
        <w:shd w:val="clear" w:color="auto" w:fill="FFFFFF"/>
        <w:spacing w:lineRule="auto" w:line="360" w:before="0" w:after="0"/>
        <w:jc w:val="both"/>
        <w:rPr>
          <w:rFonts w:ascii="Arial" w:hAnsi="Arial" w:cs="Arial"/>
          <w:color w:val="000000" w:themeColor="text1"/>
          <w:sz w:val="24"/>
          <w:szCs w:val="24"/>
        </w:rPr>
      </w:pPr>
      <w:r>
        <w:rPr>
          <w:rFonts w:cs="Arial" w:ascii="Arial" w:hAnsi="Arial"/>
          <w:color w:val="000000" w:themeColor="text1"/>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Normal1"/>
              <w:numPr>
                <w:ilvl w:val="0"/>
                <w:numId w:val="0"/>
              </w:numPr>
              <w:shd w:val="clear" w:color="auto" w:fill="FFFFFF"/>
              <w:spacing w:lineRule="auto" w:line="360" w:before="0" w:after="200"/>
              <w:jc w:val="both"/>
              <w:outlineLvl w:val="2"/>
              <w:rPr>
                <w:rFonts w:ascii="Arial" w:hAnsi="Arial" w:cs="Arial"/>
                <w:b/>
                <w:b/>
                <w:color w:val="000000" w:themeColor="text1"/>
              </w:rPr>
            </w:pPr>
            <w:r>
              <w:rPr>
                <w:rFonts w:eastAsia="Calibri" w:cs="Arial"/>
                <w:b/>
                <w:color w:val="000000" w:themeColor="text1"/>
                <w:lang w:eastAsia="en-US"/>
              </w:rPr>
              <w:t>Ciência de Alimentos</w:t>
            </w:r>
          </w:p>
        </w:tc>
      </w:tr>
      <w:tr>
        <w:trPr/>
        <w:tc>
          <w:tcPr>
            <w:tcW w:w="8644" w:type="dxa"/>
            <w:tcBorders/>
            <w:shd w:color="auto" w:fill="auto" w:val="clear"/>
            <w:tcMar>
              <w:left w:w="103" w:type="dxa"/>
            </w:tcMar>
          </w:tcPr>
          <w:p>
            <w:pPr>
              <w:pStyle w:val="Normal1"/>
              <w:numPr>
                <w:ilvl w:val="0"/>
                <w:numId w:val="0"/>
              </w:numPr>
              <w:spacing w:lineRule="auto" w:line="240"/>
              <w:jc w:val="both"/>
              <w:outlineLvl w:val="2"/>
              <w:rPr>
                <w:rFonts w:ascii="Arial" w:hAnsi="Arial" w:cs="Arial"/>
                <w:color w:val="000000" w:themeColor="text1"/>
                <w:highlight w:val="white"/>
              </w:rPr>
            </w:pPr>
            <w:r>
              <w:rPr>
                <w:rFonts w:eastAsia="Calibri" w:cs="Arial"/>
                <w:color w:val="000000" w:themeColor="text1"/>
                <w:shd w:fill="FFFFFF" w:val="clear"/>
                <w:lang w:eastAsia="en-US"/>
              </w:rPr>
              <w:t>Programa de Pós-Graduação em Ciência e Tecnologia de Alimentos</w:t>
            </w:r>
          </w:p>
          <w:p>
            <w:pPr>
              <w:pStyle w:val="Normal1"/>
              <w:numPr>
                <w:ilvl w:val="0"/>
                <w:numId w:val="0"/>
              </w:numPr>
              <w:spacing w:lineRule="auto" w:line="240" w:before="0" w:after="200"/>
              <w:jc w:val="both"/>
              <w:outlineLvl w:val="2"/>
              <w:rPr>
                <w:rFonts w:ascii="Arial" w:hAnsi="Arial" w:cs="Arial"/>
                <w:b/>
                <w:b/>
                <w:color w:val="000000" w:themeColor="text1"/>
              </w:rPr>
            </w:pPr>
            <w:r>
              <w:rPr>
                <w:rFonts w:eastAsia="Calibri" w:cs="Arial"/>
                <w:b/>
                <w:color w:val="000000" w:themeColor="text1"/>
                <w:shd w:fill="FFFFFF" w:val="clear"/>
                <w:lang w:eastAsia="en-US"/>
              </w:rPr>
              <w:t>Mestrado Acadêmico</w:t>
            </w:r>
          </w:p>
        </w:tc>
      </w:tr>
    </w:tbl>
    <w:p>
      <w:pPr>
        <w:pStyle w:val="Normal1"/>
        <w:numPr>
          <w:ilvl w:val="0"/>
          <w:numId w:val="0"/>
        </w:numPr>
        <w:shd w:val="clear" w:color="auto" w:fill="FFFFFF"/>
        <w:spacing w:lineRule="auto" w:line="360"/>
        <w:jc w:val="both"/>
        <w:outlineLvl w:val="2"/>
        <w:rPr>
          <w:rFonts w:ascii="Arial" w:hAnsi="Arial" w:cs="Arial"/>
          <w:b/>
          <w:b/>
          <w:color w:val="000000" w:themeColor="text1"/>
        </w:rPr>
      </w:pPr>
      <w:r>
        <w:rPr>
          <w:rFonts w:cs="Arial"/>
          <w:b/>
          <w:color w:val="000000" w:themeColor="text1"/>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Ttulo3"/>
              <w:numPr>
                <w:ilvl w:val="0"/>
                <w:numId w:val="0"/>
              </w:numPr>
              <w:shd w:val="clear" w:color="auto" w:fill="FFFFFF"/>
              <w:spacing w:lineRule="auto" w:line="360" w:before="0" w:after="0"/>
              <w:jc w:val="both"/>
              <w:outlineLvl w:val="2"/>
              <w:rPr>
                <w:rFonts w:ascii="Arial" w:hAnsi="Arial" w:cs="Arial"/>
                <w:color w:val="000000" w:themeColor="text1"/>
                <w:sz w:val="24"/>
                <w:szCs w:val="24"/>
              </w:rPr>
            </w:pPr>
            <w:r>
              <w:rPr>
                <w:rFonts w:eastAsia="Calibri" w:cs="Arial" w:ascii="Arial" w:hAnsi="Arial"/>
                <w:color w:val="000000" w:themeColor="text1"/>
                <w:sz w:val="24"/>
                <w:szCs w:val="24"/>
                <w:lang w:eastAsia="en-US"/>
              </w:rPr>
              <w:t>Ciências Exatas e da Terra</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b w:val="false"/>
                <w:color w:val="000000" w:themeColor="text1"/>
                <w:sz w:val="24"/>
                <w:szCs w:val="24"/>
                <w:shd w:fill="FFFFFF" w:val="clear"/>
                <w:lang w:eastAsia="en-US"/>
              </w:rPr>
              <w:t>Programa  de Pós-Graduação Multicêntrico em Química – MG</w:t>
            </w:r>
          </w:p>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color w:val="000000" w:themeColor="text1"/>
                <w:sz w:val="24"/>
                <w:szCs w:val="24"/>
                <w:shd w:fill="FFFFFF" w:val="clear"/>
                <w:lang w:eastAsia="en-US"/>
              </w:rPr>
              <w:t>Doutorado</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b w:val="false"/>
                <w:color w:val="000000" w:themeColor="text1"/>
                <w:sz w:val="24"/>
                <w:szCs w:val="24"/>
                <w:shd w:fill="FFFFFF" w:val="clear"/>
                <w:lang w:eastAsia="en-US"/>
              </w:rPr>
              <w:t>Programa de Pós-Graduação em Química</w:t>
            </w:r>
          </w:p>
          <w:p>
            <w:pPr>
              <w:pStyle w:val="Ttulo3"/>
              <w:numPr>
                <w:ilvl w:val="0"/>
                <w:numId w:val="0"/>
              </w:numPr>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color w:val="000000" w:themeColor="text1"/>
                <w:sz w:val="24"/>
                <w:szCs w:val="24"/>
                <w:shd w:fill="FFFFFF" w:val="clear"/>
                <w:lang w:eastAsia="en-US"/>
              </w:rPr>
              <w:t>Mestrado Acadêmico</w:t>
            </w:r>
          </w:p>
        </w:tc>
      </w:tr>
      <w:tr>
        <w:trPr/>
        <w:tc>
          <w:tcPr>
            <w:tcW w:w="8644" w:type="dxa"/>
            <w:tcBorders/>
            <w:shd w:color="auto" w:fill="auto" w:val="clear"/>
            <w:tcMar>
              <w:left w:w="103" w:type="dxa"/>
            </w:tcMar>
          </w:tcPr>
          <w:p>
            <w:pPr>
              <w:pStyle w:val="Ttulo3"/>
              <w:numPr>
                <w:ilvl w:val="0"/>
                <w:numId w:val="0"/>
              </w:numPr>
              <w:shd w:val="clear" w:color="auto" w:fill="FFFFFF"/>
              <w:spacing w:lineRule="auto" w:line="240" w:before="0" w:after="0"/>
              <w:jc w:val="both"/>
              <w:outlineLvl w:val="2"/>
              <w:rPr>
                <w:rFonts w:ascii="Arial" w:hAnsi="Arial" w:cs="Arial"/>
                <w:b w:val="false"/>
                <w:b w:val="false"/>
                <w:color w:val="000000" w:themeColor="text1"/>
                <w:sz w:val="24"/>
                <w:szCs w:val="24"/>
              </w:rPr>
            </w:pPr>
            <w:r>
              <w:rPr>
                <w:rFonts w:eastAsia="Calibri" w:cs="Arial" w:ascii="Arial" w:hAnsi="Arial"/>
                <w:b w:val="false"/>
                <w:color w:val="000000" w:themeColor="text1"/>
                <w:sz w:val="24"/>
                <w:szCs w:val="24"/>
                <w:lang w:eastAsia="en-US"/>
              </w:rPr>
              <w:t>PROFMAT - Mestrado Profissional em Matemática (modalidade a distância)</w:t>
            </w:r>
          </w:p>
          <w:p>
            <w:pPr>
              <w:pStyle w:val="Ttulo3"/>
              <w:numPr>
                <w:ilvl w:val="0"/>
                <w:numId w:val="0"/>
              </w:numPr>
              <w:shd w:val="clear" w:color="auto" w:fill="FFFFFF"/>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color w:val="000000" w:themeColor="text1"/>
                <w:sz w:val="24"/>
                <w:szCs w:val="24"/>
                <w:shd w:fill="FFFFFF" w:val="clear"/>
                <w:lang w:eastAsia="en-US"/>
              </w:rPr>
              <w:t>Mestrado Profissional</w:t>
            </w:r>
          </w:p>
        </w:tc>
      </w:tr>
    </w:tbl>
    <w:p>
      <w:pPr>
        <w:pStyle w:val="Normal1"/>
        <w:numPr>
          <w:ilvl w:val="0"/>
          <w:numId w:val="0"/>
        </w:numPr>
        <w:shd w:val="clear" w:color="auto" w:fill="FFFFFF"/>
        <w:spacing w:lineRule="auto" w:line="360"/>
        <w:jc w:val="both"/>
        <w:outlineLvl w:val="2"/>
        <w:rPr>
          <w:rFonts w:ascii="Arial" w:hAnsi="Arial" w:cs="Arial"/>
          <w:b/>
          <w:b/>
          <w:color w:val="000000" w:themeColor="text1"/>
        </w:rPr>
      </w:pPr>
      <w:r>
        <w:rPr>
          <w:rFonts w:cs="Arial"/>
          <w:b/>
          <w:color w:val="000000" w:themeColor="text1"/>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Normal1"/>
              <w:numPr>
                <w:ilvl w:val="0"/>
                <w:numId w:val="0"/>
              </w:numPr>
              <w:shd w:val="clear" w:color="auto" w:fill="FFFFFF"/>
              <w:spacing w:lineRule="auto" w:line="360" w:before="0" w:after="200"/>
              <w:jc w:val="both"/>
              <w:outlineLvl w:val="2"/>
              <w:rPr>
                <w:rFonts w:ascii="Arial" w:hAnsi="Arial" w:cs="Arial"/>
                <w:b/>
                <w:b/>
                <w:color w:val="000000" w:themeColor="text1"/>
              </w:rPr>
            </w:pPr>
            <w:r>
              <w:rPr>
                <w:rFonts w:eastAsia="Calibri" w:cs="Arial"/>
                <w:b/>
                <w:color w:val="000000" w:themeColor="text1"/>
                <w:lang w:eastAsia="en-US"/>
              </w:rPr>
              <w:t>Educação</w:t>
            </w:r>
          </w:p>
        </w:tc>
      </w:tr>
      <w:tr>
        <w:trPr/>
        <w:tc>
          <w:tcPr>
            <w:tcW w:w="8644" w:type="dxa"/>
            <w:tcBorders/>
            <w:shd w:color="auto" w:fill="auto" w:val="clear"/>
            <w:tcMar>
              <w:left w:w="103" w:type="dxa"/>
            </w:tcMar>
          </w:tcPr>
          <w:p>
            <w:pPr>
              <w:pStyle w:val="Normal1"/>
              <w:numPr>
                <w:ilvl w:val="0"/>
                <w:numId w:val="0"/>
              </w:numPr>
              <w:spacing w:lineRule="auto" w:line="240"/>
              <w:jc w:val="both"/>
              <w:outlineLvl w:val="2"/>
              <w:rPr>
                <w:rFonts w:ascii="Arial" w:hAnsi="Arial" w:cs="Arial"/>
                <w:color w:val="000000" w:themeColor="text1"/>
                <w:highlight w:val="white"/>
              </w:rPr>
            </w:pPr>
            <w:r>
              <w:rPr>
                <w:rFonts w:eastAsia="Calibri" w:cs="Arial"/>
                <w:color w:val="000000" w:themeColor="text1"/>
                <w:shd w:fill="FFFFFF" w:val="clear"/>
                <w:lang w:eastAsia="en-US"/>
              </w:rPr>
              <w:t>Programa de Pós-Graduação em Educação</w:t>
            </w:r>
          </w:p>
          <w:p>
            <w:pPr>
              <w:pStyle w:val="Normal1"/>
              <w:numPr>
                <w:ilvl w:val="0"/>
                <w:numId w:val="0"/>
              </w:numPr>
              <w:spacing w:lineRule="auto" w:line="240" w:before="0" w:after="200"/>
              <w:jc w:val="both"/>
              <w:outlineLvl w:val="2"/>
              <w:rPr>
                <w:rFonts w:ascii="Arial" w:hAnsi="Arial" w:cs="Arial"/>
                <w:b/>
                <w:b/>
                <w:color w:val="000000" w:themeColor="text1"/>
              </w:rPr>
            </w:pPr>
            <w:r>
              <w:rPr>
                <w:rFonts w:eastAsia="Calibri" w:cs="Arial"/>
                <w:b/>
                <w:color w:val="000000" w:themeColor="text1"/>
                <w:shd w:fill="FFFFFF" w:val="clear"/>
                <w:lang w:eastAsia="en-US"/>
              </w:rPr>
              <w:t>Mestrado Profissional</w:t>
            </w:r>
          </w:p>
        </w:tc>
      </w:tr>
    </w:tbl>
    <w:p>
      <w:pPr>
        <w:pStyle w:val="Ttulo3"/>
        <w:shd w:val="clear" w:color="auto" w:fill="FFFFFF"/>
        <w:spacing w:lineRule="auto" w:line="360" w:before="0" w:after="0"/>
        <w:ind w:right="-4292" w:hanging="0"/>
        <w:jc w:val="both"/>
        <w:rPr>
          <w:rFonts w:ascii="Arial" w:hAnsi="Arial" w:cs="Arial"/>
          <w:b w:val="false"/>
          <w:b w:val="false"/>
          <w:color w:val="000000" w:themeColor="text1"/>
          <w:sz w:val="24"/>
          <w:szCs w:val="24"/>
          <w:shd w:fill="FFFFFF" w:val="clear"/>
        </w:rPr>
      </w:pPr>
      <w:r>
        <w:rPr>
          <w:rFonts w:cs="Arial" w:ascii="Arial" w:hAnsi="Arial"/>
          <w:b w:val="false"/>
          <w:color w:val="000000" w:themeColor="text1"/>
          <w:sz w:val="24"/>
          <w:szCs w:val="24"/>
          <w:shd w:fill="FFFFFF" w:val="clear"/>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Ttulo3"/>
              <w:numPr>
                <w:ilvl w:val="0"/>
                <w:numId w:val="0"/>
              </w:numPr>
              <w:shd w:val="clear" w:color="auto" w:fill="FFFFFF"/>
              <w:spacing w:lineRule="auto" w:line="360" w:before="0" w:after="0"/>
              <w:jc w:val="both"/>
              <w:outlineLvl w:val="2"/>
              <w:rPr>
                <w:rFonts w:ascii="Arial" w:hAnsi="Arial" w:cs="Arial"/>
                <w:b w:val="false"/>
                <w:b w:val="false"/>
                <w:color w:val="000000" w:themeColor="text1"/>
                <w:sz w:val="24"/>
                <w:szCs w:val="24"/>
                <w:highlight w:val="white"/>
              </w:rPr>
            </w:pPr>
            <w:r>
              <w:rPr>
                <w:rFonts w:eastAsia="Calibri" w:cs="Arial" w:ascii="Arial" w:hAnsi="Arial"/>
                <w:color w:val="000000" w:themeColor="text1"/>
                <w:sz w:val="24"/>
                <w:szCs w:val="24"/>
                <w:lang w:eastAsia="en-US"/>
              </w:rPr>
              <w:t>Área Multidisciplinar</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b w:val="false"/>
                <w:color w:val="000000" w:themeColor="text1"/>
                <w:sz w:val="24"/>
                <w:szCs w:val="24"/>
                <w:shd w:fill="FFFFFF" w:val="clear"/>
                <w:lang w:eastAsia="en-US"/>
              </w:rPr>
              <w:t>Programa de Pós-Graduação em Ciências Humanas</w:t>
            </w:r>
          </w:p>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color w:val="000000" w:themeColor="text1"/>
                <w:sz w:val="24"/>
                <w:szCs w:val="24"/>
                <w:shd w:fill="FFFFFF" w:val="clear"/>
                <w:lang w:eastAsia="en-US"/>
              </w:rPr>
              <w:t>Mestrado Profissional</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b w:val="false"/>
                <w:color w:val="000000" w:themeColor="text1"/>
                <w:sz w:val="24"/>
                <w:szCs w:val="24"/>
                <w:shd w:fill="FFFFFF" w:val="clear"/>
                <w:lang w:eastAsia="en-US"/>
              </w:rPr>
              <w:t>Programa de Pós-Graduação Interdisciplinar em Saúde, Sociedade e Ambiente</w:t>
            </w:r>
          </w:p>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color w:val="000000" w:themeColor="text1"/>
                <w:sz w:val="24"/>
                <w:szCs w:val="24"/>
                <w:shd w:fill="FFFFFF" w:val="clear"/>
                <w:lang w:eastAsia="en-US"/>
              </w:rPr>
              <w:t>Mestrado Profissional</w:t>
            </w:r>
          </w:p>
        </w:tc>
      </w:tr>
      <w:tr>
        <w:trPr/>
        <w:tc>
          <w:tcPr>
            <w:tcW w:w="8644" w:type="dxa"/>
            <w:tcBorders/>
            <w:shd w:color="auto" w:fill="auto" w:val="clear"/>
            <w:tcMar>
              <w:left w:w="103" w:type="dxa"/>
            </w:tcMar>
          </w:tcPr>
          <w:p>
            <w:pPr>
              <w:pStyle w:val="Normal1"/>
              <w:numPr>
                <w:ilvl w:val="0"/>
                <w:numId w:val="0"/>
              </w:numPr>
              <w:shd w:val="clear" w:color="auto" w:fill="FFFFFF"/>
              <w:spacing w:lineRule="auto" w:line="240"/>
              <w:jc w:val="both"/>
              <w:outlineLvl w:val="2"/>
              <w:rPr>
                <w:rFonts w:ascii="Arial" w:hAnsi="Arial" w:cs="Arial"/>
                <w:color w:val="000000" w:themeColor="text1"/>
                <w:highlight w:val="white"/>
              </w:rPr>
            </w:pPr>
            <w:r>
              <w:rPr>
                <w:rFonts w:eastAsia="Calibri" w:cs="Arial"/>
                <w:color w:val="000000" w:themeColor="text1"/>
                <w:shd w:fill="FFFFFF" w:val="clear"/>
                <w:lang w:eastAsia="en-US"/>
              </w:rPr>
              <w:t>Programa de Pós-Graduação em Estudos Rurais</w:t>
            </w:r>
          </w:p>
          <w:p>
            <w:pPr>
              <w:pStyle w:val="Normal1"/>
              <w:numPr>
                <w:ilvl w:val="0"/>
                <w:numId w:val="0"/>
              </w:numPr>
              <w:shd w:val="clear" w:color="auto" w:fill="FFFFFF"/>
              <w:spacing w:lineRule="auto" w:line="240" w:before="0" w:after="200"/>
              <w:jc w:val="both"/>
              <w:outlineLvl w:val="2"/>
              <w:rPr>
                <w:rFonts w:ascii="Arial" w:hAnsi="Arial" w:cs="Arial"/>
                <w:color w:val="000000" w:themeColor="text1"/>
                <w:highlight w:val="white"/>
              </w:rPr>
            </w:pPr>
            <w:r>
              <w:rPr>
                <w:rFonts w:eastAsia="Calibri" w:cs="Arial"/>
                <w:b/>
                <w:color w:val="000000" w:themeColor="text1"/>
                <w:shd w:fill="FFFFFF" w:val="clear"/>
                <w:lang w:eastAsia="en-US"/>
              </w:rPr>
              <w:t>Mestrado Acadêmico</w:t>
            </w:r>
          </w:p>
        </w:tc>
      </w:tr>
    </w:tbl>
    <w:p>
      <w:pPr>
        <w:pStyle w:val="Ttulo3"/>
        <w:shd w:val="clear" w:color="auto" w:fill="FFFFFF"/>
        <w:spacing w:lineRule="auto" w:line="360" w:before="0" w:after="0"/>
        <w:jc w:val="both"/>
        <w:rPr>
          <w:rFonts w:ascii="Arial" w:hAnsi="Arial" w:cs="Arial"/>
          <w:b w:val="false"/>
          <w:b w:val="false"/>
          <w:color w:val="000000" w:themeColor="text1"/>
          <w:sz w:val="24"/>
          <w:szCs w:val="24"/>
        </w:rPr>
      </w:pPr>
      <w:r>
        <w:rPr>
          <w:rFonts w:cs="Arial" w:ascii="Arial" w:hAnsi="Arial"/>
          <w:b w:val="false"/>
          <w:color w:val="000000" w:themeColor="text1"/>
          <w:sz w:val="24"/>
          <w:szCs w:val="24"/>
        </w:rPr>
      </w:r>
    </w:p>
    <w:tbl>
      <w:tblPr>
        <w:tblStyle w:val="Tabelacomgrade"/>
        <w:tblW w:w="8644" w:type="dxa"/>
        <w:jc w:val="left"/>
        <w:tblInd w:w="-5" w:type="dxa"/>
        <w:tblCellMar>
          <w:top w:w="0" w:type="dxa"/>
          <w:left w:w="103" w:type="dxa"/>
          <w:bottom w:w="0" w:type="dxa"/>
          <w:right w:w="108" w:type="dxa"/>
        </w:tblCellMar>
        <w:tblLook w:val="04a0"/>
      </w:tblPr>
      <w:tblGrid>
        <w:gridCol w:w="8644"/>
      </w:tblGrid>
      <w:tr>
        <w:trPr/>
        <w:tc>
          <w:tcPr>
            <w:tcW w:w="8644" w:type="dxa"/>
            <w:tcBorders/>
            <w:shd w:color="auto" w:fill="auto" w:val="clear"/>
            <w:tcMar>
              <w:left w:w="103" w:type="dxa"/>
            </w:tcMar>
          </w:tcPr>
          <w:p>
            <w:pPr>
              <w:pStyle w:val="Ttulo3"/>
              <w:numPr>
                <w:ilvl w:val="0"/>
                <w:numId w:val="0"/>
              </w:numPr>
              <w:shd w:val="clear" w:color="auto" w:fill="FFFFFF"/>
              <w:spacing w:lineRule="auto" w:line="360" w:before="0" w:after="0"/>
              <w:jc w:val="both"/>
              <w:outlineLvl w:val="2"/>
              <w:rPr>
                <w:rFonts w:ascii="Arial" w:hAnsi="Arial" w:cs="Arial"/>
                <w:color w:val="000000" w:themeColor="text1"/>
                <w:sz w:val="24"/>
                <w:szCs w:val="24"/>
              </w:rPr>
            </w:pPr>
            <w:r>
              <w:rPr>
                <w:rFonts w:eastAsia="Calibri" w:cs="Arial" w:ascii="Arial" w:hAnsi="Arial"/>
                <w:color w:val="000000" w:themeColor="text1"/>
                <w:sz w:val="24"/>
                <w:szCs w:val="24"/>
                <w:lang w:eastAsia="en-US"/>
              </w:rPr>
              <w:t>Engenharia/Tecnologia/Gestão (Interdisciplinar)</w:t>
            </w:r>
          </w:p>
        </w:tc>
      </w:tr>
      <w:tr>
        <w:trPr/>
        <w:tc>
          <w:tcPr>
            <w:tcW w:w="8644" w:type="dxa"/>
            <w:tcBorders/>
            <w:shd w:color="auto" w:fill="auto" w:val="clear"/>
            <w:tcMar>
              <w:left w:w="103" w:type="dxa"/>
            </w:tcMar>
          </w:tcPr>
          <w:p>
            <w:pPr>
              <w:pStyle w:val="Ttulo3"/>
              <w:numPr>
                <w:ilvl w:val="0"/>
                <w:numId w:val="0"/>
              </w:numPr>
              <w:spacing w:lineRule="auto" w:line="240" w:before="0" w:after="0"/>
              <w:jc w:val="both"/>
              <w:outlineLvl w:val="2"/>
              <w:rPr>
                <w:rFonts w:ascii="Arial" w:hAnsi="Arial" w:cs="Arial"/>
                <w:b w:val="false"/>
                <w:b w:val="false"/>
                <w:color w:val="000000" w:themeColor="text1"/>
                <w:sz w:val="24"/>
                <w:szCs w:val="24"/>
                <w:highlight w:val="white"/>
              </w:rPr>
            </w:pPr>
            <w:r>
              <w:rPr>
                <w:rFonts w:eastAsia="Calibri" w:cs="Arial" w:ascii="Arial" w:hAnsi="Arial"/>
                <w:b w:val="false"/>
                <w:color w:val="000000" w:themeColor="text1"/>
                <w:sz w:val="24"/>
                <w:szCs w:val="24"/>
                <w:shd w:fill="FFFFFF" w:val="clear"/>
                <w:lang w:eastAsia="en-US"/>
              </w:rPr>
              <w:t>Programa de Pós-Graduação em Tecnologia, Ambiente e Sociedade</w:t>
            </w:r>
          </w:p>
          <w:p>
            <w:pPr>
              <w:pStyle w:val="Ttulo3"/>
              <w:numPr>
                <w:ilvl w:val="0"/>
                <w:numId w:val="0"/>
              </w:numPr>
              <w:spacing w:lineRule="auto" w:line="240" w:before="0" w:after="0"/>
              <w:jc w:val="both"/>
              <w:outlineLvl w:val="2"/>
              <w:rPr>
                <w:rFonts w:ascii="Arial" w:hAnsi="Arial" w:cs="Arial"/>
                <w:color w:val="000000" w:themeColor="text1"/>
                <w:sz w:val="24"/>
                <w:szCs w:val="24"/>
              </w:rPr>
            </w:pPr>
            <w:r>
              <w:rPr>
                <w:rFonts w:eastAsia="Calibri" w:cs="Arial" w:ascii="Arial" w:hAnsi="Arial"/>
                <w:color w:val="000000" w:themeColor="text1"/>
                <w:sz w:val="24"/>
                <w:szCs w:val="24"/>
                <w:shd w:fill="FFFFFF" w:val="clear"/>
                <w:lang w:eastAsia="en-US"/>
              </w:rPr>
              <w:t>Mestrado Profissional</w:t>
            </w:r>
          </w:p>
        </w:tc>
      </w:tr>
    </w:tbl>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color w:val="000000" w:themeColor="text1"/>
        </w:rPr>
        <w:t xml:space="preserve">Quanto à pós-graduação </w:t>
      </w:r>
      <w:r>
        <w:rPr>
          <w:i/>
          <w:iCs/>
          <w:color w:val="000000" w:themeColor="text1"/>
        </w:rPr>
        <w:t>lato sensu</w:t>
      </w:r>
      <w:r>
        <w:rPr>
          <w:color w:val="000000" w:themeColor="text1"/>
        </w:rPr>
        <w:t>, a UFVJM oferece os seguintes cursos:</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b/>
          <w:color w:val="000000" w:themeColor="text1"/>
        </w:rPr>
        <w:t>Tabela 2</w:t>
      </w:r>
      <w:r>
        <w:rPr>
          <w:color w:val="000000" w:themeColor="text1"/>
        </w:rPr>
        <w:t xml:space="preserve"> – cursos de pós-graduação </w:t>
      </w:r>
      <w:r>
        <w:rPr>
          <w:i/>
          <w:color w:val="000000" w:themeColor="text1"/>
        </w:rPr>
        <w:t xml:space="preserve">lato sensu </w:t>
      </w:r>
      <w:r>
        <w:rPr>
          <w:color w:val="000000" w:themeColor="text1"/>
        </w:rPr>
        <w:t>da UFVJM</w:t>
      </w:r>
    </w:p>
    <w:p>
      <w:pPr>
        <w:pStyle w:val="Default"/>
        <w:spacing w:lineRule="auto" w:line="360"/>
        <w:jc w:val="both"/>
        <w:rPr>
          <w:rFonts w:eastAsia="Calibri"/>
          <w:color w:val="000000" w:themeColor="text1"/>
        </w:rPr>
      </w:pPr>
      <w:r>
        <w:rPr>
          <w:rFonts w:eastAsia="Calibri"/>
          <w:color w:val="000000" w:themeColor="text1"/>
        </w:rPr>
      </w:r>
    </w:p>
    <w:tbl>
      <w:tblPr>
        <w:tblStyle w:val="Tabelacomgrade"/>
        <w:tblW w:w="8669" w:type="dxa"/>
        <w:jc w:val="left"/>
        <w:tblInd w:w="-5" w:type="dxa"/>
        <w:tblCellMar>
          <w:top w:w="0" w:type="dxa"/>
          <w:left w:w="103" w:type="dxa"/>
          <w:bottom w:w="0" w:type="dxa"/>
          <w:right w:w="108" w:type="dxa"/>
        </w:tblCellMar>
        <w:tblLook w:val="04a0"/>
      </w:tblPr>
      <w:tblGrid>
        <w:gridCol w:w="3508"/>
        <w:gridCol w:w="5160"/>
      </w:tblGrid>
      <w:tr>
        <w:trPr/>
        <w:tc>
          <w:tcPr>
            <w:tcW w:w="3508" w:type="dxa"/>
            <w:tcBorders/>
            <w:shd w:color="auto" w:fill="auto" w:val="clear"/>
            <w:tcMar>
              <w:left w:w="103" w:type="dxa"/>
            </w:tcMar>
            <w:vAlign w:val="center"/>
          </w:tcPr>
          <w:p>
            <w:pPr>
              <w:pStyle w:val="Ttulo4"/>
              <w:numPr>
                <w:ilvl w:val="0"/>
                <w:numId w:val="0"/>
              </w:numPr>
              <w:shd w:val="clear" w:color="auto" w:fill="FFFFFF"/>
              <w:spacing w:lineRule="auto" w:line="360" w:before="0" w:after="0"/>
              <w:outlineLvl w:val="3"/>
              <w:rPr>
                <w:rFonts w:ascii="Arial" w:hAnsi="Arial" w:cs="Arial"/>
                <w:color w:val="000000" w:themeColor="text1"/>
              </w:rPr>
            </w:pPr>
            <w:r>
              <w:rPr>
                <w:rStyle w:val="Nfase"/>
                <w:rFonts w:eastAsia="Calibri" w:cs="Arial" w:ascii="Arial" w:hAnsi="Arial"/>
                <w:color w:val="000000" w:themeColor="text1"/>
                <w:lang w:eastAsia="en-US"/>
              </w:rPr>
              <w:t>Cursos Presenciais</w:t>
            </w:r>
          </w:p>
        </w:tc>
        <w:tc>
          <w:tcPr>
            <w:tcW w:w="5160" w:type="dxa"/>
            <w:tcBorders/>
            <w:shd w:color="auto" w:fill="auto" w:val="clear"/>
            <w:tcMar>
              <w:left w:w="103" w:type="dxa"/>
            </w:tcMar>
            <w:vAlign w:val="center"/>
          </w:tcPr>
          <w:p>
            <w:pPr>
              <w:pStyle w:val="Ttulo4"/>
              <w:numPr>
                <w:ilvl w:val="0"/>
                <w:numId w:val="0"/>
              </w:numPr>
              <w:shd w:val="clear" w:color="auto" w:fill="FFFFFF"/>
              <w:spacing w:lineRule="auto" w:line="240" w:before="0" w:after="0"/>
              <w:outlineLvl w:val="3"/>
              <w:rPr>
                <w:rFonts w:ascii="Arial" w:hAnsi="Arial" w:cs="Arial"/>
                <w:color w:val="000000" w:themeColor="text1"/>
              </w:rPr>
            </w:pPr>
            <w:r>
              <w:rPr>
                <w:rStyle w:val="Nfase"/>
                <w:rFonts w:eastAsia="Calibri" w:cs="Arial" w:ascii="Arial" w:hAnsi="Arial"/>
                <w:color w:val="000000" w:themeColor="text1"/>
                <w:lang w:eastAsia="en-US"/>
              </w:rPr>
              <w:t>Cursos a Distância - EaD</w:t>
            </w:r>
          </w:p>
        </w:tc>
      </w:tr>
      <w:tr>
        <w:trPr/>
        <w:tc>
          <w:tcPr>
            <w:tcW w:w="3508" w:type="dxa"/>
            <w:tcBorders/>
            <w:shd w:color="auto" w:fill="auto" w:val="clear"/>
            <w:tcMar>
              <w:left w:w="103" w:type="dxa"/>
            </w:tcMar>
            <w:vAlign w:val="center"/>
          </w:tcPr>
          <w:p>
            <w:pPr>
              <w:pStyle w:val="Normal1"/>
              <w:shd w:val="clear" w:color="auto" w:fill="FFFFFF"/>
              <w:spacing w:lineRule="auto" w:line="240" w:before="0" w:after="200"/>
              <w:rPr>
                <w:rFonts w:ascii="Arial" w:hAnsi="Arial" w:cs="Arial"/>
                <w:color w:val="000000" w:themeColor="text1"/>
              </w:rPr>
            </w:pPr>
            <w:r>
              <w:rPr>
                <w:rFonts w:eastAsia="Calibri" w:cs="Arial"/>
                <w:color w:val="000000" w:themeColor="text1"/>
                <w:lang w:eastAsia="pt-BR"/>
              </w:rPr>
              <w:t>Residência em Clínica Médica</w:t>
            </w:r>
          </w:p>
        </w:tc>
        <w:tc>
          <w:tcPr>
            <w:tcW w:w="5160" w:type="dxa"/>
            <w:tcBorders/>
            <w:shd w:color="auto" w:fill="auto" w:val="clear"/>
            <w:tcMar>
              <w:left w:w="103" w:type="dxa"/>
            </w:tcMar>
            <w:vAlign w:val="center"/>
          </w:tcPr>
          <w:p>
            <w:pPr>
              <w:pStyle w:val="Normal1"/>
              <w:shd w:val="clear" w:color="auto" w:fill="FFFFFF"/>
              <w:spacing w:lineRule="auto" w:line="240" w:before="0" w:after="200"/>
              <w:jc w:val="both"/>
              <w:rPr/>
            </w:pPr>
            <w:hyperlink r:id="rId3">
              <w:r>
                <w:rPr>
                  <w:rStyle w:val="LinkdaInternet"/>
                  <w:rFonts w:eastAsia="Calibri" w:cs="Arial"/>
                  <w:color w:val="000000" w:themeColor="text1"/>
                  <w:lang w:eastAsia="pt-BR"/>
                </w:rPr>
                <w:t>Curso de Especialização em Gestão Pública Municipal</w:t>
              </w:r>
            </w:hyperlink>
          </w:p>
        </w:tc>
      </w:tr>
      <w:tr>
        <w:trPr/>
        <w:tc>
          <w:tcPr>
            <w:tcW w:w="3508" w:type="dxa"/>
            <w:tcBorders/>
            <w:shd w:color="auto" w:fill="auto" w:val="clear"/>
            <w:tcMar>
              <w:left w:w="103" w:type="dxa"/>
            </w:tcMar>
            <w:vAlign w:val="center"/>
          </w:tcPr>
          <w:p>
            <w:pPr>
              <w:pStyle w:val="Normal1"/>
              <w:shd w:val="clear" w:color="auto" w:fill="FFFFFF"/>
              <w:spacing w:lineRule="auto" w:line="240" w:before="0" w:after="200"/>
              <w:rPr>
                <w:rFonts w:ascii="Arial" w:hAnsi="Arial" w:cs="Arial"/>
                <w:color w:val="000000" w:themeColor="text1"/>
              </w:rPr>
            </w:pPr>
            <w:r>
              <w:rPr>
                <w:rFonts w:eastAsia="Calibri" w:cs="Arial"/>
                <w:color w:val="000000" w:themeColor="text1"/>
                <w:lang w:eastAsia="pt-BR"/>
              </w:rPr>
              <w:t>Residência em Ginecologia e Obstetrícia</w:t>
            </w:r>
          </w:p>
        </w:tc>
        <w:tc>
          <w:tcPr>
            <w:tcW w:w="5160" w:type="dxa"/>
            <w:tcBorders/>
            <w:shd w:color="auto" w:fill="auto" w:val="clear"/>
            <w:tcMar>
              <w:left w:w="103" w:type="dxa"/>
            </w:tcMar>
            <w:vAlign w:val="center"/>
          </w:tcPr>
          <w:p>
            <w:pPr>
              <w:pStyle w:val="Normal1"/>
              <w:shd w:val="clear" w:color="auto" w:fill="FFFFFF"/>
              <w:spacing w:lineRule="auto" w:line="240" w:before="0" w:after="200"/>
              <w:jc w:val="both"/>
              <w:rPr/>
            </w:pPr>
            <w:hyperlink r:id="rId4">
              <w:r>
                <w:rPr>
                  <w:rStyle w:val="LinkdaInternet"/>
                  <w:rFonts w:eastAsia="Calibri" w:cs="Arial"/>
                  <w:color w:val="000000" w:themeColor="text1"/>
                  <w:lang w:eastAsia="pt-BR"/>
                </w:rPr>
                <w:t>Curso de Especialização em Ensino de Geografia</w:t>
              </w:r>
            </w:hyperlink>
          </w:p>
        </w:tc>
      </w:tr>
      <w:tr>
        <w:trPr/>
        <w:tc>
          <w:tcPr>
            <w:tcW w:w="3508" w:type="dxa"/>
            <w:tcBorders/>
            <w:shd w:color="auto" w:fill="auto" w:val="clear"/>
            <w:tcMar>
              <w:left w:w="103" w:type="dxa"/>
            </w:tcMar>
            <w:vAlign w:val="center"/>
          </w:tcPr>
          <w:p>
            <w:pPr>
              <w:pStyle w:val="Normal1"/>
              <w:shd w:val="clear" w:color="auto" w:fill="FFFFFF"/>
              <w:spacing w:lineRule="auto" w:line="240" w:before="0" w:after="200"/>
              <w:rPr>
                <w:rFonts w:ascii="Arial" w:hAnsi="Arial" w:cs="Arial"/>
                <w:color w:val="000000" w:themeColor="text1"/>
              </w:rPr>
            </w:pPr>
            <w:r>
              <w:rPr>
                <w:rFonts w:eastAsia="Calibri" w:cs="Arial"/>
                <w:color w:val="000000" w:themeColor="text1"/>
                <w:lang w:eastAsia="pt-BR"/>
              </w:rPr>
              <w:t>Residência em Pediatria</w:t>
            </w:r>
          </w:p>
        </w:tc>
        <w:tc>
          <w:tcPr>
            <w:tcW w:w="5160" w:type="dxa"/>
            <w:tcBorders/>
            <w:shd w:color="auto" w:fill="auto" w:val="clear"/>
            <w:tcMar>
              <w:left w:w="103" w:type="dxa"/>
            </w:tcMar>
            <w:vAlign w:val="center"/>
          </w:tcPr>
          <w:p>
            <w:pPr>
              <w:pStyle w:val="Normal1"/>
              <w:shd w:val="clear" w:color="auto" w:fill="FFFFFF"/>
              <w:spacing w:lineRule="auto" w:line="240" w:before="0" w:after="200"/>
              <w:jc w:val="both"/>
              <w:rPr>
                <w:rFonts w:ascii="Arial" w:hAnsi="Arial" w:cs="Arial"/>
                <w:color w:val="000000" w:themeColor="text1"/>
              </w:rPr>
            </w:pPr>
            <w:r>
              <w:rPr>
                <w:rFonts w:eastAsia="Calibri" w:cs="Arial"/>
                <w:color w:val="000000" w:themeColor="text1"/>
                <w:lang w:eastAsia="pt-BR"/>
              </w:rPr>
              <w:t>Curso de Especialização em Ensino de Sociologia para o Ensino Médio</w:t>
            </w:r>
          </w:p>
        </w:tc>
      </w:tr>
      <w:tr>
        <w:trPr/>
        <w:tc>
          <w:tcPr>
            <w:tcW w:w="3508" w:type="dxa"/>
            <w:tcBorders/>
            <w:shd w:color="auto" w:fill="auto" w:val="clear"/>
            <w:tcMar>
              <w:left w:w="103" w:type="dxa"/>
            </w:tcMar>
            <w:vAlign w:val="center"/>
          </w:tcPr>
          <w:p>
            <w:pPr>
              <w:pStyle w:val="Normal1"/>
              <w:shd w:val="clear" w:color="auto" w:fill="FFFFFF"/>
              <w:spacing w:lineRule="auto" w:line="240" w:before="0" w:after="200"/>
              <w:rPr>
                <w:rFonts w:ascii="Arial" w:hAnsi="Arial" w:cs="Arial"/>
                <w:color w:val="000000" w:themeColor="text1"/>
              </w:rPr>
            </w:pPr>
            <w:r>
              <w:rPr>
                <w:rFonts w:eastAsia="Calibri" w:cs="Arial"/>
                <w:color w:val="000000" w:themeColor="text1"/>
                <w:lang w:eastAsia="pt-BR"/>
              </w:rPr>
              <w:t>Residência em Neurocirurgia</w:t>
            </w:r>
          </w:p>
        </w:tc>
        <w:tc>
          <w:tcPr>
            <w:tcW w:w="5160" w:type="dxa"/>
            <w:tcBorders/>
            <w:shd w:color="auto" w:fill="auto" w:val="clear"/>
            <w:tcMar>
              <w:left w:w="103" w:type="dxa"/>
            </w:tcMar>
            <w:vAlign w:val="center"/>
          </w:tcPr>
          <w:p>
            <w:pPr>
              <w:pStyle w:val="Normal1"/>
              <w:shd w:val="clear" w:color="auto" w:fill="FFFFFF"/>
              <w:spacing w:lineRule="auto" w:line="240" w:before="0" w:after="200"/>
              <w:jc w:val="both"/>
              <w:rPr/>
            </w:pPr>
            <w:hyperlink r:id="rId5">
              <w:r>
                <w:rPr>
                  <w:rStyle w:val="LinkdaInternet"/>
                  <w:rFonts w:eastAsia="Calibri" w:cs="Arial"/>
                  <w:color w:val="000000" w:themeColor="text1"/>
                  <w:lang w:eastAsia="pt-BR"/>
                </w:rPr>
                <w:t>Curso de Especialização em Matemática para o Ensino Médio: Matemática na Prática</w:t>
              </w:r>
            </w:hyperlink>
          </w:p>
        </w:tc>
      </w:tr>
      <w:tr>
        <w:trPr>
          <w:trHeight w:val="85" w:hRule="atLeast"/>
        </w:trPr>
        <w:tc>
          <w:tcPr>
            <w:tcW w:w="3508" w:type="dxa"/>
            <w:tcBorders/>
            <w:shd w:color="auto" w:fill="auto" w:val="clear"/>
            <w:tcMar>
              <w:left w:w="103" w:type="dxa"/>
            </w:tcMar>
            <w:vAlign w:val="center"/>
          </w:tcPr>
          <w:p>
            <w:pPr>
              <w:pStyle w:val="Normal1"/>
              <w:shd w:val="clear" w:color="auto" w:fill="FFFFFF"/>
              <w:spacing w:lineRule="auto" w:line="240" w:before="0" w:after="200"/>
              <w:rPr>
                <w:rFonts w:ascii="Arial" w:hAnsi="Arial" w:cs="Arial"/>
                <w:color w:val="000000" w:themeColor="text1"/>
              </w:rPr>
            </w:pPr>
            <w:r>
              <w:rPr>
                <w:rFonts w:eastAsia="Calibri" w:cs="Arial"/>
                <w:color w:val="000000" w:themeColor="text1"/>
                <w:lang w:eastAsia="pt-BR"/>
              </w:rPr>
              <w:t>Residência em Fisioterapia na Saúde Coletiva</w:t>
            </w:r>
          </w:p>
        </w:tc>
        <w:tc>
          <w:tcPr>
            <w:tcW w:w="5160" w:type="dxa"/>
            <w:tcBorders/>
            <w:shd w:color="auto" w:fill="auto" w:val="clear"/>
            <w:tcMar>
              <w:left w:w="103" w:type="dxa"/>
            </w:tcMar>
            <w:vAlign w:val="center"/>
          </w:tcPr>
          <w:p>
            <w:pPr>
              <w:pStyle w:val="Normal1"/>
              <w:shd w:val="clear" w:color="auto" w:fill="FFFFFF"/>
              <w:spacing w:lineRule="auto" w:line="240" w:before="0" w:after="200"/>
              <w:jc w:val="both"/>
              <w:rPr/>
            </w:pPr>
            <w:hyperlink r:id="rId6">
              <w:r>
                <w:rPr>
                  <w:rStyle w:val="LinkdaInternet"/>
                  <w:rFonts w:eastAsia="Calibri" w:cs="Arial"/>
                  <w:color w:val="000000" w:themeColor="text1"/>
                  <w:lang w:eastAsia="pt-BR"/>
                </w:rPr>
                <w:t>Curso de Especialização em Educação em Direitos Humanos</w:t>
              </w:r>
            </w:hyperlink>
          </w:p>
        </w:tc>
      </w:tr>
    </w:tbl>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ind w:firstLine="708"/>
        <w:jc w:val="both"/>
        <w:rPr>
          <w:color w:val="000000" w:themeColor="text1"/>
        </w:rPr>
      </w:pPr>
      <w:r>
        <w:rPr>
          <w:color w:val="000000" w:themeColor="text1"/>
        </w:rPr>
        <w:t xml:space="preserve">Entendemos que o egresso de um programa de pós-graduação deverá estar munido de conhecimento para atuar no mercado de trabalho de forma crítica e construtiva no exercício da pesquisa e/ou docência, em empresas públicas e na iniciativa privada. </w:t>
      </w:r>
    </w:p>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tabs>
          <w:tab w:val="left" w:pos="567" w:leader="none"/>
        </w:tabs>
        <w:spacing w:lineRule="auto" w:line="360" w:before="0" w:after="0"/>
        <w:ind w:left="0" w:hanging="0"/>
        <w:contextualSpacing/>
        <w:jc w:val="both"/>
        <w:rPr>
          <w:rFonts w:ascii="Arial" w:hAnsi="Arial" w:cs="Arial"/>
        </w:rPr>
      </w:pPr>
      <w:r>
        <w:rPr>
          <w:rFonts w:cs="Arial"/>
          <w:b/>
          <w:bCs/>
          <w:color w:val="000000" w:themeColor="text1"/>
        </w:rPr>
        <w:t xml:space="preserve">2.9.1.1. Pós-Graduação na Modalidade </w:t>
      </w:r>
      <w:r>
        <w:rPr>
          <w:rFonts w:cs="Arial"/>
          <w:b/>
          <w:bCs/>
          <w:i/>
          <w:iCs/>
          <w:color w:val="000000" w:themeColor="text1"/>
        </w:rPr>
        <w:t xml:space="preserve">Stricto Sensu </w:t>
      </w:r>
    </w:p>
    <w:p>
      <w:pPr>
        <w:pStyle w:val="Normal1"/>
        <w:spacing w:lineRule="auto" w:line="360"/>
        <w:jc w:val="both"/>
        <w:rPr>
          <w:rFonts w:ascii="Arial" w:hAnsi="Arial" w:cs="Arial"/>
          <w:color w:val="000000" w:themeColor="text1"/>
        </w:rPr>
      </w:pPr>
      <w:r>
        <w:rPr>
          <w:rFonts w:cs="Arial"/>
          <w:color w:val="000000" w:themeColor="text1"/>
        </w:rPr>
      </w:r>
    </w:p>
    <w:p>
      <w:pPr>
        <w:pStyle w:val="Default"/>
        <w:spacing w:lineRule="auto" w:line="360"/>
        <w:ind w:firstLine="708"/>
        <w:jc w:val="both"/>
        <w:rPr>
          <w:color w:val="000000" w:themeColor="text1"/>
        </w:rPr>
      </w:pPr>
      <w:r>
        <w:rPr>
          <w:color w:val="000000" w:themeColor="text1"/>
        </w:rPr>
        <w:t xml:space="preserve">Novos programas de mestrado e doutorado, mais possibilidades de bolsas e cursos bem conceituados impulsionam a pesquisa na UFVJM. Os cursos de pós-graduação estão focados em contribuir para o desenvolvimento regional, nacional e global por meio da produção de conhecimento científico e de inovações tecnológicas, estando sintonizados com as demandas das regiões dos Vales do Jequitinhonha e Mucuri, Norte e Noroeste de Minas Gerais. </w:t>
      </w:r>
    </w:p>
    <w:p>
      <w:pPr>
        <w:pStyle w:val="Default"/>
        <w:spacing w:lineRule="auto" w:line="360"/>
        <w:ind w:firstLine="708"/>
        <w:jc w:val="both"/>
        <w:rPr>
          <w:color w:val="0070C0"/>
        </w:rPr>
      </w:pPr>
      <w:r>
        <w:rPr>
          <w:color w:val="000000" w:themeColor="text1"/>
        </w:rPr>
        <w:t xml:space="preserve">Tais programas buscam cumprir sua função social não somente com produção científica e tecnológica, mas também com a formação de profissionais de elevada qualificação, muitos deles oriundos dos próprios Vales, do Norte e do Noroeste do Estado. </w:t>
      </w:r>
      <w:r>
        <w:rPr>
          <w:color w:val="0070C0"/>
        </w:rPr>
        <w:t>Desta forma, uma das prioridades dever ser o envolvimento de discentes da graduação (tanto dos cursos de licenciatura, quanto de bacharelado) com a pesquisa, bem como a aproximação com os discentes da pós-graduação. Isto contribuirá para a almejada indissociabilidade entre pesquisa, ensino e extensão.</w:t>
      </w:r>
    </w:p>
    <w:p>
      <w:pPr>
        <w:pStyle w:val="Default"/>
        <w:spacing w:lineRule="auto" w:line="360"/>
        <w:ind w:firstLine="708"/>
        <w:jc w:val="both"/>
        <w:rPr>
          <w:color w:val="000000" w:themeColor="text1"/>
        </w:rPr>
      </w:pPr>
      <w:r>
        <w:rPr>
          <w:color w:val="000000" w:themeColor="text1"/>
          <w:highlight w:val="cyan"/>
        </w:rPr>
        <w:t>(SOLICITANTE: LEIDA – PROGRAD)</w:t>
      </w:r>
    </w:p>
    <w:p>
      <w:pPr>
        <w:pStyle w:val="Default"/>
        <w:spacing w:lineRule="auto" w:line="360"/>
        <w:ind w:firstLine="708"/>
        <w:jc w:val="both"/>
        <w:rPr>
          <w:color w:val="000000" w:themeColor="text1"/>
        </w:rPr>
      </w:pPr>
      <w:r>
        <w:rPr>
          <w:color w:val="000000" w:themeColor="text1"/>
        </w:rPr>
        <w:t xml:space="preserve">A Pró-Reitoria de Pesquisa e Pós-Graduação - PRPPG tem como uma de suas metas incentivar a consolidação da “cultura da pesquisa e da inovação” na UFVJM, de maneira a possibilitar a criação de cursos de pós-graduação </w:t>
      </w:r>
      <w:r>
        <w:rPr>
          <w:i/>
          <w:iCs/>
          <w:color w:val="000000" w:themeColor="text1"/>
        </w:rPr>
        <w:t xml:space="preserve">stricto sensu </w:t>
      </w:r>
      <w:r>
        <w:rPr>
          <w:color w:val="000000" w:themeColor="text1"/>
        </w:rPr>
        <w:t>nas diversas áreas do conhecimento, conforme evolução mostrada na Tabela 3.</w:t>
      </w:r>
    </w:p>
    <w:p>
      <w:pPr>
        <w:pStyle w:val="Default"/>
        <w:spacing w:lineRule="auto" w:line="360"/>
        <w:jc w:val="both"/>
        <w:rPr>
          <w:rFonts w:eastAsia="Calibri"/>
          <w:color w:val="000000" w:themeColor="text1"/>
        </w:rPr>
      </w:pPr>
      <w:r>
        <w:rPr>
          <w:rFonts w:eastAsia="Calibri"/>
          <w:color w:val="000000" w:themeColor="text1"/>
        </w:rPr>
      </w:r>
    </w:p>
    <w:p>
      <w:pPr>
        <w:pStyle w:val="Normal1"/>
        <w:spacing w:lineRule="auto" w:line="360"/>
        <w:jc w:val="both"/>
        <w:rPr>
          <w:rFonts w:ascii="Arial" w:hAnsi="Arial" w:cs="Arial"/>
          <w:color w:val="000000" w:themeColor="text1"/>
        </w:rPr>
      </w:pPr>
      <w:r>
        <w:rPr>
          <w:rFonts w:cs="Arial"/>
          <w:b/>
          <w:color w:val="000000" w:themeColor="text1"/>
        </w:rPr>
        <w:t>Tabela 3 -</w:t>
      </w:r>
      <w:r>
        <w:rPr>
          <w:rFonts w:cs="Arial"/>
          <w:color w:val="000000" w:themeColor="text1"/>
        </w:rPr>
        <w:t xml:space="preserve"> Número de programas de pós-graduação no período 2012-2016</w:t>
      </w:r>
    </w:p>
    <w:p>
      <w:pPr>
        <w:pStyle w:val="Normal1"/>
        <w:spacing w:lineRule="auto" w:line="360"/>
        <w:jc w:val="both"/>
        <w:rPr>
          <w:rFonts w:ascii="Arial" w:hAnsi="Arial" w:cs="Arial"/>
          <w:color w:val="000000" w:themeColor="text1"/>
        </w:rPr>
      </w:pPr>
      <w:r>
        <w:rPr>
          <w:rFonts w:cs="Arial"/>
          <w:color w:val="000000" w:themeColor="text1"/>
        </w:rPr>
      </w:r>
    </w:p>
    <w:tbl>
      <w:tblPr>
        <w:tblStyle w:val="Tabelacomgrade"/>
        <w:tblW w:w="8645" w:type="dxa"/>
        <w:jc w:val="left"/>
        <w:tblInd w:w="-5" w:type="dxa"/>
        <w:tblCellMar>
          <w:top w:w="0" w:type="dxa"/>
          <w:left w:w="103" w:type="dxa"/>
          <w:bottom w:w="0" w:type="dxa"/>
          <w:right w:w="108" w:type="dxa"/>
        </w:tblCellMar>
        <w:tblLook w:val="04a0"/>
      </w:tblPr>
      <w:tblGrid>
        <w:gridCol w:w="1457"/>
        <w:gridCol w:w="1434"/>
        <w:gridCol w:w="1438"/>
        <w:gridCol w:w="1439"/>
        <w:gridCol w:w="1440"/>
        <w:gridCol w:w="1436"/>
      </w:tblGrid>
      <w:tr>
        <w:trPr/>
        <w:tc>
          <w:tcPr>
            <w:tcW w:w="1457" w:type="dxa"/>
            <w:tcBorders/>
            <w:shd w:color="auto" w:fill="auto" w:val="clear"/>
            <w:tcMar>
              <w:left w:w="103" w:type="dxa"/>
            </w:tcMar>
          </w:tcPr>
          <w:p>
            <w:pPr>
              <w:pStyle w:val="Normal1"/>
              <w:spacing w:lineRule="auto" w:line="360" w:before="0" w:after="200"/>
              <w:jc w:val="both"/>
              <w:rPr>
                <w:rFonts w:ascii="Arial" w:hAnsi="Arial" w:cs="Arial"/>
                <w:color w:val="000000" w:themeColor="text1"/>
              </w:rPr>
            </w:pPr>
            <w:r>
              <w:rPr>
                <w:rFonts w:eastAsia="Calibri" w:cs="Arial"/>
                <w:color w:val="000000" w:themeColor="text1"/>
                <w:lang w:eastAsia="en-US"/>
              </w:rPr>
              <w:t>Curso</w:t>
            </w:r>
          </w:p>
        </w:tc>
        <w:tc>
          <w:tcPr>
            <w:tcW w:w="1434"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2012</w:t>
            </w:r>
          </w:p>
        </w:tc>
        <w:tc>
          <w:tcPr>
            <w:tcW w:w="1438"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2013</w:t>
            </w:r>
          </w:p>
        </w:tc>
        <w:tc>
          <w:tcPr>
            <w:tcW w:w="1439"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2014</w:t>
            </w:r>
          </w:p>
        </w:tc>
        <w:tc>
          <w:tcPr>
            <w:tcW w:w="1440"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2015</w:t>
            </w:r>
          </w:p>
        </w:tc>
        <w:tc>
          <w:tcPr>
            <w:tcW w:w="1436"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2016</w:t>
            </w:r>
          </w:p>
        </w:tc>
      </w:tr>
      <w:tr>
        <w:trPr/>
        <w:tc>
          <w:tcPr>
            <w:tcW w:w="1457"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Doutorado</w:t>
            </w:r>
          </w:p>
        </w:tc>
        <w:tc>
          <w:tcPr>
            <w:tcW w:w="1434"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w:t>
            </w:r>
          </w:p>
        </w:tc>
        <w:tc>
          <w:tcPr>
            <w:tcW w:w="1438"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w:t>
            </w:r>
          </w:p>
        </w:tc>
        <w:tc>
          <w:tcPr>
            <w:tcW w:w="1439"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3</w:t>
            </w:r>
          </w:p>
        </w:tc>
        <w:tc>
          <w:tcPr>
            <w:tcW w:w="1440"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6</w:t>
            </w:r>
          </w:p>
        </w:tc>
        <w:tc>
          <w:tcPr>
            <w:tcW w:w="1436"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6</w:t>
            </w:r>
          </w:p>
        </w:tc>
      </w:tr>
      <w:tr>
        <w:trPr/>
        <w:tc>
          <w:tcPr>
            <w:tcW w:w="1457"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Mestrado Acadêmico</w:t>
            </w:r>
          </w:p>
        </w:tc>
        <w:tc>
          <w:tcPr>
            <w:tcW w:w="1434"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7</w:t>
            </w:r>
          </w:p>
        </w:tc>
        <w:tc>
          <w:tcPr>
            <w:tcW w:w="1438"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8</w:t>
            </w:r>
          </w:p>
        </w:tc>
        <w:tc>
          <w:tcPr>
            <w:tcW w:w="1439"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8</w:t>
            </w:r>
          </w:p>
        </w:tc>
        <w:tc>
          <w:tcPr>
            <w:tcW w:w="1440"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10</w:t>
            </w:r>
          </w:p>
        </w:tc>
        <w:tc>
          <w:tcPr>
            <w:tcW w:w="1436"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12</w:t>
            </w:r>
          </w:p>
        </w:tc>
      </w:tr>
      <w:tr>
        <w:trPr/>
        <w:tc>
          <w:tcPr>
            <w:tcW w:w="1457"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Mestrado Profissional</w:t>
            </w:r>
          </w:p>
        </w:tc>
        <w:tc>
          <w:tcPr>
            <w:tcW w:w="1434"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3</w:t>
            </w:r>
          </w:p>
        </w:tc>
        <w:tc>
          <w:tcPr>
            <w:tcW w:w="1438"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5</w:t>
            </w:r>
          </w:p>
        </w:tc>
        <w:tc>
          <w:tcPr>
            <w:tcW w:w="1439"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6</w:t>
            </w:r>
          </w:p>
        </w:tc>
        <w:tc>
          <w:tcPr>
            <w:tcW w:w="1440"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6</w:t>
            </w:r>
          </w:p>
        </w:tc>
        <w:tc>
          <w:tcPr>
            <w:tcW w:w="1436"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7</w:t>
            </w:r>
          </w:p>
        </w:tc>
      </w:tr>
      <w:tr>
        <w:trPr/>
        <w:tc>
          <w:tcPr>
            <w:tcW w:w="1457"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Total de Cursos</w:t>
            </w:r>
          </w:p>
        </w:tc>
        <w:tc>
          <w:tcPr>
            <w:tcW w:w="1434"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11</w:t>
            </w:r>
          </w:p>
        </w:tc>
        <w:tc>
          <w:tcPr>
            <w:tcW w:w="1438"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15</w:t>
            </w:r>
          </w:p>
        </w:tc>
        <w:tc>
          <w:tcPr>
            <w:tcW w:w="1439"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17</w:t>
            </w:r>
          </w:p>
        </w:tc>
        <w:tc>
          <w:tcPr>
            <w:tcW w:w="1440"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22</w:t>
            </w:r>
          </w:p>
        </w:tc>
        <w:tc>
          <w:tcPr>
            <w:tcW w:w="1436" w:type="dxa"/>
            <w:tcBorders/>
            <w:shd w:color="auto" w:fill="auto" w:val="clear"/>
            <w:tcMar>
              <w:left w:w="103" w:type="dxa"/>
            </w:tcMa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25</w:t>
            </w:r>
          </w:p>
        </w:tc>
      </w:tr>
    </w:tbl>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708"/>
        <w:jc w:val="both"/>
        <w:rPr>
          <w:rFonts w:ascii="Arial" w:hAnsi="Arial" w:cs="Arial"/>
          <w:color w:val="000000" w:themeColor="text1"/>
        </w:rPr>
      </w:pPr>
      <w:r>
        <w:rPr>
          <w:rFonts w:cs="Arial"/>
          <w:color w:val="000000" w:themeColor="text1"/>
        </w:rPr>
        <w:t>A PRPPG também executa uma política de apoio técnico e financeiro aos programas de pós-graduação, objetivando fortalecê-los, tendo como foco a criação de novos cursos de doutorado.</w:t>
      </w:r>
    </w:p>
    <w:p>
      <w:pPr>
        <w:pStyle w:val="Normal1"/>
        <w:spacing w:lineRule="auto" w:line="360"/>
        <w:jc w:val="both"/>
        <w:rPr>
          <w:rFonts w:ascii="Arial" w:hAnsi="Arial" w:cs="Arial"/>
          <w:color w:val="000000" w:themeColor="text1"/>
        </w:rPr>
      </w:pPr>
      <w:r>
        <w:rPr>
          <w:rFonts w:cs="Arial"/>
          <w:color w:val="000000" w:themeColor="text1"/>
        </w:rPr>
      </w:r>
    </w:p>
    <w:p>
      <w:pPr>
        <w:pStyle w:val="ListParagraph"/>
        <w:spacing w:lineRule="auto" w:line="360" w:before="0" w:after="0"/>
        <w:ind w:left="0" w:hanging="0"/>
        <w:contextualSpacing/>
        <w:jc w:val="both"/>
        <w:rPr>
          <w:rFonts w:ascii="Arial" w:hAnsi="Arial" w:cs="Arial"/>
        </w:rPr>
      </w:pPr>
      <w:r>
        <w:rPr>
          <w:rFonts w:cs="Arial"/>
          <w:b/>
          <w:bCs/>
          <w:color w:val="000000" w:themeColor="text1"/>
        </w:rPr>
        <w:t xml:space="preserve">2.9.2. Programas de Bolsas Coordenados pela Pró-Reitoria de Pesquisa e Pós-Graduação </w:t>
      </w:r>
    </w:p>
    <w:p>
      <w:pPr>
        <w:pStyle w:val="Normal1"/>
        <w:spacing w:lineRule="auto" w:line="360"/>
        <w:jc w:val="both"/>
        <w:rPr>
          <w:rFonts w:ascii="Arial" w:hAnsi="Arial" w:cs="Arial"/>
          <w:color w:val="000000" w:themeColor="text1"/>
        </w:rPr>
      </w:pPr>
      <w:r>
        <w:rPr>
          <w:rFonts w:cs="Arial"/>
          <w:color w:val="000000" w:themeColor="text1"/>
        </w:rPr>
      </w:r>
    </w:p>
    <w:p>
      <w:pPr>
        <w:pStyle w:val="Default"/>
        <w:spacing w:lineRule="auto" w:line="360"/>
        <w:ind w:firstLine="708"/>
        <w:jc w:val="both"/>
        <w:rPr/>
      </w:pPr>
      <w:r>
        <w:rPr>
          <w:color w:val="000000" w:themeColor="text1"/>
        </w:rPr>
        <w:t>A PRPPG da Universidade Federal dos Vales do Jequitinhonha e Mucuri tem a finalidade de apreciar, coordenar, auxiliar, deliberar e homologar as atividades de pesquisa e contempla duas modalidades de bolsa destinadas a estudantes. São elas:</w:t>
      </w:r>
    </w:p>
    <w:p>
      <w:pPr>
        <w:pStyle w:val="Default"/>
        <w:spacing w:lineRule="auto" w:line="360"/>
        <w:ind w:firstLine="708"/>
        <w:jc w:val="both"/>
        <w:rPr/>
      </w:pPr>
      <w:r>
        <w:rPr/>
      </w:r>
    </w:p>
    <w:p>
      <w:pPr>
        <w:pStyle w:val="Default"/>
        <w:spacing w:lineRule="auto" w:line="360"/>
        <w:ind w:firstLine="708"/>
        <w:jc w:val="both"/>
        <w:rPr/>
      </w:pPr>
      <w:r>
        <w:rPr>
          <w:b/>
          <w:bCs/>
          <w:color w:val="000000" w:themeColor="text1"/>
        </w:rPr>
        <w:t xml:space="preserve">2.9.2.1. Programa Institucional de Bolsa de Iniciação Científica – PIBIC </w:t>
      </w:r>
    </w:p>
    <w:p>
      <w:pPr>
        <w:pStyle w:val="Default"/>
        <w:spacing w:lineRule="auto" w:line="360"/>
        <w:ind w:left="720" w:hanging="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color w:val="000000" w:themeColor="text1"/>
        </w:rPr>
        <w:t xml:space="preserve">Esse programa visa incentivar a introdução dos estudantes de graduação nas atividades de pesquisa, por meio de bolsas de Iniciação Científica e Tecnológica, concedidas às IES. Atualmente, a UFVJM oferece bolsas de iniciação cientifica dentro de vários programas institucionais, sendo concedidas pela Fundação de Amparo a Pesquisa em Minas Gerais - FAPEMIG, pelo Conselho Nacional de Desenvolvimento Cientifico e Tecnológico- CNPq e pela própria Universidade. </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ind w:firstLine="708"/>
        <w:jc w:val="both"/>
        <w:rPr/>
      </w:pPr>
      <w:r>
        <w:rPr>
          <w:b/>
          <w:bCs/>
          <w:color w:val="000000" w:themeColor="text1"/>
        </w:rPr>
        <w:t xml:space="preserve">2.9.2.2. Bolsa de Iniciação Científica e Tecnológica </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rFonts w:eastAsia="Calibri"/>
          <w:color w:val="000000" w:themeColor="text1"/>
        </w:rPr>
      </w:pPr>
      <w:r>
        <w:rPr>
          <w:rFonts w:eastAsia="Calibri"/>
          <w:color w:val="000000" w:themeColor="text1"/>
          <w:highlight w:val="cyan"/>
        </w:rPr>
        <w:t>(SOLICITANTE: LEIDA – PROGRAD)</w:t>
      </w:r>
    </w:p>
    <w:p>
      <w:pPr>
        <w:pStyle w:val="Default"/>
        <w:spacing w:lineRule="auto" w:line="360"/>
        <w:jc w:val="both"/>
        <w:rPr>
          <w:color w:val="000000" w:themeColor="text1"/>
        </w:rPr>
      </w:pPr>
      <w:r>
        <w:rPr>
          <w:color w:val="000000" w:themeColor="text1"/>
        </w:rPr>
        <w:t>Essa modalidade de bolsa visa contribuir para a iniciação científica, voltada para o desenvolvimento de produtos tecnológicos, de estudantes de graduação</w:t>
      </w:r>
      <w:r>
        <w:rPr>
          <w:color w:val="0070C0"/>
        </w:rPr>
        <w:t xml:space="preserve">, da licenciatura e do bacharelado, </w:t>
      </w:r>
      <w:r>
        <w:rPr>
          <w:color w:val="000000" w:themeColor="text1"/>
        </w:rPr>
        <w:t xml:space="preserve">em atividades de pesquisa realizadas em instituições de pesquisa e em instituições de pesquisa e ensino, através da concessão de bolsas vinculadas a projetos financiados por órgãos de fomento e iniciativa privada. Estas bolsas são concedidas pelo Conselho Nacional de Desenvolvimento Cientifico e Tecnológico- CNPq. </w:t>
      </w:r>
    </w:p>
    <w:p>
      <w:pPr>
        <w:pStyle w:val="Default"/>
        <w:spacing w:lineRule="auto" w:line="360"/>
        <w:jc w:val="both"/>
        <w:rPr/>
      </w:pPr>
      <w:r>
        <w:rPr>
          <w:b/>
          <w:bCs/>
          <w:color w:val="000000" w:themeColor="text1"/>
        </w:rPr>
        <w:t>2.9.2.3. Bolsa de Mestrado</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color w:val="000000" w:themeColor="text1"/>
        </w:rPr>
        <w:t xml:space="preserve">Essa modalidade de bolsa visa contribuir para manter estudantes de mestrado em regime de dedicação exclusiva, no intuito de possibilitar que o mestrando foque em suas atividades de pesquisa, com vistas a elaborar dissertações de qualidade elevada, as quais sejam a base de publicações em periódicos com índice de impacto e de pedidos de patentes. Essas bolsas são concedidas pela Fundação de Amparo a Pesquisa em Minas Gerais - FAPEMIG, pela Coordenação de Aperfeiçoamento de Pessoal de Nível Superior - CAPES, pelo Conselho Nacional de Desenvolvimento Cientifico e Tecnológico- CNPq, por empresas públicas e privadas e pela própria UFVJM.  </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pPr>
      <w:r>
        <w:rPr>
          <w:b/>
          <w:bCs/>
          <w:color w:val="000000" w:themeColor="text1"/>
        </w:rPr>
        <w:t xml:space="preserve">2.9.2.4. Bolsa de Doutorado </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color w:val="000000" w:themeColor="text1"/>
        </w:rPr>
        <w:t xml:space="preserve">Essa modalidade de bolsa visa contribuir para manter estudantes de doutorado em regime de dedicação exclusiva, no intuito de possibilitar que o doutorando foque em suas atividades de pesquisa, com vistas a elaborar teses de qualidade elevada, as quais sejam a base de publicações em periódicos com índice de impacto e de pedidos de patentes. Essas bolsas são concedidas pela Fundação de Amparo a Pesquisa em Minas Gerais - FAPEMIG, pela Coordenação de Aperfeiçoamento de Pessoal de Nível Superior - CAPES, pelo Conselho Nacional de Desenvolvimento Cientifico e Tecnológico - CNPq, por empresas públicas e privadas e pela própria Universidade. </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pPr>
      <w:r>
        <w:rPr>
          <w:b/>
          <w:bCs/>
          <w:color w:val="000000" w:themeColor="text1"/>
        </w:rPr>
        <w:t xml:space="preserve">2.9.2.5. Bolsa de Pós-Doutorado </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color w:val="000000" w:themeColor="text1"/>
        </w:rPr>
        <w:t xml:space="preserve">Essa modalidade de bolsa visa integrar doutores nas atividades de pesquisa da UFVJM, de maneira a contribuir para o avanço na produção de conhecimento, tecnologia e inovação. Estas bolsas são concedidas pela Fundação de Amparo a Pesquisa em Minas Gerais - FAPEMIG, pela Coordenação de Aperfeiçoamento de Pessoal de Nível Superior – CAPES e pelo Conselho Nacional de Desenvolvimento Científico e Tecnológico - CNPq. </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b/>
          <w:color w:val="000000" w:themeColor="text1"/>
        </w:rPr>
        <w:t>Tabela 4-</w:t>
      </w:r>
      <w:r>
        <w:rPr>
          <w:color w:val="000000" w:themeColor="text1"/>
        </w:rPr>
        <w:t>Mestres e Doutores titulados pelos PPG da UFVJM -  2011-2016</w:t>
      </w:r>
    </w:p>
    <w:p>
      <w:pPr>
        <w:pStyle w:val="Default"/>
        <w:spacing w:lineRule="auto" w:line="360"/>
        <w:jc w:val="both"/>
        <w:rPr>
          <w:rFonts w:eastAsia="Calibri"/>
          <w:b/>
          <w:b/>
          <w:color w:val="000000" w:themeColor="text1"/>
        </w:rPr>
      </w:pPr>
      <w:r>
        <w:rPr>
          <w:rFonts w:eastAsia="Calibri"/>
          <w:b/>
          <w:color w:val="000000" w:themeColor="text1"/>
        </w:rPr>
      </w:r>
    </w:p>
    <w:tbl>
      <w:tblPr>
        <w:tblW w:w="7958" w:type="dxa"/>
        <w:jc w:val="left"/>
        <w:tblInd w:w="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5" w:type="dxa"/>
          <w:left w:w="50" w:type="dxa"/>
          <w:bottom w:w="55" w:type="dxa"/>
          <w:right w:w="55" w:type="dxa"/>
        </w:tblCellMar>
        <w:tblLook w:val="04a0"/>
      </w:tblPr>
      <w:tblGrid>
        <w:gridCol w:w="1843"/>
        <w:gridCol w:w="697"/>
        <w:gridCol w:w="709"/>
        <w:gridCol w:w="849"/>
        <w:gridCol w:w="851"/>
        <w:gridCol w:w="849"/>
        <w:gridCol w:w="850"/>
        <w:gridCol w:w="1309"/>
      </w:tblGrid>
      <w:tr>
        <w:trPr/>
        <w:tc>
          <w:tcPr>
            <w:tcW w:w="18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Discentes titulados pela UFVJM</w:t>
            </w:r>
          </w:p>
        </w:tc>
        <w:tc>
          <w:tcPr>
            <w:tcW w:w="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2011</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2012</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2013</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2014</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2015</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2016</w:t>
            </w:r>
          </w:p>
        </w:tc>
        <w:tc>
          <w:tcPr>
            <w:tcW w:w="13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Normal1"/>
              <w:spacing w:lineRule="auto" w:line="360" w:before="0" w:after="200"/>
              <w:jc w:val="center"/>
              <w:rPr>
                <w:rFonts w:ascii="Arial" w:hAnsi="Arial" w:cs="Arial"/>
                <w:b/>
                <w:b/>
                <w:color w:val="000000" w:themeColor="text1"/>
              </w:rPr>
            </w:pPr>
            <w:r>
              <w:rPr>
                <w:rFonts w:cs="Arial"/>
                <w:b/>
                <w:color w:val="000000" w:themeColor="text1"/>
              </w:rPr>
              <w:t>Total Período</w:t>
            </w:r>
          </w:p>
        </w:tc>
      </w:tr>
      <w:tr>
        <w:trPr/>
        <w:tc>
          <w:tcPr>
            <w:tcW w:w="18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Mestrado</w:t>
            </w:r>
          </w:p>
        </w:tc>
        <w:tc>
          <w:tcPr>
            <w:tcW w:w="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47</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74</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111</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120</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136</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186</w:t>
            </w:r>
          </w:p>
        </w:tc>
        <w:tc>
          <w:tcPr>
            <w:tcW w:w="13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674</w:t>
            </w:r>
          </w:p>
        </w:tc>
      </w:tr>
      <w:tr>
        <w:trPr/>
        <w:tc>
          <w:tcPr>
            <w:tcW w:w="18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b/>
                <w:b/>
                <w:color w:val="000000" w:themeColor="text1"/>
              </w:rPr>
            </w:pPr>
            <w:r>
              <w:rPr>
                <w:rFonts w:cs="Arial" w:ascii="Arial" w:hAnsi="Arial"/>
                <w:b/>
                <w:color w:val="000000" w:themeColor="text1"/>
              </w:rPr>
              <w:t>Doutorado</w:t>
            </w:r>
          </w:p>
        </w:tc>
        <w:tc>
          <w:tcPr>
            <w:tcW w:w="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3</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1</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2</w:t>
            </w:r>
          </w:p>
        </w:tc>
        <w:tc>
          <w:tcPr>
            <w:tcW w:w="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Contedodatabela"/>
              <w:spacing w:lineRule="auto" w:line="360" w:before="0" w:after="200"/>
              <w:jc w:val="center"/>
              <w:rPr>
                <w:rFonts w:ascii="Arial" w:hAnsi="Arial" w:cs="Arial"/>
                <w:color w:val="000000" w:themeColor="text1"/>
              </w:rPr>
            </w:pPr>
            <w:r>
              <w:rPr>
                <w:rFonts w:cs="Arial" w:ascii="Arial" w:hAnsi="Arial"/>
                <w:color w:val="000000" w:themeColor="text1"/>
              </w:rPr>
              <w:t>3</w:t>
            </w:r>
          </w:p>
        </w:tc>
        <w:tc>
          <w:tcPr>
            <w:tcW w:w="13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09</w:t>
            </w:r>
          </w:p>
        </w:tc>
      </w:tr>
    </w:tbl>
    <w:p>
      <w:pPr>
        <w:pStyle w:val="Default"/>
        <w:spacing w:lineRule="auto" w:line="360"/>
        <w:jc w:val="both"/>
        <w:rPr>
          <w:rFonts w:eastAsia="Calibri"/>
          <w:b/>
          <w:b/>
          <w:color w:val="000000" w:themeColor="text1"/>
        </w:rPr>
      </w:pPr>
      <w:r>
        <w:rPr>
          <w:rFonts w:eastAsia="Calibri"/>
          <w:b/>
          <w:color w:val="000000" w:themeColor="text1"/>
        </w:rPr>
      </w:r>
    </w:p>
    <w:p>
      <w:pPr>
        <w:pStyle w:val="Default"/>
        <w:spacing w:lineRule="auto" w:line="360"/>
        <w:jc w:val="both"/>
        <w:rPr>
          <w:color w:val="000000" w:themeColor="text1"/>
        </w:rPr>
      </w:pPr>
      <w:r>
        <w:rPr>
          <w:b/>
          <w:color w:val="000000" w:themeColor="text1"/>
        </w:rPr>
        <w:t>Tabela 5-</w:t>
      </w:r>
      <w:r>
        <w:rPr>
          <w:color w:val="000000" w:themeColor="text1"/>
        </w:rPr>
        <w:t xml:space="preserve">Distribuição das bolsas de Mestrado e Doutorado na UFVJM - 2011-2016 </w:t>
      </w:r>
    </w:p>
    <w:p>
      <w:pPr>
        <w:pStyle w:val="Default"/>
        <w:spacing w:lineRule="auto" w:line="360"/>
        <w:jc w:val="both"/>
        <w:rPr>
          <w:rFonts w:eastAsia="Calibri"/>
          <w:b/>
          <w:b/>
          <w:color w:val="000000" w:themeColor="text1"/>
        </w:rPr>
      </w:pPr>
      <w:r>
        <w:rPr>
          <w:rFonts w:eastAsia="Calibri"/>
          <w:b/>
          <w:color w:val="000000" w:themeColor="text1"/>
        </w:rPr>
      </w:r>
    </w:p>
    <w:tbl>
      <w:tblPr>
        <w:tblW w:w="5000" w:type="pct"/>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Look w:val="04a0"/>
      </w:tblPr>
      <w:tblGrid>
        <w:gridCol w:w="1345"/>
        <w:gridCol w:w="1537"/>
        <w:gridCol w:w="1846"/>
        <w:gridCol w:w="1615"/>
        <w:gridCol w:w="1520"/>
        <w:gridCol w:w="1536"/>
      </w:tblGrid>
      <w:tr>
        <w:trPr>
          <w:trHeight w:val="915"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b/>
                <w:b/>
                <w:color w:val="000000" w:themeColor="text1"/>
              </w:rPr>
            </w:pPr>
            <w:r>
              <w:rPr>
                <w:rFonts w:cs="Arial"/>
                <w:b/>
                <w:color w:val="000000" w:themeColor="text1"/>
              </w:rPr>
              <w:t>Ano</w:t>
            </w:r>
          </w:p>
        </w:tc>
        <w:tc>
          <w:tcPr>
            <w:tcW w:w="15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b/>
                <w:b/>
                <w:color w:val="000000" w:themeColor="text1"/>
              </w:rPr>
            </w:pPr>
            <w:r>
              <w:rPr>
                <w:rFonts w:cs="Arial"/>
                <w:b/>
                <w:color w:val="000000" w:themeColor="text1"/>
              </w:rPr>
              <w:t>Aluno sem bolsa</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b/>
                <w:b/>
                <w:color w:val="000000" w:themeColor="text1"/>
              </w:rPr>
            </w:pPr>
            <w:r>
              <w:rPr>
                <w:rFonts w:cs="Arial"/>
                <w:b/>
                <w:color w:val="000000" w:themeColor="text1"/>
              </w:rPr>
              <w:t>Aluno com vínculo empregatício</w:t>
            </w:r>
          </w:p>
        </w:tc>
        <w:tc>
          <w:tcPr>
            <w:tcW w:w="16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b/>
                <w:b/>
                <w:color w:val="000000" w:themeColor="text1"/>
              </w:rPr>
            </w:pPr>
            <w:r>
              <w:rPr>
                <w:rFonts w:cs="Arial"/>
                <w:b/>
                <w:color w:val="000000" w:themeColor="text1"/>
              </w:rPr>
              <w:t>Aluno Bolsista UFVJM</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b/>
                <w:b/>
                <w:color w:val="000000" w:themeColor="text1"/>
              </w:rPr>
            </w:pPr>
            <w:r>
              <w:rPr>
                <w:rFonts w:cs="Arial"/>
                <w:b/>
                <w:color w:val="000000" w:themeColor="text1"/>
              </w:rPr>
              <w:t>Aluno Bolsista por Agências de Fomentos</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b/>
                <w:b/>
                <w:color w:val="000000" w:themeColor="text1"/>
              </w:rPr>
            </w:pPr>
            <w:r>
              <w:rPr>
                <w:rFonts w:cs="Arial"/>
                <w:b/>
                <w:color w:val="000000" w:themeColor="text1"/>
              </w:rPr>
              <w:t>Total de bolsas</w:t>
            </w:r>
          </w:p>
        </w:tc>
      </w:tr>
      <w:tr>
        <w:trPr>
          <w:trHeight w:val="51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2011</w:t>
            </w:r>
          </w:p>
        </w:tc>
        <w:tc>
          <w:tcPr>
            <w:tcW w:w="15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05</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48</w:t>
            </w:r>
          </w:p>
        </w:tc>
        <w:tc>
          <w:tcPr>
            <w:tcW w:w="16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35</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116</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151</w:t>
            </w:r>
          </w:p>
        </w:tc>
      </w:tr>
      <w:tr>
        <w:trPr>
          <w:trHeight w:val="51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2012</w:t>
            </w:r>
          </w:p>
        </w:tc>
        <w:tc>
          <w:tcPr>
            <w:tcW w:w="15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04</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70</w:t>
            </w:r>
          </w:p>
        </w:tc>
        <w:tc>
          <w:tcPr>
            <w:tcW w:w="16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70</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120</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190</w:t>
            </w:r>
          </w:p>
        </w:tc>
      </w:tr>
      <w:tr>
        <w:trPr>
          <w:trHeight w:val="45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2013</w:t>
            </w:r>
          </w:p>
        </w:tc>
        <w:tc>
          <w:tcPr>
            <w:tcW w:w="15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05</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67</w:t>
            </w:r>
          </w:p>
        </w:tc>
        <w:tc>
          <w:tcPr>
            <w:tcW w:w="16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69</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119</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188</w:t>
            </w:r>
          </w:p>
        </w:tc>
      </w:tr>
      <w:tr>
        <w:trPr>
          <w:trHeight w:val="54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2014</w:t>
            </w:r>
          </w:p>
        </w:tc>
        <w:tc>
          <w:tcPr>
            <w:tcW w:w="15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83</w:t>
            </w:r>
          </w:p>
        </w:tc>
        <w:tc>
          <w:tcPr>
            <w:tcW w:w="16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78</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138</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216</w:t>
            </w:r>
          </w:p>
        </w:tc>
      </w:tr>
      <w:tr>
        <w:trPr>
          <w:trHeight w:val="660"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2015</w:t>
            </w:r>
          </w:p>
        </w:tc>
        <w:tc>
          <w:tcPr>
            <w:tcW w:w="15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61</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167</w:t>
            </w:r>
          </w:p>
        </w:tc>
        <w:tc>
          <w:tcPr>
            <w:tcW w:w="16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80</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151</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231</w:t>
            </w:r>
          </w:p>
        </w:tc>
      </w:tr>
      <w:tr>
        <w:trPr>
          <w:trHeight w:val="675" w:hRule="atLeast"/>
        </w:trPr>
        <w:tc>
          <w:tcPr>
            <w:tcW w:w="13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2016</w:t>
            </w:r>
          </w:p>
        </w:tc>
        <w:tc>
          <w:tcPr>
            <w:tcW w:w="15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135</w:t>
            </w:r>
          </w:p>
        </w:tc>
        <w:tc>
          <w:tcPr>
            <w:tcW w:w="184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241</w:t>
            </w:r>
          </w:p>
        </w:tc>
        <w:tc>
          <w:tcPr>
            <w:tcW w:w="16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74</w:t>
            </w:r>
          </w:p>
        </w:tc>
        <w:tc>
          <w:tcPr>
            <w:tcW w:w="15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206</w:t>
            </w:r>
          </w:p>
        </w:tc>
        <w:tc>
          <w:tcPr>
            <w:tcW w:w="1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280</w:t>
            </w:r>
          </w:p>
        </w:tc>
      </w:tr>
    </w:tbl>
    <w:p>
      <w:pPr>
        <w:pStyle w:val="Default"/>
        <w:spacing w:lineRule="auto" w:line="360"/>
        <w:jc w:val="both"/>
        <w:rPr>
          <w:rFonts w:eastAsia="Calibri"/>
          <w:b/>
          <w:b/>
          <w:color w:val="000000" w:themeColor="text1"/>
        </w:rPr>
      </w:pPr>
      <w:r>
        <w:rPr>
          <w:rFonts w:eastAsia="Calibri"/>
          <w:b/>
          <w:color w:val="000000" w:themeColor="text1"/>
        </w:rPr>
      </w:r>
    </w:p>
    <w:p>
      <w:pPr>
        <w:pStyle w:val="Normal1"/>
        <w:spacing w:lineRule="auto" w:line="360"/>
        <w:jc w:val="both"/>
        <w:rPr>
          <w:rFonts w:ascii="Arial" w:hAnsi="Arial" w:cs="Arial"/>
          <w:color w:val="000000" w:themeColor="text1"/>
        </w:rPr>
      </w:pPr>
      <w:r>
        <w:rPr>
          <w:rFonts w:cs="Arial"/>
          <w:color w:val="000000" w:themeColor="text1"/>
        </w:rPr>
      </w:r>
    </w:p>
    <w:p>
      <w:pPr>
        <w:pStyle w:val="ListParagraph"/>
        <w:spacing w:lineRule="auto" w:line="360" w:before="0" w:after="0"/>
        <w:ind w:left="0" w:hanging="0"/>
        <w:contextualSpacing/>
        <w:jc w:val="both"/>
        <w:rPr>
          <w:rFonts w:ascii="Arial" w:hAnsi="Arial" w:cs="Arial"/>
        </w:rPr>
      </w:pPr>
      <w:r>
        <w:rPr>
          <w:rFonts w:cs="Arial"/>
          <w:b/>
          <w:bCs/>
          <w:color w:val="000000" w:themeColor="text1"/>
        </w:rPr>
        <w:t xml:space="preserve">2.9.3. Avaliação do Ensino de Pós-Graduação </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708"/>
        <w:jc w:val="both"/>
        <w:rPr>
          <w:rFonts w:ascii="Arial" w:hAnsi="Arial" w:cs="Arial"/>
          <w:color w:val="000000" w:themeColor="text1"/>
        </w:rPr>
      </w:pPr>
      <w:r>
        <w:rPr>
          <w:rFonts w:cs="Arial"/>
          <w:color w:val="000000" w:themeColor="text1"/>
        </w:rPr>
        <w:t xml:space="preserve">Com o objetivo de alcançar patamares superiores de qualidade nos cursos de pós-graduação da UFVJM, nas modalidades </w:t>
      </w:r>
      <w:r>
        <w:rPr>
          <w:rFonts w:cs="Arial"/>
          <w:i/>
          <w:iCs/>
          <w:color w:val="000000" w:themeColor="text1"/>
        </w:rPr>
        <w:t xml:space="preserve">stricto </w:t>
      </w:r>
      <w:r>
        <w:rPr>
          <w:rFonts w:cs="Arial"/>
          <w:color w:val="000000" w:themeColor="text1"/>
        </w:rPr>
        <w:t xml:space="preserve">e </w:t>
      </w:r>
      <w:r>
        <w:rPr>
          <w:rFonts w:cs="Arial"/>
          <w:i/>
          <w:iCs/>
          <w:color w:val="000000" w:themeColor="text1"/>
        </w:rPr>
        <w:t>lato sensu</w:t>
      </w:r>
      <w:r>
        <w:rPr>
          <w:rFonts w:cs="Arial"/>
          <w:color w:val="000000" w:themeColor="text1"/>
        </w:rPr>
        <w:t>, os programas atendem rigorosamente à legislação vigente. Na mesma direção, implementam estratégias permanentes de avaliação dos seus cursos, aperfeiçoando os instrumentos destinados à avaliação. Além disso, promovem encontros periódicos entre a PRPPG e os coordenadores dos cursos, a fim de divulgar orientações necessárias ao bom funcionamento dos cursos.</w:t>
      </w:r>
    </w:p>
    <w:p>
      <w:pPr>
        <w:pStyle w:val="Caption"/>
        <w:spacing w:lineRule="auto" w:line="360" w:before="0" w:after="0"/>
        <w:jc w:val="both"/>
        <w:rPr>
          <w:rFonts w:ascii="Arial" w:hAnsi="Arial" w:eastAsia="Calibri" w:cs="Arial"/>
          <w:color w:val="000000" w:themeColor="text1"/>
        </w:rPr>
      </w:pPr>
      <w:r>
        <w:rPr>
          <w:rFonts w:eastAsia="Calibri" w:cs="Arial"/>
          <w:color w:val="000000" w:themeColor="text1"/>
        </w:rPr>
      </w:r>
    </w:p>
    <w:p>
      <w:pPr>
        <w:pStyle w:val="ListParagraph"/>
        <w:spacing w:lineRule="auto" w:line="360" w:before="0" w:after="0"/>
        <w:ind w:left="0" w:hanging="0"/>
        <w:contextualSpacing/>
        <w:jc w:val="both"/>
        <w:rPr>
          <w:rFonts w:ascii="Arial" w:hAnsi="Arial" w:cs="Arial"/>
        </w:rPr>
      </w:pPr>
      <w:r>
        <w:rPr>
          <w:rFonts w:cs="Arial"/>
          <w:b/>
          <w:bCs/>
          <w:color w:val="000000" w:themeColor="text1"/>
        </w:rPr>
        <w:t xml:space="preserve">2.9.4. Política de Pesquisa </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Default"/>
        <w:spacing w:lineRule="auto" w:line="360"/>
        <w:ind w:firstLine="708"/>
        <w:jc w:val="both"/>
        <w:rPr>
          <w:color w:val="000000" w:themeColor="text1"/>
        </w:rPr>
      </w:pPr>
      <w:r>
        <w:rPr>
          <w:color w:val="000000" w:themeColor="text1"/>
        </w:rPr>
        <w:t xml:space="preserve">A Diretoria de Pesquisa da PRPPG tem como objetivos: a) incentivar as iniciativas de pesquisa na instituição; b) buscar condições para o desenvolvimento de pesquisas; c) fomentar a formação de grupos de pesquisa; d) coordenar os programas de iniciação científica, juntamente com a Comissão de Iniciação Científica Institucional; </w:t>
      </w:r>
      <w:r>
        <w:rPr>
          <w:color w:val="000000" w:themeColor="text1"/>
          <w:highlight w:val="lightGray"/>
        </w:rPr>
        <w:t>e</w:t>
      </w:r>
      <w:r>
        <w:rPr>
          <w:color w:val="000000" w:themeColor="text1"/>
        </w:rPr>
        <w:t xml:space="preserve"> e) estabelecer uma política de apoio à pesquisa junto aos órgãos financiadores de projetos de pesquisa. </w:t>
      </w:r>
    </w:p>
    <w:p>
      <w:pPr>
        <w:pStyle w:val="Default"/>
        <w:spacing w:lineRule="auto" w:line="360"/>
        <w:ind w:firstLine="708"/>
        <w:jc w:val="both"/>
        <w:rPr>
          <w:color w:val="000000" w:themeColor="text1"/>
        </w:rPr>
      </w:pPr>
      <w:r>
        <w:rPr>
          <w:color w:val="000000" w:themeColor="text1"/>
          <w:highlight w:val="cyan"/>
        </w:rPr>
        <w:t>(SOLICITANTE: LEIDA – PROGRAD)</w:t>
      </w:r>
    </w:p>
    <w:p>
      <w:pPr>
        <w:pStyle w:val="Default"/>
        <w:spacing w:lineRule="auto" w:line="360"/>
        <w:ind w:firstLine="708"/>
        <w:jc w:val="both"/>
        <w:rPr>
          <w:color w:val="0070C0"/>
        </w:rPr>
      </w:pPr>
      <w:r>
        <w:rPr>
          <w:color w:val="0070C0"/>
        </w:rPr>
        <w:t>f) fomentar a indissociabilidade entre pesquisa, ensino e extensão.</w:t>
      </w:r>
    </w:p>
    <w:p>
      <w:pPr>
        <w:pStyle w:val="Default"/>
        <w:spacing w:lineRule="auto" w:line="360"/>
        <w:ind w:firstLine="708"/>
        <w:jc w:val="both"/>
        <w:rPr>
          <w:color w:val="000000" w:themeColor="text1"/>
        </w:rPr>
      </w:pPr>
      <w:r>
        <w:rPr>
          <w:color w:val="000000" w:themeColor="text1"/>
        </w:rPr>
      </w:r>
    </w:p>
    <w:p>
      <w:pPr>
        <w:pStyle w:val="Default"/>
        <w:spacing w:lineRule="auto" w:line="360"/>
        <w:ind w:firstLine="708"/>
        <w:jc w:val="both"/>
        <w:rPr>
          <w:color w:val="000000" w:themeColor="text1"/>
        </w:rPr>
      </w:pPr>
      <w:r>
        <w:rPr>
          <w:color w:val="000000" w:themeColor="text1"/>
        </w:rPr>
        <w:t xml:space="preserve">Nos registros acadêmicos da Pró-Reitoria de Pesquisa e Pós-Graduação da UFVJM constam 2261 projetos de pesquisa entre 2011 e 2015 submetidos (Tabela 6 e, no ano de 2016, 710 projetos de pesquisa em andamento. </w:t>
      </w:r>
    </w:p>
    <w:p>
      <w:pPr>
        <w:pStyle w:val="Default"/>
        <w:spacing w:lineRule="auto" w:line="360"/>
        <w:jc w:val="both"/>
        <w:rPr>
          <w:rFonts w:eastAsia="Calibri"/>
          <w:color w:val="000000" w:themeColor="text1"/>
        </w:rPr>
      </w:pPr>
      <w:r>
        <w:rPr>
          <w:rFonts w:eastAsia="Calibri"/>
          <w:color w:val="000000" w:themeColor="text1"/>
        </w:rPr>
      </w:r>
    </w:p>
    <w:p>
      <w:pPr>
        <w:pStyle w:val="Normal1"/>
        <w:spacing w:lineRule="auto" w:line="360"/>
        <w:jc w:val="both"/>
        <w:rPr>
          <w:rFonts w:ascii="Arial" w:hAnsi="Arial" w:cs="Arial"/>
          <w:color w:val="000000" w:themeColor="text1"/>
        </w:rPr>
      </w:pPr>
      <w:r>
        <w:rPr>
          <w:rFonts w:cs="Arial"/>
          <w:b/>
          <w:color w:val="000000" w:themeColor="text1"/>
        </w:rPr>
        <w:t>Tabela 6</w:t>
      </w:r>
      <w:r>
        <w:rPr>
          <w:rFonts w:cs="Arial"/>
          <w:color w:val="000000" w:themeColor="text1"/>
        </w:rPr>
        <w:t>-Projetos de pesquisa registrados na PRPPG - 2011-2016</w:t>
      </w:r>
    </w:p>
    <w:p>
      <w:pPr>
        <w:pStyle w:val="Normal1"/>
        <w:spacing w:lineRule="auto" w:line="360"/>
        <w:jc w:val="both"/>
        <w:rPr>
          <w:rFonts w:ascii="Arial" w:hAnsi="Arial" w:cs="Arial"/>
          <w:color w:val="000000" w:themeColor="text1"/>
        </w:rPr>
      </w:pPr>
      <w:r>
        <w:rPr>
          <w:rFonts w:cs="Arial"/>
          <w:color w:val="000000" w:themeColor="text1"/>
        </w:rPr>
      </w:r>
    </w:p>
    <w:tbl>
      <w:tblPr>
        <w:tblW w:w="7805" w:type="dxa"/>
        <w:jc w:val="left"/>
        <w:tblInd w:w="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Look w:val="04a0"/>
      </w:tblPr>
      <w:tblGrid>
        <w:gridCol w:w="2849"/>
        <w:gridCol w:w="824"/>
        <w:gridCol w:w="825"/>
        <w:gridCol w:w="826"/>
        <w:gridCol w:w="826"/>
        <w:gridCol w:w="825"/>
        <w:gridCol w:w="829"/>
      </w:tblGrid>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Área de Conhecimento</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2011</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2012</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2013</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2014</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2015</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2016</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Ciências Agrárias</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103</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101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120</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164</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137</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163</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Ciências Biológicas</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32</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31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44</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28</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68</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Ciências da Saúde</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55</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105</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103</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140</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140</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150</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Ciências Exatas e da Terra</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80</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85</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73</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85</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89</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95</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Ciências Humanas</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21</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20</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29</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98</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65</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106</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Ciências Sociais Aplicadas</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25</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19</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26</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32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22</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43</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Engenharias</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6</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8</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28</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42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33</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70</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Linguística Letras e Artes</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5</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12</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17</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15</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15</w:t>
            </w:r>
          </w:p>
        </w:tc>
      </w:tr>
      <w:tr>
        <w:trPr>
          <w:trHeight w:val="255" w:hRule="atLeast"/>
        </w:trPr>
        <w:tc>
          <w:tcPr>
            <w:tcW w:w="2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1"/>
              <w:spacing w:lineRule="auto" w:line="360" w:before="0" w:after="200"/>
              <w:jc w:val="both"/>
              <w:rPr>
                <w:rFonts w:ascii="Arial" w:hAnsi="Arial" w:cs="Arial"/>
                <w:color w:val="000000" w:themeColor="text1"/>
              </w:rPr>
            </w:pPr>
            <w:r>
              <w:rPr>
                <w:rFonts w:cs="Arial"/>
                <w:color w:val="000000" w:themeColor="text1"/>
              </w:rPr>
              <w:t>Total</w:t>
            </w:r>
          </w:p>
        </w:tc>
        <w:tc>
          <w:tcPr>
            <w:tcW w:w="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317</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371</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422</w:t>
            </w:r>
          </w:p>
        </w:tc>
        <w:tc>
          <w:tcPr>
            <w:tcW w:w="8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622</w:t>
            </w:r>
          </w:p>
        </w:tc>
        <w:tc>
          <w:tcPr>
            <w:tcW w:w="8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529</w:t>
            </w:r>
          </w:p>
        </w:tc>
        <w:tc>
          <w:tcPr>
            <w:tcW w:w="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tcPr>
          <w:p>
            <w:pPr>
              <w:pStyle w:val="Normal1"/>
              <w:spacing w:lineRule="auto" w:line="360" w:before="0" w:after="200"/>
              <w:jc w:val="both"/>
              <w:rPr>
                <w:rFonts w:ascii="Arial" w:hAnsi="Arial" w:cs="Arial"/>
                <w:color w:val="000000" w:themeColor="text1"/>
              </w:rPr>
            </w:pPr>
            <w:r>
              <w:rPr>
                <w:rFonts w:cs="Arial"/>
                <w:color w:val="000000" w:themeColor="text1"/>
              </w:rPr>
              <w:t>710</w:t>
            </w:r>
          </w:p>
        </w:tc>
      </w:tr>
    </w:tbl>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spacing w:lineRule="auto" w:line="360" w:before="0" w:after="0"/>
        <w:ind w:left="0" w:hanging="0"/>
        <w:contextualSpacing/>
        <w:jc w:val="both"/>
        <w:rPr>
          <w:rFonts w:ascii="Arial" w:hAnsi="Arial" w:cs="Arial"/>
        </w:rPr>
      </w:pPr>
      <w:r>
        <w:rPr>
          <w:rFonts w:cs="Arial"/>
          <w:b/>
          <w:color w:val="000000" w:themeColor="text1"/>
        </w:rPr>
        <w:t>2.9.4.1. Projetos de Pesquisa Aprovados via Editais do FINEP e Pró-Equipamentos</w:t>
      </w:r>
    </w:p>
    <w:p>
      <w:pPr>
        <w:pStyle w:val="Normal1"/>
        <w:shd w:val="clear" w:color="auto" w:fill="FFFFFF"/>
        <w:spacing w:lineRule="auto" w:line="360"/>
        <w:ind w:firstLine="708"/>
        <w:jc w:val="both"/>
        <w:rPr>
          <w:rFonts w:ascii="Arial" w:hAnsi="Arial" w:cs="Arial"/>
          <w:color w:val="000000" w:themeColor="text1"/>
        </w:rPr>
      </w:pPr>
      <w:r>
        <w:rPr>
          <w:rFonts w:cs="Arial"/>
          <w:color w:val="000000" w:themeColor="text1"/>
        </w:rPr>
        <w:t>Corroborando com os incentivos às iniciativas de pesquisa na instituição, a Pro-Reitoria de Pesquisa e Pós-Graduação subsidia o apoio administrativo e gerencial de projetos aprovados.</w:t>
      </w:r>
    </w:p>
    <w:p>
      <w:pPr>
        <w:pStyle w:val="Normal1"/>
        <w:shd w:val="clear" w:color="auto" w:fill="FFFFFF"/>
        <w:spacing w:lineRule="auto" w:line="360"/>
        <w:ind w:firstLine="708"/>
        <w:jc w:val="both"/>
        <w:rPr>
          <w:rFonts w:ascii="Arial" w:hAnsi="Arial" w:cs="Arial"/>
          <w:color w:val="000000" w:themeColor="text1"/>
        </w:rPr>
      </w:pPr>
      <w:r>
        <w:rPr>
          <w:rFonts w:cs="Arial"/>
          <w:color w:val="000000" w:themeColor="text1"/>
        </w:rPr>
      </w:r>
    </w:p>
    <w:p>
      <w:pPr>
        <w:pStyle w:val="Normal1"/>
        <w:shd w:val="clear" w:color="auto" w:fill="FFFFFF"/>
        <w:spacing w:lineRule="auto" w:line="360"/>
        <w:jc w:val="both"/>
        <w:rPr>
          <w:rFonts w:ascii="Arial" w:hAnsi="Arial" w:cs="Arial"/>
          <w:color w:val="000000" w:themeColor="text1"/>
        </w:rPr>
      </w:pPr>
      <w:r>
        <w:rPr>
          <w:rFonts w:cs="Arial"/>
          <w:color w:val="000000" w:themeColor="text1"/>
        </w:rPr>
      </w:r>
    </w:p>
    <w:p>
      <w:pPr>
        <w:pStyle w:val="Normal1"/>
        <w:shd w:val="clear" w:color="auto" w:fill="FFFFFF"/>
        <w:spacing w:lineRule="auto" w:line="360"/>
        <w:jc w:val="both"/>
        <w:rPr>
          <w:rFonts w:ascii="Arial" w:hAnsi="Arial" w:cs="Arial"/>
          <w:b/>
          <w:b/>
          <w:color w:val="000000" w:themeColor="text1"/>
        </w:rPr>
      </w:pPr>
      <w:r>
        <w:rPr>
          <w:rFonts w:cs="Arial"/>
          <w:b/>
          <w:color w:val="000000" w:themeColor="text1"/>
        </w:rPr>
        <w:t>FINEP</w:t>
      </w:r>
    </w:p>
    <w:p>
      <w:pPr>
        <w:pStyle w:val="Normal1"/>
        <w:shd w:val="clear" w:color="auto" w:fill="FFFFFF"/>
        <w:spacing w:lineRule="auto" w:line="360"/>
        <w:jc w:val="both"/>
        <w:rPr>
          <w:rFonts w:ascii="Arial" w:hAnsi="Arial" w:cs="Arial"/>
          <w:color w:val="000000" w:themeColor="text1"/>
        </w:rPr>
      </w:pPr>
      <w:r>
        <w:rPr>
          <w:rFonts w:cs="Arial"/>
          <w:color w:val="000000" w:themeColor="text1"/>
        </w:rPr>
        <w:t> </w:t>
      </w:r>
      <w:r>
        <w:rPr>
          <w:rFonts w:cs="Arial"/>
          <w:color w:val="000000" w:themeColor="text1"/>
          <w:highlight w:val="cyan"/>
        </w:rPr>
        <w:t>(SOLICITANTE: TAs JANAÚBA)</w:t>
      </w:r>
    </w:p>
    <w:p>
      <w:pPr>
        <w:pStyle w:val="Normal1"/>
        <w:shd w:val="clear" w:color="auto" w:fill="FFFFFF"/>
        <w:spacing w:lineRule="auto" w:line="360"/>
        <w:ind w:firstLine="360"/>
        <w:jc w:val="both"/>
        <w:rPr>
          <w:rFonts w:ascii="Arial" w:hAnsi="Arial" w:cs="Arial"/>
          <w:color w:val="0070C0"/>
        </w:rPr>
      </w:pPr>
      <w:r>
        <w:rPr>
          <w:rFonts w:cs="Arial"/>
          <w:color w:val="0070C0"/>
        </w:rPr>
        <w:t>Por extenso o que é finep, ou um parágrafo introdutório</w:t>
      </w:r>
    </w:p>
    <w:p>
      <w:pPr>
        <w:pStyle w:val="ListParagraph"/>
        <w:numPr>
          <w:ilvl w:val="0"/>
          <w:numId w:val="5"/>
        </w:numPr>
        <w:shd w:val="clear" w:color="auto" w:fill="FFFFFF"/>
        <w:spacing w:lineRule="auto" w:line="360" w:before="0" w:after="0"/>
        <w:contextualSpacing/>
        <w:jc w:val="both"/>
        <w:rPr>
          <w:rFonts w:ascii="Arial" w:hAnsi="Arial" w:cs="Arial"/>
          <w:color w:val="000000" w:themeColor="text1"/>
        </w:rPr>
      </w:pPr>
      <w:r>
        <w:rPr>
          <w:rFonts w:cs="Arial"/>
          <w:color w:val="000000" w:themeColor="text1"/>
        </w:rPr>
        <w:t>Convênio 01.12.0208.00: R$ 750.767,00  assinatura do convênio no dia </w:t>
      </w:r>
      <w:r>
        <w:rPr>
          <w:rFonts w:cs="Arial"/>
          <w:b/>
          <w:bCs/>
          <w:color w:val="000000" w:themeColor="text1"/>
        </w:rPr>
        <w:t>19/06/2012</w:t>
      </w:r>
    </w:p>
    <w:p>
      <w:pPr>
        <w:pStyle w:val="ListParagraph"/>
        <w:numPr>
          <w:ilvl w:val="0"/>
          <w:numId w:val="5"/>
        </w:numPr>
        <w:shd w:val="clear" w:color="auto" w:fill="FFFFFF"/>
        <w:spacing w:lineRule="auto" w:line="360" w:before="0" w:after="0"/>
        <w:contextualSpacing/>
        <w:jc w:val="both"/>
        <w:rPr>
          <w:rFonts w:ascii="Arial" w:hAnsi="Arial" w:cs="Arial"/>
          <w:color w:val="000000" w:themeColor="text1"/>
        </w:rPr>
      </w:pPr>
      <w:r>
        <w:rPr>
          <w:rFonts w:cs="Arial"/>
          <w:color w:val="000000" w:themeColor="text1"/>
        </w:rPr>
        <w:t>Convênio 01.12.0443.00: R$ 1.989.130,00 assinatura do convênio no dia  </w:t>
      </w:r>
      <w:r>
        <w:rPr>
          <w:rFonts w:cs="Arial"/>
          <w:b/>
          <w:bCs/>
          <w:color w:val="000000" w:themeColor="text1"/>
        </w:rPr>
        <w:t>13/11/2012</w:t>
      </w:r>
    </w:p>
    <w:p>
      <w:pPr>
        <w:pStyle w:val="ListParagraph"/>
        <w:numPr>
          <w:ilvl w:val="0"/>
          <w:numId w:val="5"/>
        </w:numPr>
        <w:shd w:val="clear" w:color="auto" w:fill="FFFFFF"/>
        <w:spacing w:lineRule="auto" w:line="360" w:before="0" w:after="0"/>
        <w:contextualSpacing/>
        <w:jc w:val="both"/>
        <w:rPr>
          <w:rFonts w:ascii="Arial" w:hAnsi="Arial" w:cs="Arial"/>
          <w:color w:val="000000" w:themeColor="text1"/>
        </w:rPr>
      </w:pPr>
      <w:r>
        <w:rPr>
          <w:rFonts w:cs="Arial"/>
          <w:color w:val="000000" w:themeColor="text1"/>
        </w:rPr>
        <w:t>Convênio 01.14.0115.00: R$ 2.806.046,00 assinatura do convênio no dia </w:t>
      </w:r>
      <w:r>
        <w:rPr>
          <w:rFonts w:cs="Arial"/>
          <w:b/>
          <w:bCs/>
          <w:color w:val="000000" w:themeColor="text1"/>
        </w:rPr>
        <w:t>08/05/2014</w:t>
      </w:r>
    </w:p>
    <w:p>
      <w:pPr>
        <w:pStyle w:val="Normal1"/>
        <w:shd w:val="clear" w:color="auto" w:fill="FFFFFF"/>
        <w:spacing w:lineRule="auto" w:line="360"/>
        <w:jc w:val="both"/>
        <w:rPr>
          <w:rFonts w:ascii="Arial" w:hAnsi="Arial" w:cs="Arial"/>
          <w:b/>
          <w:b/>
          <w:color w:val="000000" w:themeColor="text1"/>
        </w:rPr>
      </w:pPr>
      <w:r>
        <w:rPr>
          <w:rFonts w:cs="Arial"/>
          <w:b/>
          <w:color w:val="000000" w:themeColor="text1"/>
        </w:rPr>
        <w:t>Sub-total:  R$ 5.545.943,00</w:t>
      </w:r>
    </w:p>
    <w:p>
      <w:pPr>
        <w:pStyle w:val="Normal1"/>
        <w:shd w:val="clear" w:color="auto" w:fill="FFFFFF"/>
        <w:spacing w:lineRule="auto" w:line="360"/>
        <w:jc w:val="both"/>
        <w:rPr>
          <w:rFonts w:ascii="Arial" w:hAnsi="Arial" w:cs="Arial"/>
          <w:b/>
          <w:b/>
          <w:color w:val="000000" w:themeColor="text1"/>
        </w:rPr>
      </w:pPr>
      <w:r>
        <w:rPr>
          <w:rFonts w:cs="Arial"/>
          <w:b/>
          <w:color w:val="000000" w:themeColor="text1"/>
        </w:rPr>
      </w:r>
    </w:p>
    <w:p>
      <w:pPr>
        <w:pStyle w:val="Normal1"/>
        <w:shd w:val="clear" w:color="auto" w:fill="FFFFFF"/>
        <w:spacing w:lineRule="auto" w:line="360"/>
        <w:jc w:val="both"/>
        <w:rPr>
          <w:rFonts w:ascii="Arial" w:hAnsi="Arial" w:cs="Arial"/>
          <w:color w:val="000000" w:themeColor="text1"/>
        </w:rPr>
      </w:pPr>
      <w:r>
        <w:rPr>
          <w:rFonts w:cs="Arial"/>
          <w:b/>
          <w:color w:val="000000" w:themeColor="text1"/>
        </w:rPr>
        <w:t>PRÓ-EQUIPAMENTOS</w:t>
      </w:r>
      <w:r>
        <w:rPr>
          <w:rFonts w:cs="Arial"/>
          <w:color w:val="000000" w:themeColor="text1"/>
        </w:rPr>
        <w:t> </w:t>
      </w:r>
    </w:p>
    <w:p>
      <w:pPr>
        <w:pStyle w:val="Normal1"/>
        <w:shd w:val="clear" w:color="auto" w:fill="FFFFFF"/>
        <w:spacing w:lineRule="auto" w:line="360"/>
        <w:jc w:val="both"/>
        <w:rPr>
          <w:rFonts w:ascii="Arial" w:hAnsi="Arial" w:cs="Arial"/>
          <w:color w:val="000000" w:themeColor="text1"/>
        </w:rPr>
      </w:pPr>
      <w:r>
        <w:rPr>
          <w:rFonts w:cs="Arial"/>
          <w:color w:val="000000" w:themeColor="text1"/>
        </w:rPr>
      </w:r>
    </w:p>
    <w:p>
      <w:pPr>
        <w:pStyle w:val="ListParagraph"/>
        <w:numPr>
          <w:ilvl w:val="0"/>
          <w:numId w:val="6"/>
        </w:numPr>
        <w:shd w:val="clear" w:color="auto" w:fill="FFFFFF"/>
        <w:spacing w:lineRule="auto" w:line="360" w:before="0" w:after="0"/>
        <w:contextualSpacing/>
        <w:jc w:val="both"/>
        <w:rPr>
          <w:rFonts w:ascii="Arial" w:hAnsi="Arial" w:cs="Arial"/>
          <w:color w:val="000000" w:themeColor="text1"/>
        </w:rPr>
      </w:pPr>
      <w:r>
        <w:rPr>
          <w:rFonts w:cs="Arial"/>
          <w:color w:val="000000" w:themeColor="text1"/>
        </w:rPr>
        <w:t>Edital 25/2011: R$ 359.739,75</w:t>
      </w:r>
    </w:p>
    <w:p>
      <w:pPr>
        <w:pStyle w:val="ListParagraph"/>
        <w:numPr>
          <w:ilvl w:val="0"/>
          <w:numId w:val="6"/>
        </w:numPr>
        <w:shd w:val="clear" w:color="auto" w:fill="FFFFFF"/>
        <w:spacing w:lineRule="auto" w:line="360" w:before="0" w:after="0"/>
        <w:contextualSpacing/>
        <w:jc w:val="both"/>
        <w:rPr>
          <w:rFonts w:ascii="Arial" w:hAnsi="Arial" w:cs="Arial"/>
          <w:color w:val="000000" w:themeColor="text1"/>
        </w:rPr>
      </w:pPr>
      <w:r>
        <w:rPr>
          <w:rFonts w:cs="Arial"/>
          <w:color w:val="000000" w:themeColor="text1"/>
        </w:rPr>
        <w:t>Edital 24/2012: R$ 499.878,00</w:t>
      </w:r>
    </w:p>
    <w:p>
      <w:pPr>
        <w:pStyle w:val="ListParagraph"/>
        <w:numPr>
          <w:ilvl w:val="0"/>
          <w:numId w:val="6"/>
        </w:numPr>
        <w:shd w:val="clear" w:color="auto" w:fill="FFFFFF"/>
        <w:spacing w:lineRule="auto" w:line="360" w:before="0" w:after="0"/>
        <w:contextualSpacing/>
        <w:jc w:val="both"/>
        <w:rPr>
          <w:rFonts w:ascii="Arial" w:hAnsi="Arial" w:cs="Arial"/>
          <w:color w:val="000000" w:themeColor="text1"/>
        </w:rPr>
      </w:pPr>
      <w:r>
        <w:rPr>
          <w:rFonts w:cs="Arial"/>
          <w:color w:val="000000" w:themeColor="text1"/>
        </w:rPr>
        <w:t>Edital 27/2013: R$ 548.407,12</w:t>
      </w:r>
    </w:p>
    <w:p>
      <w:pPr>
        <w:pStyle w:val="ListParagraph"/>
        <w:numPr>
          <w:ilvl w:val="0"/>
          <w:numId w:val="6"/>
        </w:numPr>
        <w:shd w:val="clear" w:color="auto" w:fill="FFFFFF"/>
        <w:spacing w:lineRule="auto" w:line="360" w:before="0" w:after="0"/>
        <w:contextualSpacing/>
        <w:jc w:val="both"/>
        <w:rPr>
          <w:rFonts w:ascii="Arial" w:hAnsi="Arial" w:cs="Arial"/>
          <w:color w:val="000000" w:themeColor="text1"/>
        </w:rPr>
      </w:pPr>
      <w:r>
        <w:rPr>
          <w:rFonts w:cs="Arial"/>
          <w:color w:val="000000" w:themeColor="text1"/>
        </w:rPr>
        <w:t>Edital 11/2014: R$ 395.993,95</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Sub-total: R$ 1.804.018,82</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Projetos Editais FAPEMIG</w:t>
      </w:r>
    </w:p>
    <w:tbl>
      <w:tblPr>
        <w:tblStyle w:val="Tabelacomgrade"/>
        <w:tblW w:w="5353" w:type="dxa"/>
        <w:jc w:val="left"/>
        <w:tblInd w:w="-5" w:type="dxa"/>
        <w:tblCellMar>
          <w:top w:w="0" w:type="dxa"/>
          <w:left w:w="103" w:type="dxa"/>
          <w:bottom w:w="0" w:type="dxa"/>
          <w:right w:w="108" w:type="dxa"/>
        </w:tblCellMar>
        <w:tblLook w:val="04a0"/>
      </w:tblPr>
      <w:tblGrid>
        <w:gridCol w:w="1807"/>
        <w:gridCol w:w="1558"/>
        <w:gridCol w:w="1988"/>
      </w:tblGrid>
      <w:tr>
        <w:trPr/>
        <w:tc>
          <w:tcPr>
            <w:tcW w:w="5353" w:type="dxa"/>
            <w:gridSpan w:val="3"/>
            <w:tcBorders/>
            <w:shd w:color="auto" w:fill="auto" w:val="clear"/>
            <w:tcMar>
              <w:left w:w="103" w:type="dxa"/>
            </w:tcMar>
            <w:vAlign w:val="center"/>
          </w:tcPr>
          <w:p>
            <w:pPr>
              <w:pStyle w:val="Normal1"/>
              <w:spacing w:lineRule="auto" w:line="360" w:before="0" w:after="200"/>
              <w:jc w:val="center"/>
              <w:rPr>
                <w:rFonts w:ascii="Arial" w:hAnsi="Arial" w:cs="Arial"/>
                <w:b/>
                <w:b/>
                <w:color w:val="000000" w:themeColor="text1"/>
              </w:rPr>
            </w:pPr>
            <w:r>
              <w:rPr>
                <w:rFonts w:eastAsia="Calibri" w:cs="Arial"/>
                <w:b/>
                <w:color w:val="000000" w:themeColor="text1"/>
                <w:lang w:eastAsia="en-US"/>
              </w:rPr>
              <w:t>Projetos Aprovados Editais FAPEMIG</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Ano</w:t>
            </w:r>
          </w:p>
        </w:tc>
        <w:tc>
          <w:tcPr>
            <w:tcW w:w="1558"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Nº Projetos</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Valor Total (R$)</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2012</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39</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1.875.062,87</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2013</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41</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1.116.039,34</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2014</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35</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745.393,71</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2015</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57</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9.107.196,49</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2016</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19</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1.194.761,41</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Total</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b/>
                <w:b/>
                <w:color w:val="000000" w:themeColor="text1"/>
              </w:rPr>
            </w:pPr>
            <w:r>
              <w:rPr>
                <w:rFonts w:eastAsia="Calibri" w:cs="Arial"/>
                <w:b/>
                <w:color w:val="000000" w:themeColor="text1"/>
                <w:lang w:eastAsia="en-US"/>
              </w:rPr>
              <w:t>191</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14.038.453,82</w:t>
            </w:r>
          </w:p>
        </w:tc>
      </w:tr>
    </w:tbl>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Projetos Editais CNPq</w:t>
      </w:r>
    </w:p>
    <w:tbl>
      <w:tblPr>
        <w:tblStyle w:val="Tabelacomgrade"/>
        <w:tblW w:w="5353" w:type="dxa"/>
        <w:jc w:val="left"/>
        <w:tblInd w:w="-5" w:type="dxa"/>
        <w:tblCellMar>
          <w:top w:w="0" w:type="dxa"/>
          <w:left w:w="103" w:type="dxa"/>
          <w:bottom w:w="0" w:type="dxa"/>
          <w:right w:w="108" w:type="dxa"/>
        </w:tblCellMar>
        <w:tblLook w:val="04a0"/>
      </w:tblPr>
      <w:tblGrid>
        <w:gridCol w:w="1807"/>
        <w:gridCol w:w="1558"/>
        <w:gridCol w:w="1988"/>
      </w:tblGrid>
      <w:tr>
        <w:trPr/>
        <w:tc>
          <w:tcPr>
            <w:tcW w:w="5353" w:type="dxa"/>
            <w:gridSpan w:val="3"/>
            <w:tcBorders/>
            <w:shd w:color="auto" w:fill="auto" w:val="clear"/>
            <w:tcMar>
              <w:left w:w="103" w:type="dxa"/>
            </w:tcMar>
            <w:vAlign w:val="center"/>
          </w:tcPr>
          <w:p>
            <w:pPr>
              <w:pStyle w:val="Normal1"/>
              <w:spacing w:lineRule="auto" w:line="360" w:before="0" w:after="200"/>
              <w:jc w:val="center"/>
              <w:rPr>
                <w:rFonts w:ascii="Arial" w:hAnsi="Arial" w:cs="Arial"/>
                <w:b/>
                <w:b/>
                <w:color w:val="000000" w:themeColor="text1"/>
              </w:rPr>
            </w:pPr>
            <w:r>
              <w:rPr>
                <w:rFonts w:eastAsia="Calibri" w:cs="Arial"/>
                <w:b/>
                <w:color w:val="000000" w:themeColor="text1"/>
                <w:lang w:eastAsia="en-US"/>
              </w:rPr>
              <w:t>Projetos Aprovados Editais CNPq</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Ano</w:t>
            </w:r>
          </w:p>
        </w:tc>
        <w:tc>
          <w:tcPr>
            <w:tcW w:w="1558"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Nº Projetos</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Valor Total (R$)</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2012</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16</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1.697.939,00</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2013</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17</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1.777.725,72</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2014</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9</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732.764,00</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2015</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14</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277.200,00</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2016</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color w:val="000000" w:themeColor="text1"/>
              </w:rPr>
            </w:pPr>
            <w:r>
              <w:rPr>
                <w:rFonts w:eastAsia="Calibri" w:cs="Arial"/>
                <w:color w:val="000000" w:themeColor="text1"/>
                <w:lang w:eastAsia="en-US"/>
              </w:rPr>
              <w:t>9</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color w:val="000000" w:themeColor="text1"/>
              </w:rPr>
            </w:pPr>
            <w:r>
              <w:rPr>
                <w:rFonts w:eastAsia="Calibri" w:cs="Arial"/>
                <w:color w:val="000000" w:themeColor="text1"/>
                <w:lang w:eastAsia="en-US"/>
              </w:rPr>
              <w:t>404.400,00</w:t>
            </w:r>
          </w:p>
        </w:tc>
      </w:tr>
      <w:tr>
        <w:trPr/>
        <w:tc>
          <w:tcPr>
            <w:tcW w:w="1807"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Total</w:t>
            </w:r>
          </w:p>
        </w:tc>
        <w:tc>
          <w:tcPr>
            <w:tcW w:w="1558" w:type="dxa"/>
            <w:tcBorders/>
            <w:shd w:color="auto" w:fill="auto" w:val="clear"/>
            <w:tcMar>
              <w:left w:w="103" w:type="dxa"/>
            </w:tcMar>
            <w:vAlign w:val="center"/>
          </w:tcPr>
          <w:p>
            <w:pPr>
              <w:pStyle w:val="Normal1"/>
              <w:spacing w:lineRule="auto" w:line="240" w:before="0" w:after="200"/>
              <w:jc w:val="center"/>
              <w:rPr>
                <w:rFonts w:ascii="Arial" w:hAnsi="Arial" w:cs="Arial"/>
                <w:b/>
                <w:b/>
                <w:color w:val="000000" w:themeColor="text1"/>
              </w:rPr>
            </w:pPr>
            <w:r>
              <w:rPr>
                <w:rFonts w:eastAsia="Calibri" w:cs="Arial"/>
                <w:b/>
                <w:color w:val="000000" w:themeColor="text1"/>
                <w:lang w:eastAsia="en-US"/>
              </w:rPr>
              <w:t>65</w:t>
            </w:r>
          </w:p>
        </w:tc>
        <w:tc>
          <w:tcPr>
            <w:tcW w:w="1988" w:type="dxa"/>
            <w:tcBorders/>
            <w:shd w:color="auto" w:fill="auto" w:val="clear"/>
            <w:tcMar>
              <w:left w:w="103" w:type="dxa"/>
            </w:tcMar>
            <w:vAlign w:val="center"/>
          </w:tcPr>
          <w:p>
            <w:pPr>
              <w:pStyle w:val="Normal1"/>
              <w:spacing w:lineRule="auto" w:line="240" w:before="0" w:after="200"/>
              <w:jc w:val="both"/>
              <w:rPr>
                <w:rFonts w:ascii="Arial" w:hAnsi="Arial" w:cs="Arial"/>
                <w:b/>
                <w:b/>
                <w:color w:val="000000" w:themeColor="text1"/>
              </w:rPr>
            </w:pPr>
            <w:r>
              <w:rPr>
                <w:rFonts w:eastAsia="Calibri" w:cs="Arial"/>
                <w:b/>
                <w:color w:val="000000" w:themeColor="text1"/>
                <w:lang w:eastAsia="en-US"/>
              </w:rPr>
              <w:t>4.890.028,72</w:t>
            </w:r>
          </w:p>
        </w:tc>
      </w:tr>
    </w:tbl>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TOTAL DE RECURSOS APROVADOS: R$ 26.278.443,54</w:t>
      </w:r>
    </w:p>
    <w:p>
      <w:pPr>
        <w:pStyle w:val="Caption"/>
        <w:spacing w:lineRule="auto" w:line="360" w:before="0" w:after="0"/>
        <w:jc w:val="both"/>
        <w:rPr>
          <w:rFonts w:ascii="Arial" w:hAnsi="Arial" w:eastAsia="Calibri" w:cs="Arial"/>
          <w:i w:val="false"/>
          <w:i w:val="false"/>
          <w:color w:val="000000" w:themeColor="text1"/>
        </w:rPr>
      </w:pPr>
      <w:r>
        <w:rPr>
          <w:rFonts w:eastAsia="Calibri" w:cs="Arial"/>
          <w:i w:val="false"/>
          <w:color w:val="000000" w:themeColor="text1"/>
        </w:rPr>
      </w:r>
    </w:p>
    <w:p>
      <w:pPr>
        <w:pStyle w:val="Caption"/>
        <w:spacing w:lineRule="auto" w:line="360" w:before="0" w:after="0"/>
        <w:jc w:val="both"/>
        <w:rPr>
          <w:rFonts w:ascii="Arial" w:hAnsi="Arial" w:eastAsia="Calibri" w:cs="Arial"/>
          <w:i w:val="false"/>
          <w:i w:val="false"/>
          <w:color w:val="000000" w:themeColor="text1"/>
        </w:rPr>
      </w:pPr>
      <w:r>
        <w:rPr>
          <w:rFonts w:eastAsia="Calibri" w:cs="Arial"/>
          <w:i w:val="false"/>
          <w:color w:val="000000" w:themeColor="text1"/>
        </w:rPr>
      </w:r>
    </w:p>
    <w:p>
      <w:pPr>
        <w:pStyle w:val="Caption"/>
        <w:spacing w:lineRule="auto" w:line="360" w:before="0" w:after="0"/>
        <w:jc w:val="both"/>
        <w:rPr>
          <w:rFonts w:ascii="Arial" w:hAnsi="Arial" w:cs="Arial"/>
          <w:b/>
          <w:b/>
          <w:i w:val="false"/>
          <w:i w:val="false"/>
          <w:color w:val="000000" w:themeColor="text1"/>
        </w:rPr>
      </w:pPr>
      <w:r>
        <w:rPr>
          <w:rFonts w:cs="Arial"/>
          <w:b/>
          <w:i w:val="false"/>
          <w:color w:val="000000" w:themeColor="text1"/>
        </w:rPr>
        <w:t>PLANO DE DESENVOLVIMENTO INSTITUCIONAL- 2017-2021</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jc w:val="both"/>
        <w:rPr>
          <w:b/>
          <w:b/>
          <w:bCs/>
          <w:color w:val="000000" w:themeColor="text1"/>
        </w:rPr>
      </w:pPr>
      <w:r>
        <w:rPr>
          <w:b/>
          <w:bCs/>
          <w:color w:val="000000" w:themeColor="text1"/>
        </w:rPr>
        <w:t>Objetivos</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jc w:val="both"/>
        <w:rPr>
          <w:color w:val="000000" w:themeColor="text1"/>
        </w:rPr>
      </w:pPr>
      <w:r>
        <w:rPr>
          <w:color w:val="000000" w:themeColor="text1"/>
        </w:rPr>
        <w:t xml:space="preserve">Consolidar a Pesquisa e a Pós-graduação na UFVJM, com excelência na formação acadêmica e profissional, por meio da produção de conhecimento, tecnologia e inovação, de maneira a contribuir para o desenvolvimento do país, em especial dos Vales do Jequitinhonha e Mucuri, e atender às necessidades da Pós-graduação, dentro das especificidades </w:t>
      </w:r>
      <w:r>
        <w:rPr>
          <w:i/>
          <w:iCs/>
          <w:color w:val="000000" w:themeColor="text1"/>
        </w:rPr>
        <w:t>multicampi</w:t>
      </w:r>
      <w:r>
        <w:rPr>
          <w:color w:val="000000" w:themeColor="text1"/>
        </w:rPr>
        <w:t>as diversas áreas do conhecimento científico, de modo a fortalecer a indissociabilidade entre a Pesquisa e a Pós-graduação.</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jc w:val="both"/>
        <w:rPr>
          <w:b/>
          <w:b/>
          <w:bCs/>
          <w:color w:val="000000" w:themeColor="text1"/>
        </w:rPr>
      </w:pPr>
      <w:r>
        <w:rPr>
          <w:b/>
          <w:bCs/>
          <w:color w:val="000000" w:themeColor="text1"/>
        </w:rPr>
        <w:t>Metas</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numPr>
          <w:ilvl w:val="0"/>
          <w:numId w:val="3"/>
        </w:numPr>
        <w:spacing w:lineRule="auto" w:line="360"/>
        <w:jc w:val="both"/>
        <w:rPr>
          <w:color w:val="000000" w:themeColor="text1"/>
        </w:rPr>
      </w:pPr>
      <w:r>
        <w:rPr>
          <w:color w:val="000000" w:themeColor="text1"/>
        </w:rPr>
        <w:t>Incentivo a novos grupos de pesquisa e consolidação dos grupos de pesquisa já existentes.</w:t>
      </w:r>
    </w:p>
    <w:p>
      <w:pPr>
        <w:pStyle w:val="Default"/>
        <w:numPr>
          <w:ilvl w:val="0"/>
          <w:numId w:val="3"/>
        </w:numPr>
        <w:spacing w:lineRule="auto" w:line="360"/>
        <w:jc w:val="both"/>
        <w:rPr>
          <w:color w:val="000000" w:themeColor="text1"/>
        </w:rPr>
      </w:pPr>
      <w:r>
        <w:rPr>
          <w:color w:val="000000" w:themeColor="text1"/>
        </w:rPr>
        <w:t xml:space="preserve">Criar uma política de Iniciação Científica que contemple as especificidades de uma Universidade </w:t>
      </w:r>
      <w:r>
        <w:rPr>
          <w:i/>
          <w:iCs/>
          <w:color w:val="000000" w:themeColor="text1"/>
        </w:rPr>
        <w:t>multicampi</w:t>
      </w:r>
      <w:r>
        <w:rPr>
          <w:color w:val="000000" w:themeColor="text1"/>
        </w:rPr>
        <w:t>.</w:t>
      </w:r>
    </w:p>
    <w:p>
      <w:pPr>
        <w:pStyle w:val="Default"/>
        <w:spacing w:lineRule="auto" w:line="360"/>
        <w:ind w:left="720" w:hanging="0"/>
        <w:jc w:val="both"/>
        <w:rPr>
          <w:color w:val="000000" w:themeColor="text1"/>
        </w:rPr>
      </w:pPr>
      <w:r>
        <w:rPr>
          <w:color w:val="000000" w:themeColor="text1"/>
          <w:highlight w:val="cyan"/>
        </w:rPr>
        <w:t>(SOLICITANTE: LEIDA – PROGRAD)</w:t>
      </w:r>
    </w:p>
    <w:p>
      <w:pPr>
        <w:pStyle w:val="Default"/>
        <w:numPr>
          <w:ilvl w:val="0"/>
          <w:numId w:val="3"/>
        </w:numPr>
        <w:spacing w:lineRule="auto" w:line="360"/>
        <w:jc w:val="both"/>
        <w:rPr>
          <w:color w:val="0070C0"/>
        </w:rPr>
      </w:pPr>
      <w:r>
        <w:rPr>
          <w:color w:val="0070C0"/>
        </w:rPr>
        <w:t>Incentivar a relação entre ensino de graduação e o de pós-graduação, buscando a inserção da pesquisa nas práticas de ensino.</w:t>
      </w:r>
    </w:p>
    <w:p>
      <w:pPr>
        <w:pStyle w:val="Default"/>
        <w:numPr>
          <w:ilvl w:val="0"/>
          <w:numId w:val="3"/>
        </w:numPr>
        <w:spacing w:lineRule="auto" w:line="360"/>
        <w:jc w:val="both"/>
        <w:rPr>
          <w:color w:val="000000" w:themeColor="text1"/>
        </w:rPr>
      </w:pPr>
      <w:r>
        <w:rPr>
          <w:color w:val="000000" w:themeColor="text1"/>
        </w:rPr>
        <w:t>Descentralizar as ações de pesquisa e pós-graduação, respeitando-se a estrutura multicampi.</w:t>
      </w:r>
    </w:p>
    <w:p>
      <w:pPr>
        <w:pStyle w:val="Default"/>
        <w:numPr>
          <w:ilvl w:val="0"/>
          <w:numId w:val="3"/>
        </w:numPr>
        <w:spacing w:lineRule="auto" w:line="360"/>
        <w:jc w:val="both"/>
        <w:rPr>
          <w:color w:val="000000" w:themeColor="text1"/>
        </w:rPr>
      </w:pPr>
      <w:r>
        <w:rPr>
          <w:color w:val="000000" w:themeColor="text1"/>
        </w:rPr>
        <w:t xml:space="preserve">Incentivo e apoio à apresentação de propostas à CAPES para a criação de novos programas de pós-graduação </w:t>
      </w:r>
      <w:r>
        <w:rPr>
          <w:i/>
          <w:color w:val="000000" w:themeColor="text1"/>
        </w:rPr>
        <w:t>stricto sensu</w:t>
      </w:r>
      <w:r>
        <w:rPr>
          <w:color w:val="000000" w:themeColor="text1"/>
        </w:rPr>
        <w:t xml:space="preserve">,considerando a realidade </w:t>
      </w:r>
      <w:r>
        <w:rPr>
          <w:i/>
          <w:iCs/>
          <w:color w:val="000000" w:themeColor="text1"/>
        </w:rPr>
        <w:t>multicampi</w:t>
      </w:r>
      <w:r>
        <w:rPr>
          <w:color w:val="000000" w:themeColor="text1"/>
        </w:rPr>
        <w:t>.</w:t>
      </w:r>
    </w:p>
    <w:p>
      <w:pPr>
        <w:pStyle w:val="Default"/>
        <w:numPr>
          <w:ilvl w:val="0"/>
          <w:numId w:val="3"/>
        </w:numPr>
        <w:spacing w:lineRule="auto" w:line="360"/>
        <w:jc w:val="both"/>
        <w:rPr>
          <w:color w:val="000000" w:themeColor="text1"/>
        </w:rPr>
      </w:pPr>
      <w:r>
        <w:rPr>
          <w:color w:val="000000" w:themeColor="text1"/>
        </w:rPr>
        <w:t>Estímulo e apoio aos professores da UFVJM a buscarem e firmarem parcerias de cooperação em pesquisa e pós-graduação com outras instituições públicas ou privadas para o intercâmbio entre estudantes, estágios e desenvolvimento conjunto de pesquisas.</w:t>
      </w:r>
    </w:p>
    <w:p>
      <w:pPr>
        <w:pStyle w:val="Default"/>
        <w:numPr>
          <w:ilvl w:val="0"/>
          <w:numId w:val="3"/>
        </w:numPr>
        <w:spacing w:lineRule="auto" w:line="360"/>
        <w:jc w:val="both"/>
        <w:rPr>
          <w:color w:val="000000" w:themeColor="text1"/>
        </w:rPr>
      </w:pPr>
      <w:r>
        <w:rPr>
          <w:color w:val="000000" w:themeColor="text1"/>
        </w:rPr>
        <w:t>Implementar ações norteadas pelo Novo Marco da Ciência e Tecnologia.</w:t>
      </w:r>
    </w:p>
    <w:p>
      <w:pPr>
        <w:pStyle w:val="Default"/>
        <w:numPr>
          <w:ilvl w:val="0"/>
          <w:numId w:val="3"/>
        </w:numPr>
        <w:spacing w:lineRule="auto" w:line="360"/>
        <w:jc w:val="both"/>
        <w:rPr>
          <w:color w:val="000000" w:themeColor="text1"/>
        </w:rPr>
      </w:pPr>
      <w:r>
        <w:rPr>
          <w:color w:val="000000" w:themeColor="text1"/>
        </w:rPr>
        <w:t>Estímulo e apoio aos programas de Pós-graduação da UFVJM a captarem recursos externos para o desenvolvimento de projetos de pesquisa e de inovação tecnológica.</w:t>
      </w:r>
    </w:p>
    <w:p>
      <w:pPr>
        <w:pStyle w:val="Default"/>
        <w:numPr>
          <w:ilvl w:val="0"/>
          <w:numId w:val="3"/>
        </w:numPr>
        <w:spacing w:lineRule="auto" w:line="360"/>
        <w:jc w:val="both"/>
        <w:rPr>
          <w:color w:val="000000" w:themeColor="text1"/>
        </w:rPr>
      </w:pPr>
      <w:r>
        <w:rPr>
          <w:color w:val="000000" w:themeColor="text1"/>
        </w:rPr>
        <w:t>Incentivar a internacionalização da Pesquisa e Pós-graduação na UFVJM.</w:t>
      </w:r>
    </w:p>
    <w:p>
      <w:pPr>
        <w:pStyle w:val="Default"/>
        <w:numPr>
          <w:ilvl w:val="0"/>
          <w:numId w:val="3"/>
        </w:numPr>
        <w:spacing w:lineRule="auto" w:line="360"/>
        <w:jc w:val="both"/>
        <w:rPr>
          <w:color w:val="000000" w:themeColor="text1"/>
        </w:rPr>
      </w:pPr>
      <w:r>
        <w:rPr>
          <w:color w:val="000000" w:themeColor="text1"/>
        </w:rPr>
        <w:t>Instigar a comunidade acadêmica quanto a análise de risco nas atividades de Pesquisa e Pós-graduação.</w:t>
      </w:r>
    </w:p>
    <w:p>
      <w:pPr>
        <w:pStyle w:val="Default"/>
        <w:numPr>
          <w:ilvl w:val="0"/>
          <w:numId w:val="3"/>
        </w:numPr>
        <w:spacing w:lineRule="auto" w:line="360"/>
        <w:jc w:val="both"/>
        <w:rPr>
          <w:color w:val="000000" w:themeColor="text1"/>
        </w:rPr>
      </w:pPr>
      <w:r>
        <w:rPr>
          <w:color w:val="000000" w:themeColor="text1"/>
        </w:rPr>
        <w:t>Implementar processos e rotinas para acompanhamento em tempo real das atividades de Pesquisa e Pós-graduação.</w:t>
      </w:r>
    </w:p>
    <w:p>
      <w:pPr>
        <w:pStyle w:val="Default"/>
        <w:numPr>
          <w:ilvl w:val="0"/>
          <w:numId w:val="3"/>
        </w:numPr>
        <w:spacing w:lineRule="auto" w:line="360"/>
        <w:jc w:val="both"/>
        <w:rPr>
          <w:color w:val="000000" w:themeColor="text1"/>
        </w:rPr>
      </w:pPr>
      <w:r>
        <w:rPr>
          <w:color w:val="000000" w:themeColor="text1"/>
        </w:rPr>
        <w:t>Melhorar e ampliar a capacidade de gestão por meio ferramentas informacionais.</w:t>
      </w:r>
    </w:p>
    <w:p>
      <w:pPr>
        <w:pStyle w:val="Default"/>
        <w:numPr>
          <w:ilvl w:val="0"/>
          <w:numId w:val="3"/>
        </w:numPr>
        <w:spacing w:lineRule="auto" w:line="360"/>
        <w:jc w:val="both"/>
        <w:rPr>
          <w:color w:val="000000" w:themeColor="text1"/>
        </w:rPr>
      </w:pPr>
      <w:r>
        <w:rPr>
          <w:color w:val="000000" w:themeColor="text1"/>
        </w:rPr>
        <w:t>Incentivar a relação entre a comunidade universitária e a sociedade para o desenvolvimento e sustentabilidade da Pesquisa e Pós-graduação.</w:t>
      </w:r>
    </w:p>
    <w:p>
      <w:pPr>
        <w:pStyle w:val="Default"/>
        <w:numPr>
          <w:ilvl w:val="0"/>
          <w:numId w:val="3"/>
        </w:numPr>
        <w:spacing w:lineRule="auto" w:line="360"/>
        <w:jc w:val="both"/>
        <w:rPr>
          <w:color w:val="000000" w:themeColor="text1"/>
        </w:rPr>
      </w:pPr>
      <w:r>
        <w:rPr>
          <w:color w:val="000000" w:themeColor="text1"/>
        </w:rPr>
        <w:t>Divulgação das pesquisas realizadas pela UFVJM junto a sociedade não acadêmica.</w:t>
      </w:r>
    </w:p>
    <w:p>
      <w:pPr>
        <w:pStyle w:val="Default"/>
        <w:numPr>
          <w:ilvl w:val="0"/>
          <w:numId w:val="3"/>
        </w:numPr>
        <w:spacing w:lineRule="auto" w:line="360"/>
        <w:jc w:val="both"/>
        <w:rPr>
          <w:color w:val="000000" w:themeColor="text1"/>
        </w:rPr>
      </w:pPr>
      <w:r>
        <w:rPr>
          <w:color w:val="000000" w:themeColor="text1"/>
        </w:rPr>
        <w:t>Manutenção da excelência dos programas de mestrado.</w:t>
      </w:r>
    </w:p>
    <w:p>
      <w:pPr>
        <w:pStyle w:val="Default"/>
        <w:numPr>
          <w:ilvl w:val="0"/>
          <w:numId w:val="3"/>
        </w:numPr>
        <w:spacing w:lineRule="auto" w:line="360"/>
        <w:jc w:val="both"/>
        <w:rPr>
          <w:color w:val="000000" w:themeColor="text1"/>
        </w:rPr>
      </w:pPr>
      <w:r>
        <w:rPr>
          <w:color w:val="000000" w:themeColor="text1"/>
        </w:rPr>
        <w:t>Incentivar os programas de Pós-graduação na continua melhoria de qualidade, com vistas à consolidação e ampliação dos cursos de doutorado.</w:t>
      </w:r>
    </w:p>
    <w:p>
      <w:pPr>
        <w:pStyle w:val="Default"/>
        <w:numPr>
          <w:ilvl w:val="0"/>
          <w:numId w:val="3"/>
        </w:numPr>
        <w:spacing w:lineRule="auto" w:line="360"/>
        <w:jc w:val="both"/>
        <w:rPr>
          <w:color w:val="000000" w:themeColor="text1"/>
        </w:rPr>
      </w:pPr>
      <w:r>
        <w:rPr>
          <w:color w:val="000000" w:themeColor="text1"/>
        </w:rPr>
        <w:t>Melhorar a capacidade e organização da Pesquisa e Pós-graduaçãocom a implementação de políticas de uso coletivo da capacidade instalada para pesquisa e ensino na UFVJM.</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b/>
          <w:b/>
          <w:color w:val="000000" w:themeColor="text1"/>
        </w:rPr>
      </w:pPr>
      <w:r>
        <w:rPr>
          <w:b/>
          <w:color w:val="000000" w:themeColor="text1"/>
        </w:rPr>
        <w:t>Ações</w:t>
      </w:r>
    </w:p>
    <w:p>
      <w:pPr>
        <w:pStyle w:val="Default"/>
        <w:spacing w:lineRule="auto" w:line="360"/>
        <w:jc w:val="both"/>
        <w:rPr>
          <w:rFonts w:eastAsia="Calibri"/>
          <w:b/>
          <w:b/>
          <w:color w:val="000000" w:themeColor="text1"/>
        </w:rPr>
      </w:pPr>
      <w:r>
        <w:rPr>
          <w:rFonts w:eastAsia="Calibri"/>
          <w:b/>
          <w:color w:val="000000" w:themeColor="text1"/>
        </w:rPr>
      </w:r>
    </w:p>
    <w:p>
      <w:pPr>
        <w:pStyle w:val="Default"/>
        <w:numPr>
          <w:ilvl w:val="0"/>
          <w:numId w:val="4"/>
        </w:numPr>
        <w:spacing w:lineRule="auto" w:line="360"/>
        <w:jc w:val="both"/>
        <w:rPr>
          <w:color w:val="000000" w:themeColor="text1"/>
        </w:rPr>
      </w:pPr>
      <w:r>
        <w:rPr>
          <w:color w:val="000000" w:themeColor="text1"/>
        </w:rPr>
        <w:t>Incentivar e apoiar a formação de grupos de pesquisa para o desenvolvimento científico. Havendo a demanda por parte da comunidade universitária, a PRPPG irá orientar sobre os procedimentos pertinentes a formação de grupos e inserção de informações na plataforma do CNPq e posteriormente certificar os grupos</w:t>
      </w:r>
    </w:p>
    <w:p>
      <w:pPr>
        <w:pStyle w:val="Default"/>
        <w:numPr>
          <w:ilvl w:val="0"/>
          <w:numId w:val="4"/>
        </w:numPr>
        <w:spacing w:lineRule="auto" w:line="360"/>
        <w:jc w:val="both"/>
        <w:rPr>
          <w:color w:val="000000" w:themeColor="text1"/>
        </w:rPr>
      </w:pPr>
      <w:r>
        <w:rPr>
          <w:color w:val="000000" w:themeColor="text1"/>
        </w:rPr>
        <w:t>Estimular e apoiar servidores da UFVJM a buscarem e firmarem parcerias de cooperação em pesquisa com outras instituições de ensino e pesquisa e com a iniciativa privada.A PRPPG tomará providências para manter atualizada as exigências legais por meio de resoluções e instruções normativas submetidas aos conselhos pertinentes. A PRPPG mantem ampla divulgação desta temática em sua Home Page. Por fim a PRPPG proporcionaráo subsídio administrativo e de gestão tendo como principal meio de orientação as reuniões do Conselho de Pesquisa e Pós-Graduação.</w:t>
      </w:r>
    </w:p>
    <w:p>
      <w:pPr>
        <w:pStyle w:val="Default"/>
        <w:spacing w:lineRule="auto" w:line="360"/>
        <w:ind w:left="720" w:hanging="0"/>
        <w:jc w:val="both"/>
        <w:rPr>
          <w:color w:val="000000" w:themeColor="text1"/>
        </w:rPr>
      </w:pPr>
      <w:r>
        <w:rPr>
          <w:color w:val="000000" w:themeColor="text1"/>
          <w:highlight w:val="cyan"/>
        </w:rPr>
        <w:t>(SOLICITANTE: LEIDA – PROGRAD)</w:t>
      </w:r>
    </w:p>
    <w:p>
      <w:pPr>
        <w:pStyle w:val="Default"/>
        <w:numPr>
          <w:ilvl w:val="0"/>
          <w:numId w:val="4"/>
        </w:numPr>
        <w:spacing w:lineRule="auto" w:line="360"/>
        <w:jc w:val="both"/>
        <w:rPr>
          <w:color w:val="0070C0"/>
        </w:rPr>
      </w:pPr>
      <w:r>
        <w:rPr>
          <w:color w:val="0070C0"/>
        </w:rPr>
        <w:t>Estimular a parceria entre graduação e pós-graduação, fomentando a vinculação de projetos de iniciação científica, de mestrado e doutorado.</w:t>
      </w:r>
    </w:p>
    <w:p>
      <w:pPr>
        <w:pStyle w:val="Default"/>
        <w:numPr>
          <w:ilvl w:val="0"/>
          <w:numId w:val="4"/>
        </w:numPr>
        <w:spacing w:lineRule="auto" w:line="360"/>
        <w:jc w:val="both"/>
        <w:rPr>
          <w:color w:val="000000" w:themeColor="text1"/>
        </w:rPr>
      </w:pPr>
      <w:r>
        <w:rPr>
          <w:color w:val="000000" w:themeColor="text1"/>
        </w:rPr>
        <w:t>Estimular e apoiar servidores da UFVJM a captarem recursos externos para o desenvolvimento de projetos de pesquisa e de inovação tecnológica.</w:t>
      </w:r>
    </w:p>
    <w:p>
      <w:pPr>
        <w:pStyle w:val="Default"/>
        <w:numPr>
          <w:ilvl w:val="0"/>
          <w:numId w:val="4"/>
        </w:numPr>
        <w:spacing w:lineRule="auto" w:line="360"/>
        <w:jc w:val="both"/>
        <w:rPr>
          <w:color w:val="000000" w:themeColor="text1"/>
        </w:rPr>
      </w:pPr>
      <w:r>
        <w:rPr>
          <w:color w:val="000000" w:themeColor="text1"/>
        </w:rPr>
        <w:t>Estimular a publicação científica oriunda do conhecimento gerado na UFVJM.</w:t>
      </w:r>
    </w:p>
    <w:p>
      <w:pPr>
        <w:pStyle w:val="Default"/>
        <w:numPr>
          <w:ilvl w:val="0"/>
          <w:numId w:val="4"/>
        </w:numPr>
        <w:spacing w:lineRule="auto" w:line="360"/>
        <w:jc w:val="both"/>
        <w:rPr>
          <w:color w:val="000000" w:themeColor="text1"/>
        </w:rPr>
      </w:pPr>
      <w:r>
        <w:rPr>
          <w:color w:val="000000" w:themeColor="text1"/>
        </w:rPr>
        <w:t>Apoiar a proteção do conhecimento, tecnologia e inovação gerados no âmbito da UFVJM por meio de patentes mantendo acesso continuo do NITEC aos projetos desenvolvidos na UFVJM com potencial de inovação.</w:t>
      </w:r>
    </w:p>
    <w:p>
      <w:pPr>
        <w:pStyle w:val="Default"/>
        <w:numPr>
          <w:ilvl w:val="0"/>
          <w:numId w:val="4"/>
        </w:numPr>
        <w:spacing w:lineRule="auto" w:line="360"/>
        <w:jc w:val="both"/>
        <w:rPr>
          <w:color w:val="000000" w:themeColor="text1"/>
        </w:rPr>
      </w:pPr>
      <w:r>
        <w:rPr>
          <w:color w:val="000000" w:themeColor="text1"/>
        </w:rPr>
        <w:t>Otimizar e melhorar as instalações físicas multiusuárias para que os pesquisadores desenvolvam seus projetos de pesquisa. A gestão dos laboratórios multidisciplinares possui o apoio da PRPPG. Anualmente é repassado aos Programas de Pós-Graduação recursos de capital para subsidiar melhorias e desenvolvimento das atividades de pesquisa.</w:t>
      </w:r>
    </w:p>
    <w:p>
      <w:pPr>
        <w:pStyle w:val="Default"/>
        <w:numPr>
          <w:ilvl w:val="0"/>
          <w:numId w:val="4"/>
        </w:numPr>
        <w:spacing w:lineRule="auto" w:line="360"/>
        <w:jc w:val="both"/>
        <w:rPr>
          <w:color w:val="000000" w:themeColor="text1"/>
        </w:rPr>
      </w:pPr>
      <w:r>
        <w:rPr>
          <w:color w:val="000000" w:themeColor="text1"/>
        </w:rPr>
        <w:t>Atualizar e divulgar a relação de equipamentos institucionais inerentes a Pesquisa e Pós-graduação.A PRPPG em conjunto com as fundações e setor de patrimônio, tem tomado providências para catalogação de equipamentos adquiridos pelos projetos de pesquisa, a qual será disponibilizada a toda comunidade em sua Home Page. A PRPPG tomará providências administrativas junto ao Conselho Universitáriopara recebimentode doação/comodato dos equipamentos oriundos dos projetos de pesquisa.</w:t>
      </w:r>
    </w:p>
    <w:p>
      <w:pPr>
        <w:pStyle w:val="Default"/>
        <w:numPr>
          <w:ilvl w:val="0"/>
          <w:numId w:val="4"/>
        </w:numPr>
        <w:spacing w:lineRule="auto" w:line="360"/>
        <w:jc w:val="both"/>
        <w:rPr>
          <w:color w:val="000000" w:themeColor="text1"/>
        </w:rPr>
      </w:pPr>
      <w:r>
        <w:rPr>
          <w:color w:val="000000" w:themeColor="text1"/>
        </w:rPr>
        <w:t>Desenvolver em conjunto com a DICOM programas de divulgação do conhecimento produzido na UFVJM com linguagem não acadêmica.</w:t>
      </w:r>
    </w:p>
    <w:p>
      <w:pPr>
        <w:pStyle w:val="Default"/>
        <w:numPr>
          <w:ilvl w:val="0"/>
          <w:numId w:val="4"/>
        </w:numPr>
        <w:spacing w:lineRule="auto" w:line="360"/>
        <w:jc w:val="both"/>
        <w:rPr>
          <w:color w:val="000000" w:themeColor="text1"/>
        </w:rPr>
      </w:pPr>
      <w:r>
        <w:rPr>
          <w:color w:val="000000" w:themeColor="text1"/>
        </w:rPr>
        <w:t>Manter contato assíduo com as agências de fomento para a implementação de bolsas em todos os níveis pertinentes. Mensalmente a PRPPG submete às agências de fomento a relação dos discentes contemplados com as bolsase de acordo com a periodicidade estabelecida pelas agências disponibiliza os relatórios comprobatórios do cumprimento dos objetos dos convênios.Manter e estimular a comunidade acadêmica a estabelecer parcerias com instituições públicas e privadas para fins de ensino de pós-graduação e estimulo à pesquisa.A PRPPG tomará providências para manter atualizada as exigências legais por meio de resoluções e instruções normativas submetidas aos conselhos pertinentes, dando suporte a essas ações.</w:t>
      </w:r>
    </w:p>
    <w:p>
      <w:pPr>
        <w:pStyle w:val="Default"/>
        <w:numPr>
          <w:ilvl w:val="0"/>
          <w:numId w:val="4"/>
        </w:numPr>
        <w:spacing w:lineRule="auto" w:line="360"/>
        <w:jc w:val="both"/>
        <w:rPr>
          <w:color w:val="000000" w:themeColor="text1"/>
        </w:rPr>
      </w:pPr>
      <w:r>
        <w:rPr>
          <w:color w:val="000000" w:themeColor="text1"/>
        </w:rPr>
        <w:t xml:space="preserve">Incentivar ações de Pesquisa e Pós-graduação multidisciplinares e </w:t>
      </w:r>
      <w:r>
        <w:rPr>
          <w:i/>
          <w:iCs/>
          <w:color w:val="000000" w:themeColor="text1"/>
        </w:rPr>
        <w:t>multicampi</w:t>
      </w:r>
      <w:r>
        <w:rPr>
          <w:color w:val="000000" w:themeColor="text1"/>
        </w:rPr>
        <w:t>. A PRPPG periodicamente nas reuniões do Conselho de Pesquisa e Pós-Graduação abordará o tema solicitando que coordenadores de programas de pós-graduação desenvolvam ações nesse sentido.</w:t>
      </w:r>
    </w:p>
    <w:p>
      <w:pPr>
        <w:pStyle w:val="Default"/>
        <w:numPr>
          <w:ilvl w:val="0"/>
          <w:numId w:val="4"/>
        </w:numPr>
        <w:spacing w:lineRule="auto" w:line="360"/>
        <w:jc w:val="both"/>
        <w:rPr>
          <w:color w:val="000000" w:themeColor="text1"/>
        </w:rPr>
      </w:pPr>
      <w:r>
        <w:rPr>
          <w:color w:val="000000" w:themeColor="text1"/>
        </w:rPr>
        <w:t xml:space="preserve">Estimular o ensino de Pós-graduação por meio </w:t>
      </w:r>
      <w:bookmarkStart w:id="137" w:name="__DdeLink__106_2003682117"/>
      <w:r>
        <w:rPr>
          <w:color w:val="000000" w:themeColor="text1"/>
        </w:rPr>
        <w:t>das tecnologias de informação e comunicação (TIC´s)</w:t>
      </w:r>
      <w:bookmarkEnd w:id="137"/>
      <w:r>
        <w:rPr>
          <w:color w:val="000000" w:themeColor="text1"/>
        </w:rPr>
        <w:t>.</w:t>
      </w:r>
    </w:p>
    <w:p>
      <w:pPr>
        <w:pStyle w:val="Default"/>
        <w:spacing w:lineRule="auto" w:line="360"/>
        <w:jc w:val="both"/>
        <w:rPr>
          <w:b/>
          <w:b/>
          <w:color w:val="000000" w:themeColor="text1"/>
        </w:rPr>
      </w:pPr>
      <w:r>
        <w:rPr>
          <w:b/>
          <w:color w:val="000000" w:themeColor="text1"/>
        </w:rPr>
      </w:r>
    </w:p>
    <w:p>
      <w:pPr>
        <w:pStyle w:val="Default"/>
        <w:spacing w:lineRule="auto" w:line="360"/>
        <w:jc w:val="both"/>
        <w:rPr/>
      </w:pPr>
      <w:r>
        <w:rPr>
          <w:b/>
          <w:color w:val="000000" w:themeColor="text1"/>
        </w:rPr>
        <w:t>2.10. Extensão e Cultura</w:t>
      </w:r>
    </w:p>
    <w:p>
      <w:pPr>
        <w:pStyle w:val="Default"/>
        <w:spacing w:lineRule="auto" w:line="360"/>
        <w:ind w:left="1211" w:hanging="0"/>
        <w:jc w:val="both"/>
        <w:rPr>
          <w:rFonts w:eastAsia="Calibri"/>
          <w:b/>
          <w:b/>
          <w:color w:val="000000" w:themeColor="text1"/>
        </w:rPr>
      </w:pPr>
      <w:r>
        <w:rPr>
          <w:rFonts w:eastAsia="Calibri"/>
          <w:b/>
          <w:color w:val="000000" w:themeColor="text1"/>
        </w:rPr>
      </w:r>
    </w:p>
    <w:p>
      <w:pPr>
        <w:pStyle w:val="Normal1"/>
        <w:spacing w:lineRule="auto" w:line="360"/>
        <w:ind w:firstLine="709"/>
        <w:jc w:val="both"/>
        <w:rPr>
          <w:rFonts w:ascii="Arial" w:hAnsi="Arial" w:cs="Arial"/>
          <w:color w:val="000000" w:themeColor="text1"/>
        </w:rPr>
      </w:pPr>
      <w:r>
        <w:rPr>
          <w:rFonts w:cs="Arial"/>
          <w:color w:val="000000" w:themeColor="text1"/>
        </w:rPr>
        <w:t>A compreensão de que o alcance social efetivo da UFVJM se dará por meio de sua atividade extensionista com seu poder de difusão, expressada no PDI 2012-2016 deve ser mantida, ou seja, a extensão universitária na UFVJM representa a sua atuação perante as comunidades ao seu redor.</w:t>
      </w:r>
    </w:p>
    <w:p>
      <w:pPr>
        <w:pStyle w:val="Normal1"/>
        <w:spacing w:lineRule="auto" w:line="360"/>
        <w:ind w:firstLine="709"/>
        <w:jc w:val="both"/>
        <w:rPr>
          <w:rFonts w:ascii="Arial" w:hAnsi="Arial" w:cs="Arial"/>
          <w:color w:val="000000" w:themeColor="text1"/>
        </w:rPr>
      </w:pPr>
      <w:r>
        <w:rPr>
          <w:rFonts w:cs="Arial"/>
          <w:color w:val="000000" w:themeColor="text1"/>
        </w:rPr>
        <w:t>Tal compreensão avança em relação à noção de extensão vinculada à ideia de que o conhecimento gerado pelas instituições de ensino superior deve ter como finalidade precípua transformar a realidade social, intervindo em suas deficiências e não se limitando apenas à formação dos alunos regulares daquela instituição.</w:t>
      </w:r>
    </w:p>
    <w:p>
      <w:pPr>
        <w:pStyle w:val="Normal1"/>
        <w:spacing w:lineRule="auto" w:line="360"/>
        <w:ind w:firstLine="709"/>
        <w:jc w:val="both"/>
        <w:rPr>
          <w:rFonts w:ascii="Arial" w:hAnsi="Arial" w:cs="Arial"/>
          <w:color w:val="000000" w:themeColor="text1"/>
        </w:rPr>
      </w:pPr>
      <w:r>
        <w:rPr>
          <w:rFonts w:cs="Arial"/>
          <w:color w:val="000000" w:themeColor="text1"/>
        </w:rPr>
        <w:t>Mais do que isso, segundo o PDI 2012-2016, a extensão consiste numa via de mão-dupla, comunidade acadêmica-sociedade, que oferece a oportunidade da elaboração da práxis de um conhecimento acadêmico.</w:t>
      </w:r>
    </w:p>
    <w:p>
      <w:pPr>
        <w:pStyle w:val="Normal1"/>
        <w:spacing w:lineRule="auto" w:line="360"/>
        <w:ind w:firstLine="709"/>
        <w:jc w:val="both"/>
        <w:rPr>
          <w:rFonts w:ascii="Arial" w:hAnsi="Arial" w:cs="Arial"/>
          <w:color w:val="000000" w:themeColor="text1"/>
        </w:rPr>
      </w:pPr>
      <w:r>
        <w:rPr>
          <w:rFonts w:cs="Arial"/>
          <w:color w:val="000000" w:themeColor="text1"/>
        </w:rPr>
        <w:t>O PDI 2012-2016 ainda estabelece que o princípio da indissolubilidade das atividades de ensino, pesquisa e extensão é determinante no labor acadêmico. Essa acepção fica patente quando a relação entre o ensino e a extensão produz mudanças no processo pedagógico, pois alunos e professores integram-se no ato de aprender. A relação entre pesquisa e extensão ocorre quando a produção do conhecimento é capaz de contribuir para a transformação da sociedade.</w:t>
      </w:r>
    </w:p>
    <w:p>
      <w:pPr>
        <w:pStyle w:val="Normal1"/>
        <w:spacing w:lineRule="auto" w:line="360"/>
        <w:ind w:firstLine="709"/>
        <w:jc w:val="both"/>
        <w:rPr>
          <w:rFonts w:ascii="Arial" w:hAnsi="Arial" w:cs="Arial"/>
          <w:color w:val="000000" w:themeColor="text1"/>
        </w:rPr>
      </w:pPr>
      <w:r>
        <w:rPr>
          <w:rFonts w:cs="Arial"/>
          <w:color w:val="000000" w:themeColor="text1"/>
        </w:rPr>
        <w:t>Estabelece-se, portanto, neste documento, duas perspectivas de avanço prático para a extensão e a cultura na UFVJM: (1) a busca pela concretização efetiva da indissociabilidade entre o ensino, a pesquisa e a extensão, para a qual a creditação da extensão nos currículos dos cursos de graduação (ou curricularização da extensão)  aparece como estratégia fundamental, na medida em que impulsiona a vinculação entre a atividade de ensino diretamente com a atividade extensionista; (2) a qualificação da extensão a partir do impacto das ações de extensão na sociedade e na própria instituição, para a qual a melhoria dos programas institucionais de fomento à extensão e acultura é estratégia determinante.</w:t>
      </w:r>
    </w:p>
    <w:p>
      <w:pPr>
        <w:pStyle w:val="Normal1"/>
        <w:spacing w:lineRule="auto" w:line="360"/>
        <w:ind w:firstLine="709"/>
        <w:jc w:val="both"/>
        <w:rPr>
          <w:rFonts w:ascii="Arial" w:hAnsi="Arial" w:cs="Arial"/>
          <w:color w:val="000000" w:themeColor="text1"/>
        </w:rPr>
      </w:pPr>
      <w:r>
        <w:rPr>
          <w:rFonts w:cs="Arial"/>
          <w:color w:val="000000" w:themeColor="text1"/>
        </w:rPr>
        <w:t xml:space="preserve">Abaixo, estão relacionadas as Metas e as Ações propostas no PDI 2012-2016, acompanhadas, uma a uma, de uma avaliação geral. </w:t>
      </w:r>
    </w:p>
    <w:p>
      <w:pPr>
        <w:pStyle w:val="Normal1"/>
        <w:spacing w:lineRule="auto" w:line="360"/>
        <w:ind w:firstLine="709"/>
        <w:jc w:val="both"/>
        <w:rPr>
          <w:rFonts w:ascii="Arial" w:hAnsi="Arial" w:cs="Arial"/>
          <w:color w:val="000000" w:themeColor="text1"/>
        </w:rPr>
      </w:pPr>
      <w:r>
        <w:rPr>
          <w:rFonts w:cs="Arial"/>
          <w:color w:val="000000" w:themeColor="text1"/>
        </w:rPr>
      </w:r>
    </w:p>
    <w:p>
      <w:pPr>
        <w:pStyle w:val="Normal2"/>
        <w:jc w:val="both"/>
        <w:rPr>
          <w:rFonts w:ascii="Arial" w:hAnsi="Arial" w:eastAsia="Arial" w:cs="Arial"/>
        </w:rPr>
      </w:pPr>
      <w:r>
        <w:rPr>
          <w:rFonts w:eastAsia="Arial" w:cs="Arial" w:ascii="Arial" w:hAnsi="Arial"/>
          <w:b/>
        </w:rPr>
        <w:t xml:space="preserve">Metas: </w:t>
      </w:r>
    </w:p>
    <w:p>
      <w:pPr>
        <w:pStyle w:val="Normal2"/>
        <w:jc w:val="both"/>
        <w:rPr>
          <w:rFonts w:ascii="Arial" w:hAnsi="Arial" w:eastAsia="Arial" w:cs="Arial"/>
          <w:b/>
          <w:b/>
        </w:rPr>
      </w:pPr>
      <w:r>
        <w:rPr>
          <w:rFonts w:eastAsia="Arial" w:cs="Arial" w:ascii="Arial" w:hAnsi="Arial"/>
          <w:b/>
        </w:rPr>
      </w:r>
    </w:p>
    <w:p>
      <w:pPr>
        <w:pStyle w:val="Normal2"/>
        <w:jc w:val="both"/>
        <w:rPr>
          <w:rFonts w:ascii="Arial" w:hAnsi="Arial" w:eastAsia="Arial" w:cs="Arial"/>
        </w:rPr>
      </w:pPr>
      <w:r>
        <w:rPr>
          <w:rFonts w:eastAsia="Arial" w:cs="Arial" w:ascii="Arial" w:hAnsi="Arial"/>
        </w:rPr>
        <w:t>- Criar incentivos às ações de extensão e cultura</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parcialmente atendida, por ser uma proposição de cunho permanente.</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Criar mecanismos de reconhecimento institucional</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parcialmente atendida, por ser uma proposição de cunho permanente.</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Divulgar as ações de extensão e cultura e apresentar os elementos de incentivo.</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parcialmente atendida, já que as ações figuram nos relatórios de gestão apresentados no período e em algumas vinculações na página eletrônica da PROEXC. Porém, não foi criado nenhum mecanismo contínuo para a referida divulgação.</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Esclarecer junto à comunidade universitária o conceito e o papel da extensão.</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parcialmente atendida já que foram discutidos assuntos pertinentes nos respectivos Conselhos da UFVJM e descritos nas resoluções vigentes. Faltou criar um mecanismo específico e permanente (evento institucional de Extensão, worshop e material divulgativo da extensão na UFVJM) para otimizar o conceito da extensão na UFVJM, bem como servir de permanente divulgação.</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Melhorar a captação de recursos externos por meio de editais e parcerias.</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parcialmente atendida, já que houve o incentivo à participação no edital PROEXT. Porém, os avanços foram modestos, sendo possível uma ampliação desta meta.</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Fomentar a constituição e o fortalecimento de programas de extensão.</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não houve avanços nesta proposição. O registro de programas na PROEXC é muito modesto e praticamente não teve aumento de registros no período, comparados ao período anterior.</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Contribuir para o aumento dos espaços de cultura e arte na UFVJM.</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parcialmente atendida, já que houve o incentivo à criação de edital específico para cultura e arte (PROCARTE), o que proporcionou aumento das ações e espaços na UFVJM. É preciso haver ampliação tanto nas ações como em localidades físicas (centro cultural, museus, espaço de arte e cultura, etc). </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Obter envolvimento percentual maior dos discentes, docentes e técnicos administrativos em ações e projetos voltados à extensão, cultura e à arte;</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parcialmente atendida. Praticamente houve em termos numéricos, uma manutenção das atividades relacionadas.</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Aumentar a participação percentual de discentes em projetos com bolsas de extensão e cultura;</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quando os dados são comparados com o ano de 2011, percebe-se que houve apenas a manutenção do percentual relacionado, tendo inclusive havido redução em algumas proposições, como a participação em programas registrados na PROEXC. </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b/>
          <w:b/>
        </w:rPr>
      </w:pPr>
      <w:r>
        <w:rPr>
          <w:rFonts w:eastAsia="Arial" w:cs="Arial" w:ascii="Arial" w:hAnsi="Arial"/>
          <w:b/>
        </w:rPr>
        <w:t xml:space="preserve">Avaliação conjunta das metas: </w:t>
      </w:r>
      <w:r>
        <w:rPr>
          <w:rFonts w:eastAsia="Arial" w:cs="Arial" w:ascii="Arial" w:hAnsi="Arial"/>
        </w:rPr>
        <w:t>percebe-se que as metas adotadas foram de âmbito geral e que precisam de constante evolução. Assim, mesmo que algumas tenham sido cumpridas parcialmente, referem-se a proposições que devem ser trabalhadas para que hajam melhorias contínuas.</w:t>
      </w:r>
    </w:p>
    <w:p>
      <w:pPr>
        <w:pStyle w:val="Normal2"/>
        <w:tabs>
          <w:tab w:val="left" w:pos="708" w:leader="none"/>
        </w:tabs>
        <w:jc w:val="both"/>
        <w:rPr>
          <w:rFonts w:ascii="Arial" w:hAnsi="Arial" w:eastAsia="Arial" w:cs="Arial"/>
        </w:rPr>
      </w:pPr>
      <w:r>
        <w:rPr>
          <w:rFonts w:eastAsia="Arial" w:cs="Arial" w:ascii="Arial" w:hAnsi="Arial"/>
        </w:rPr>
        <w:tab/>
        <w:tab/>
      </w:r>
    </w:p>
    <w:p>
      <w:pPr>
        <w:pStyle w:val="Normal2"/>
        <w:jc w:val="both"/>
        <w:rPr>
          <w:rFonts w:ascii="Arial" w:hAnsi="Arial" w:eastAsia="Arial" w:cs="Arial"/>
        </w:rPr>
      </w:pPr>
      <w:r>
        <w:rPr>
          <w:rFonts w:eastAsia="Arial" w:cs="Arial" w:ascii="Arial" w:hAnsi="Arial"/>
          <w:b/>
        </w:rPr>
        <w:t>Ações:</w:t>
      </w:r>
    </w:p>
    <w:p>
      <w:pPr>
        <w:pStyle w:val="Normal2"/>
        <w:jc w:val="both"/>
        <w:rPr>
          <w:rFonts w:ascii="Arial" w:hAnsi="Arial" w:eastAsia="Arial" w:cs="Arial"/>
          <w:b/>
          <w:b/>
        </w:rPr>
      </w:pPr>
      <w:r>
        <w:rPr>
          <w:rFonts w:eastAsia="Arial" w:cs="Arial" w:ascii="Arial" w:hAnsi="Arial"/>
          <w:b/>
        </w:rPr>
      </w:r>
    </w:p>
    <w:p>
      <w:pPr>
        <w:pStyle w:val="Normal2"/>
        <w:jc w:val="both"/>
        <w:rPr>
          <w:rFonts w:ascii="Arial" w:hAnsi="Arial" w:eastAsia="Arial" w:cs="Arial"/>
        </w:rPr>
      </w:pPr>
      <w:r>
        <w:rPr>
          <w:rFonts w:eastAsia="Arial" w:cs="Arial" w:ascii="Arial" w:hAnsi="Arial"/>
        </w:rPr>
        <w:t>- Reunir com todos os colegiados de curso para socializá-los em relação às políticas e sensibilizá-los quanto a mecanismos de valorização da Extensão.</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-Discutir e propor pautas aos Conselhos Deliberativos Superiores (CONSU, CONSEPE) que interferem na valorização da Extensão dentro do Conselho de Extensão e Cultura (COEXC).</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já que é de cunho permanente.</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Aumentar a interação da extensão com o ensino e a pesquisa, por meio da validação das atividades de pesquisa e extensão para integralização das matrizes curriculares dos Cursos.</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já que houve o desenvolvimento de editais conjuntos como o de “Interface entre Pesquisa e Extensão”, porém, quanto à integralização das matrizes curriculares dos cursos, a proposição não foi cumprida.</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Revisar o Regulamento e o Edital do PIBEX.</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já que é de cunho permanente.</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Lançar editais estimulando atividades artístico culturais, através de concursos de vídeos, monografias, entre outros, estimulando as ações extensionistas.</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porém sem criação de mecanismo específico.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Melhorar o Formulário de Registro das Ações de Extensão.</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já que a melhoria é de cunho permanente.</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Criar e Implantar o SIGA- Extensão.</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Definir e Implantar um Sistema de Monitoramento e Avaliação das Ações de Extensão.</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t xml:space="preserve"> </w:t>
      </w:r>
    </w:p>
    <w:p>
      <w:pPr>
        <w:pStyle w:val="Normal2"/>
        <w:tabs>
          <w:tab w:val="left" w:pos="708" w:leader="none"/>
        </w:tabs>
        <w:jc w:val="both"/>
        <w:rPr>
          <w:rFonts w:ascii="Arial" w:hAnsi="Arial" w:eastAsia="Arial" w:cs="Arial"/>
        </w:rPr>
      </w:pPr>
      <w:r>
        <w:rPr>
          <w:rFonts w:eastAsia="Arial" w:cs="Arial" w:ascii="Arial" w:hAnsi="Arial"/>
        </w:rPr>
        <w:t>- Criar um revista impressa e “on line” para a divulgação de trabalhos de extensão e cultura.</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tabs>
          <w:tab w:val="left" w:pos="708" w:leader="none"/>
        </w:tabs>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Confeccionar um Catálogo das Ações de Extensão da UFVJM.</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já que a melhoria é de cunho permanente e não foi criado nenhum mecanismo contínuo.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Criar uma galeria de imagens dos Programas e Projetos de Extensão na página da PROEXC.</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Atualizar os itens de Agenda e de Notícias relacionadas à Extensão e à Cultura na página da PROEXC.</w:t>
      </w:r>
    </w:p>
    <w:p>
      <w:pPr>
        <w:pStyle w:val="Normal2"/>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já que a melhoria é de cunho permanente e não foi criado nenhum mecanismo contínuo.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Realizar Exposições e Debates nas reuniões do COEXC e na Comissão de Seleção do PIBEX acerca do Histórico, Princípios e Diretrizes da Extensão Universitária.</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Realizar o Simpósio de Extensão da UFVJM.</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já que o Simpósio foi realizado junto à SINTEGRA, mas não há evento específico.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Realizar o I Congresso Mineiro de Extensão da UFVJM.</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Realizar a Primeira Semana Integração, com atividades complementares envolvendo de forma indissociada o Ensino, a Pesquisa e a Extensão.</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cumprida e atualmente em vigência.</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Buscar e Divulgar Editais Externos de Apoio as Ações de Extensão e Cultura.</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mas não foi criado mecanismo específico.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Apoiar a Tramitação de Projetos junto aos Órgãos Financiadores Externos.</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cumprida, com constantes apoios.</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Identificar Projetos que tenham afinidade para fomentar a formação de Programas.</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mas não foi criado mecanismo específico.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Realizar Curso com escopo específico, como indicadores de avaliação, formatação de programas de Extensão Universitária, entre outros.</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Ampliar as parcerias e intercâmbios com entidades artístico culturais que atuem nas esferas municipais, estaduais e federais.</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mas não foi criado mecanismo específico.</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Apoiar a projetos que contemplem a preservação do patrimônio material e imaterial, e a estruturação da economia da cultura local e regional.</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mas não foi criado mecanismo específico.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Apoiar ações de mapeamento e documentação da memória e das expressões artísticas culturais dos Vales do Jequitinhonha e Mucuri.</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r>
    </w:p>
    <w:p>
      <w:pPr>
        <w:pStyle w:val="Normal2"/>
        <w:jc w:val="both"/>
        <w:rPr>
          <w:rFonts w:ascii="Arial" w:hAnsi="Arial" w:eastAsia="Arial" w:cs="Arial"/>
        </w:rPr>
      </w:pPr>
      <w:r>
        <w:rPr>
          <w:rFonts w:eastAsia="Arial" w:cs="Arial" w:ascii="Arial" w:hAnsi="Arial"/>
        </w:rPr>
        <w:t>- Realizar Atividades Culturais como parte da programação dos Simpósios de Extensão da UFVJM.</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mas não foi criado mecanismo específico.</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Montar um banco de dados das Organizações Culturais dos Vales e suas respectivas manifestações, para que possam ser convidados para apresentações na UFVJM.</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 já que não existe registro na PROEXC.</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Promover a apresentação de diferentes expressões Culturais e Artísticas das regiões do baixo, médio e alto Vale do Jequitinhonha e Vale do Mucuri durante as Semanas Envolver.</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mas não foi criado mecanismo específico e a semana envolver atualmente não é mais realizada.</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Interagir com a Federação das Entidades Culturais e Artísticas do Vale do Jequitinhonha (FECAJE) para apoio e participação no FESTIVALE.</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não cumprida.</w:t>
      </w:r>
    </w:p>
    <w:p>
      <w:pPr>
        <w:pStyle w:val="Normal2"/>
        <w:jc w:val="both"/>
        <w:rPr>
          <w:rFonts w:ascii="Arial" w:hAnsi="Arial" w:eastAsia="Arial" w:cs="Arial"/>
        </w:rPr>
      </w:pPr>
      <w:r>
        <w:rPr>
          <w:rFonts w:eastAsia="Arial" w:cs="Arial" w:ascii="Arial" w:hAnsi="Arial"/>
        </w:rPr>
        <w:t xml:space="preserve"> </w:t>
      </w:r>
    </w:p>
    <w:p>
      <w:pPr>
        <w:pStyle w:val="Normal2"/>
        <w:jc w:val="both"/>
        <w:rPr>
          <w:rFonts w:ascii="Arial" w:hAnsi="Arial" w:eastAsia="Arial" w:cs="Arial"/>
        </w:rPr>
      </w:pPr>
      <w:r>
        <w:rPr>
          <w:rFonts w:eastAsia="Arial" w:cs="Arial" w:ascii="Arial" w:hAnsi="Arial"/>
        </w:rPr>
        <w:t>- Elaborar regulamento específico para o Programa de Bolsas de Apoio à Cultura e à Arte – PROAC.</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cumprida, sendo o programa atualmente denominado de PROCARTE.</w:t>
      </w:r>
    </w:p>
    <w:p>
      <w:pPr>
        <w:pStyle w:val="Normal2"/>
        <w:jc w:val="both"/>
        <w:rPr>
          <w:rFonts w:ascii="Arial" w:hAnsi="Arial" w:eastAsia="Arial" w:cs="Arial"/>
        </w:rPr>
      </w:pPr>
      <w:r>
        <w:rPr>
          <w:rFonts w:eastAsia="Arial" w:cs="Arial" w:ascii="Arial" w:hAnsi="Arial"/>
        </w:rPr>
      </w:r>
    </w:p>
    <w:p>
      <w:pPr>
        <w:pStyle w:val="Normal2"/>
        <w:tabs>
          <w:tab w:val="left" w:pos="708" w:leader="none"/>
        </w:tabs>
        <w:jc w:val="both"/>
        <w:rPr>
          <w:rFonts w:ascii="Arial" w:hAnsi="Arial" w:eastAsia="Arial" w:cs="Arial"/>
        </w:rPr>
      </w:pPr>
      <w:r>
        <w:rPr>
          <w:rFonts w:eastAsia="Arial" w:cs="Arial" w:ascii="Arial" w:hAnsi="Arial"/>
        </w:rPr>
        <w:t>- Participar de fóruns e seminários promovidos conjuntamente pela Secretaria Municipal de Cultura, Conselho Municipal de Cultura e Conselho de Extensão e Cultura da UFVJM.</w:t>
      </w:r>
    </w:p>
    <w:p>
      <w:pPr>
        <w:pStyle w:val="Normal2"/>
        <w:tabs>
          <w:tab w:val="left" w:pos="708" w:leader="none"/>
        </w:tabs>
        <w:jc w:val="both"/>
        <w:rPr>
          <w:rFonts w:ascii="Arial" w:hAnsi="Arial" w:eastAsia="Arial" w:cs="Arial"/>
        </w:rPr>
      </w:pPr>
      <w:r>
        <w:rPr>
          <w:rFonts w:eastAsia="Arial" w:cs="Arial" w:ascii="Arial" w:hAnsi="Arial"/>
          <w:b/>
        </w:rPr>
        <w:t>Avaliação:</w:t>
      </w:r>
      <w:r>
        <w:rPr>
          <w:rFonts w:eastAsia="Arial" w:cs="Arial" w:ascii="Arial" w:hAnsi="Arial"/>
        </w:rPr>
        <w:t xml:space="preserve"> proposição parcialmente cumprida, mas não foi criado mecanismo específico.</w:t>
      </w:r>
    </w:p>
    <w:p>
      <w:pPr>
        <w:pStyle w:val="Normal2"/>
        <w:tabs>
          <w:tab w:val="left" w:pos="708" w:leader="none"/>
        </w:tabs>
        <w:jc w:val="both"/>
        <w:rPr>
          <w:rFonts w:ascii="Arial" w:hAnsi="Arial" w:eastAsia="Arial" w:cs="Arial"/>
        </w:rPr>
      </w:pPr>
      <w:r>
        <w:rPr>
          <w:rFonts w:eastAsia="Arial" w:cs="Arial" w:ascii="Arial" w:hAnsi="Arial"/>
        </w:rPr>
      </w:r>
    </w:p>
    <w:p>
      <w:pPr>
        <w:pStyle w:val="Normal2"/>
        <w:tabs>
          <w:tab w:val="left" w:pos="708" w:leader="none"/>
        </w:tabs>
        <w:jc w:val="both"/>
        <w:rPr>
          <w:rFonts w:ascii="Arial" w:hAnsi="Arial" w:eastAsia="Arial" w:cs="Arial"/>
        </w:rPr>
      </w:pPr>
      <w:r>
        <w:rPr>
          <w:rFonts w:eastAsia="Arial" w:cs="Arial" w:ascii="Arial" w:hAnsi="Arial"/>
        </w:rPr>
        <w:t>- Realizar, em parceria com a UFMG e outras instituições, o Festival de Inverno.</w:t>
      </w:r>
    </w:p>
    <w:p>
      <w:pPr>
        <w:pStyle w:val="Normal1"/>
        <w:spacing w:lineRule="auto" w:line="360"/>
        <w:jc w:val="both"/>
        <w:rPr>
          <w:rFonts w:ascii="Arial" w:hAnsi="Arial" w:cs="Arial"/>
          <w:color w:val="000000" w:themeColor="text1"/>
        </w:rPr>
      </w:pPr>
      <w:r>
        <w:rPr>
          <w:rFonts w:eastAsia="Arial" w:cs="Arial"/>
          <w:b/>
          <w:color w:val="000000"/>
        </w:rPr>
        <w:t>Avaliação:</w:t>
      </w:r>
      <w:r>
        <w:rPr>
          <w:rFonts w:eastAsia="Arial" w:cs="Arial"/>
          <w:color w:val="000000"/>
        </w:rPr>
        <w:t xml:space="preserve"> proposição parcialmente cumprida, mas não foi criado mecanismo específico.</w:t>
      </w:r>
    </w:p>
    <w:p>
      <w:pPr>
        <w:pStyle w:val="Normal1"/>
        <w:rPr>
          <w:rFonts w:ascii="Arial" w:hAnsi="Arial" w:cs="Arial"/>
          <w:color w:val="000000" w:themeColor="text1"/>
        </w:rPr>
      </w:pPr>
      <w:r>
        <w:rPr>
          <w:rFonts w:cs="Arial"/>
          <w:color w:val="000000" w:themeColor="text1"/>
        </w:rPr>
      </w:r>
    </w:p>
    <w:p>
      <w:pPr>
        <w:pStyle w:val="Normal1"/>
        <w:rPr>
          <w:rFonts w:ascii="Arial" w:hAnsi="Arial" w:cs="Arial"/>
          <w:color w:val="000000" w:themeColor="text1"/>
        </w:rPr>
      </w:pPr>
      <w:r>
        <w:rPr>
          <w:rFonts w:cs="Arial"/>
          <w:color w:val="000000" w:themeColor="text1"/>
        </w:rPr>
      </w:r>
    </w:p>
    <w:p>
      <w:pPr>
        <w:pStyle w:val="Normal1"/>
        <w:rPr>
          <w:rFonts w:ascii="Arial" w:hAnsi="Arial" w:cs="Arial"/>
        </w:rPr>
      </w:pPr>
      <w:r>
        <w:rPr>
          <w:rFonts w:cs="Arial"/>
        </w:rPr>
      </w:r>
    </w:p>
    <w:p>
      <w:pPr>
        <w:pStyle w:val="ListParagraph"/>
        <w:spacing w:lineRule="auto" w:line="360" w:before="0" w:after="0"/>
        <w:ind w:left="0" w:hanging="0"/>
        <w:contextualSpacing/>
        <w:jc w:val="both"/>
        <w:rPr>
          <w:rFonts w:ascii="Arial" w:hAnsi="Arial" w:cs="Arial"/>
        </w:rPr>
      </w:pPr>
      <w:r>
        <w:rPr>
          <w:rFonts w:cs="Arial"/>
          <w:b/>
          <w:bCs/>
          <w:color w:val="000000" w:themeColor="text1"/>
        </w:rPr>
        <w:t xml:space="preserve">2.10.1. Programas de Bolsas Coordenados pela Pró-Reitoria de Extensão e Cultura </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426"/>
        <w:jc w:val="both"/>
        <w:rPr>
          <w:rFonts w:ascii="Arial" w:hAnsi="Arial" w:cs="Arial"/>
          <w:color w:val="000000" w:themeColor="text1"/>
        </w:rPr>
      </w:pPr>
      <w:r>
        <w:rPr>
          <w:rFonts w:cs="Arial"/>
          <w:color w:val="000000" w:themeColor="text1"/>
        </w:rPr>
        <w:t>A UFVJM conta com dois Programas institucionais de Bolsas de Apoio à de Extensão e àCultura e à Arte: Pibex e Procarte.</w:t>
      </w:r>
    </w:p>
    <w:p>
      <w:pPr>
        <w:pStyle w:val="Normal1"/>
        <w:spacing w:lineRule="auto" w:line="360"/>
        <w:ind w:firstLine="426"/>
        <w:jc w:val="both"/>
        <w:rPr>
          <w:rFonts w:ascii="Arial" w:hAnsi="Arial" w:cs="Arial"/>
          <w:color w:val="000000" w:themeColor="text1"/>
        </w:rPr>
      </w:pPr>
      <w:r>
        <w:rPr>
          <w:rFonts w:cs="Arial"/>
          <w:color w:val="000000" w:themeColor="text1"/>
        </w:rPr>
        <w:t>O Programa Institucional de Bolsas de Extensão (Pibex) da UFVJM destina-se ao oferecimento de Bolsas de Extensão a Discentes da UFVJM vinculados a Projetos de Extensão Universitária.</w:t>
      </w:r>
    </w:p>
    <w:p>
      <w:pPr>
        <w:pStyle w:val="Normal1"/>
        <w:spacing w:lineRule="auto" w:line="360"/>
        <w:ind w:firstLine="426"/>
        <w:jc w:val="both"/>
        <w:rPr>
          <w:rFonts w:ascii="Arial" w:hAnsi="Arial" w:cs="Arial"/>
          <w:color w:val="000000" w:themeColor="text1"/>
        </w:rPr>
      </w:pPr>
      <w:r>
        <w:rPr>
          <w:rFonts w:cs="Arial"/>
          <w:color w:val="000000" w:themeColor="text1"/>
        </w:rPr>
        <w:t>O Programa Institucional de Apoio à Cultura e à Arte (Procarte)destina-se ao oferecimento de Bolsas de Cultura e Arte a Discentes da UFVJM vinculados a Projetos de Cultura e Arte.</w:t>
      </w:r>
    </w:p>
    <w:p>
      <w:pPr>
        <w:pStyle w:val="Normal1"/>
        <w:spacing w:lineRule="auto" w:line="360"/>
        <w:ind w:firstLine="426"/>
        <w:jc w:val="both"/>
        <w:rPr>
          <w:rFonts w:ascii="Arial" w:hAnsi="Arial" w:cs="Arial"/>
          <w:color w:val="000000" w:themeColor="text1"/>
        </w:rPr>
      </w:pPr>
      <w:r>
        <w:rPr>
          <w:rFonts w:cs="Arial"/>
          <w:color w:val="000000" w:themeColor="text1"/>
        </w:rPr>
        <w:t>Ambos os Programas possuem regulamentação própria e atualmente lançam dois editais de fomento por ano, contemplando 50 projetos de extensão e 10 projetos de arte.  Ao todo a UFVJM possui sempre 120 projetos de extensão, de cultura e de arte sendo fomentados ao mesmo tempo, por recursos institucionais.</w:t>
      </w:r>
    </w:p>
    <w:p>
      <w:pPr>
        <w:pStyle w:val="Normal1"/>
        <w:spacing w:lineRule="auto" w:line="360"/>
        <w:ind w:firstLine="426"/>
        <w:jc w:val="both"/>
        <w:rPr>
          <w:rFonts w:ascii="Arial" w:hAnsi="Arial" w:cs="Arial"/>
          <w:color w:val="000000" w:themeColor="text1"/>
        </w:rPr>
      </w:pPr>
      <w:r>
        <w:rPr>
          <w:rFonts w:cs="Arial"/>
          <w:color w:val="000000" w:themeColor="text1"/>
        </w:rPr>
        <w:t xml:space="preserve">Ressalta-se que para o Pibex é possível que projetos de cultura e arte, caracterizados por linhas de extensão específicas da cultura e da arte também possam ser fomentados. O mesmo não ocorre com o Procarte, em que projetos essencialmente de cunho artístico e cultural podem ser fomentados. </w:t>
      </w:r>
    </w:p>
    <w:p>
      <w:pPr>
        <w:pStyle w:val="Normal1"/>
        <w:spacing w:lineRule="auto" w:line="360"/>
        <w:ind w:firstLine="426"/>
        <w:jc w:val="both"/>
        <w:rPr>
          <w:rFonts w:ascii="Arial" w:hAnsi="Arial" w:cs="Arial"/>
          <w:color w:val="000000" w:themeColor="text1"/>
        </w:rPr>
      </w:pPr>
      <w:r>
        <w:rPr>
          <w:rFonts w:cs="Arial"/>
          <w:color w:val="000000" w:themeColor="text1"/>
        </w:rPr>
        <w:t>Considerando a consolidação desses Programas na instituição, pretende-se aprimorá-los e algumas Metas e Ações incidirão exatamente sobre essa pretensão.</w:t>
      </w:r>
    </w:p>
    <w:p>
      <w:pPr>
        <w:pStyle w:val="Normal1"/>
        <w:spacing w:lineRule="auto" w:line="360"/>
        <w:jc w:val="both"/>
        <w:rPr>
          <w:rFonts w:ascii="Arial" w:hAnsi="Arial" w:cs="Arial"/>
          <w:color w:val="000000" w:themeColor="text1"/>
        </w:rPr>
      </w:pPr>
      <w:r>
        <w:rPr>
          <w:rFonts w:cs="Arial"/>
          <w:color w:val="000000" w:themeColor="text1"/>
        </w:rPr>
      </w:r>
    </w:p>
    <w:p>
      <w:pPr>
        <w:pStyle w:val="ListParagraph"/>
        <w:spacing w:lineRule="auto" w:line="360" w:before="0" w:after="0"/>
        <w:ind w:left="0" w:hanging="0"/>
        <w:contextualSpacing/>
        <w:jc w:val="both"/>
        <w:rPr>
          <w:rFonts w:ascii="Arial" w:hAnsi="Arial" w:cs="Arial"/>
        </w:rPr>
      </w:pPr>
      <w:r>
        <w:rPr>
          <w:rFonts w:cs="Arial"/>
          <w:b/>
          <w:color w:val="000000" w:themeColor="text1"/>
        </w:rPr>
        <w:t xml:space="preserve">2.10.1.1 Apoio externo à Extensão </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426"/>
        <w:jc w:val="both"/>
        <w:rPr>
          <w:rFonts w:ascii="Arial" w:hAnsi="Arial" w:cs="Arial"/>
          <w:color w:val="000000" w:themeColor="text1"/>
        </w:rPr>
      </w:pPr>
      <w:r>
        <w:rPr>
          <w:rFonts w:cs="Arial"/>
          <w:color w:val="000000" w:themeColor="text1"/>
        </w:rPr>
        <w:t>A UFVJM tem se caracterizado por conseguir, principalmente por meio do Programa de Extensão Universitária (ProExt), captar recursos para realização de projetos e programas de extensão. O Proext, que tem o objetivo de apoiar as instituições públicas de ensino superior no desenvolvimento de programas ou projetos de extensão que contribuam para a implementação de políticas públicas, é um programa do Ministério da Educação que não possui lançamento anual garantido.</w:t>
      </w:r>
    </w:p>
    <w:p>
      <w:pPr>
        <w:pStyle w:val="Normal1"/>
        <w:spacing w:lineRule="auto" w:line="360"/>
        <w:ind w:firstLine="426"/>
        <w:jc w:val="both"/>
        <w:rPr>
          <w:rFonts w:ascii="Arial" w:hAnsi="Arial" w:cs="Arial"/>
          <w:color w:val="000000" w:themeColor="text1"/>
        </w:rPr>
      </w:pPr>
      <w:r>
        <w:rPr>
          <w:rFonts w:cs="Arial"/>
          <w:color w:val="000000" w:themeColor="text1"/>
        </w:rPr>
        <w:t>No entanto, compreende-se, principalmente considerando o potencial extensionista da comunidade da UFVJM, que é preciso que a UFVJM, por meio da Proexc, promova ações de incentivo à busca de fomento externo para ações de extensão e cultura.</w:t>
      </w:r>
    </w:p>
    <w:p>
      <w:pPr>
        <w:pStyle w:val="Caption"/>
        <w:spacing w:lineRule="auto" w:line="360" w:before="0" w:after="0"/>
        <w:jc w:val="both"/>
        <w:rPr>
          <w:rFonts w:ascii="Arial" w:hAnsi="Arial" w:eastAsia="Times New Roman" w:cs="Arial"/>
          <w:b/>
          <w:b/>
          <w:bCs/>
          <w:i w:val="false"/>
          <w:i w:val="false"/>
          <w:color w:val="000000" w:themeColor="text1"/>
          <w:lang w:eastAsia="zh-CN"/>
        </w:rPr>
      </w:pPr>
      <w:r>
        <w:rPr>
          <w:rFonts w:eastAsia="Times New Roman" w:cs="Arial"/>
          <w:b/>
          <w:bCs/>
          <w:i w:val="false"/>
          <w:color w:val="000000" w:themeColor="text1"/>
          <w:lang w:eastAsia="zh-CN"/>
        </w:rPr>
      </w:r>
    </w:p>
    <w:p>
      <w:pPr>
        <w:pStyle w:val="Caption"/>
        <w:spacing w:lineRule="auto" w:line="360" w:before="0" w:after="0"/>
        <w:jc w:val="both"/>
        <w:rPr>
          <w:rFonts w:ascii="Arial" w:hAnsi="Arial" w:cs="Arial"/>
          <w:b/>
          <w:b/>
          <w:i w:val="false"/>
          <w:i w:val="false"/>
          <w:color w:val="000000" w:themeColor="text1"/>
        </w:rPr>
      </w:pPr>
      <w:r>
        <w:rPr>
          <w:rFonts w:cs="Arial"/>
          <w:b/>
          <w:i w:val="false"/>
          <w:color w:val="000000" w:themeColor="text1"/>
        </w:rPr>
        <w:t xml:space="preserve">PLANO DE DESENVOLVIMENTO INSTITUCIONAL - 2017-2021 </w:t>
      </w:r>
    </w:p>
    <w:p>
      <w:pPr>
        <w:pStyle w:val="Caption"/>
        <w:spacing w:lineRule="auto" w:line="360" w:before="0" w:after="0"/>
        <w:jc w:val="both"/>
        <w:rPr>
          <w:rFonts w:ascii="Arial" w:hAnsi="Arial" w:eastAsia="Calibri" w:cs="Arial"/>
          <w:b/>
          <w:b/>
          <w:bCs/>
          <w:iCs w:val="false"/>
          <w:color w:val="000000" w:themeColor="text1"/>
        </w:rPr>
      </w:pPr>
      <w:r>
        <w:rPr>
          <w:rFonts w:eastAsia="Calibri" w:cs="Arial"/>
          <w:b/>
          <w:bCs/>
          <w:iCs w:val="false"/>
          <w:color w:val="000000" w:themeColor="text1"/>
        </w:rPr>
      </w:r>
    </w:p>
    <w:p>
      <w:pPr>
        <w:pStyle w:val="Normal1"/>
        <w:spacing w:lineRule="auto" w:line="360"/>
        <w:jc w:val="both"/>
        <w:rPr>
          <w:rFonts w:ascii="Arial" w:hAnsi="Arial" w:cs="Arial"/>
          <w:b/>
          <w:b/>
          <w:bCs/>
          <w:color w:val="000000" w:themeColor="text1"/>
        </w:rPr>
      </w:pPr>
      <w:r>
        <w:rPr>
          <w:rFonts w:cs="Arial"/>
          <w:b/>
          <w:bCs/>
          <w:iCs/>
          <w:color w:val="000000" w:themeColor="text1"/>
        </w:rPr>
        <w:t>Objetivos</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numPr>
          <w:ilvl w:val="0"/>
          <w:numId w:val="7"/>
        </w:numPr>
        <w:spacing w:lineRule="auto" w:line="360"/>
        <w:jc w:val="both"/>
        <w:rPr>
          <w:rFonts w:ascii="Arial" w:hAnsi="Arial" w:cs="Arial"/>
          <w:color w:val="000000" w:themeColor="text1"/>
        </w:rPr>
      </w:pPr>
      <w:r>
        <w:rPr>
          <w:rFonts w:cs="Arial"/>
          <w:iCs/>
          <w:color w:val="000000" w:themeColor="text1"/>
        </w:rPr>
        <w:t>Estabelecer uma relação entre a Universidade e os diversos setores da sociedade.</w:t>
      </w:r>
    </w:p>
    <w:p>
      <w:pPr>
        <w:pStyle w:val="Normal1"/>
        <w:numPr>
          <w:ilvl w:val="0"/>
          <w:numId w:val="7"/>
        </w:numPr>
        <w:spacing w:lineRule="auto" w:line="360"/>
        <w:jc w:val="both"/>
        <w:rPr>
          <w:rFonts w:ascii="Arial" w:hAnsi="Arial" w:cs="Arial"/>
          <w:color w:val="000000" w:themeColor="text1"/>
        </w:rPr>
      </w:pPr>
      <w:r>
        <w:rPr>
          <w:rFonts w:cs="Arial"/>
          <w:iCs/>
          <w:color w:val="000000" w:themeColor="text1"/>
        </w:rPr>
        <w:t>Produzir conhecimento resultante do confronto com a realidade regional.</w:t>
      </w:r>
    </w:p>
    <w:p>
      <w:pPr>
        <w:pStyle w:val="Normal1"/>
        <w:spacing w:lineRule="auto" w:line="360"/>
        <w:ind w:left="360" w:hanging="0"/>
        <w:jc w:val="both"/>
        <w:rPr>
          <w:rFonts w:ascii="Arial" w:hAnsi="Arial" w:cs="Arial"/>
          <w:iCs/>
          <w:color w:val="000000" w:themeColor="text1"/>
        </w:rPr>
      </w:pPr>
      <w:r>
        <w:rPr>
          <w:rFonts w:cs="Arial"/>
          <w:iCs/>
          <w:color w:val="000000" w:themeColor="text1"/>
          <w:highlight w:val="cyan"/>
        </w:rPr>
        <w:t>(SOLICITANTE: LEIDA – PROGRAD)</w:t>
      </w:r>
    </w:p>
    <w:p>
      <w:pPr>
        <w:pStyle w:val="Normal"/>
        <w:numPr>
          <w:ilvl w:val="0"/>
          <w:numId w:val="7"/>
        </w:numPr>
        <w:jc w:val="both"/>
        <w:rPr>
          <w:rFonts w:ascii="Arial" w:hAnsi="Arial" w:cs="Arial"/>
          <w:color w:val="0070C0"/>
        </w:rPr>
      </w:pPr>
      <w:r>
        <w:rPr>
          <w:rFonts w:cs="Arial" w:ascii="Arial" w:hAnsi="Arial"/>
          <w:color w:val="0070C0"/>
        </w:rPr>
        <w:t>Fomentar a integração da educação superior e da educação básica, no que tange às ações de extensão e cultura.</w:t>
      </w:r>
    </w:p>
    <w:p>
      <w:pPr>
        <w:pStyle w:val="Normal1"/>
        <w:numPr>
          <w:ilvl w:val="0"/>
          <w:numId w:val="7"/>
        </w:numPr>
        <w:spacing w:lineRule="auto" w:line="360"/>
        <w:jc w:val="both"/>
        <w:rPr>
          <w:rFonts w:ascii="Arial" w:hAnsi="Arial" w:cs="Arial"/>
          <w:color w:val="000000" w:themeColor="text1"/>
        </w:rPr>
      </w:pPr>
      <w:r>
        <w:rPr>
          <w:rFonts w:cs="Arial"/>
          <w:color w:val="000000" w:themeColor="text1"/>
        </w:rPr>
        <w:t>Democratizar o conhecimento acadêmico e a participação efetiva da comunidade na atuação da Universidade.</w:t>
      </w:r>
    </w:p>
    <w:p>
      <w:pPr>
        <w:pStyle w:val="Normal1"/>
        <w:numPr>
          <w:ilvl w:val="0"/>
          <w:numId w:val="7"/>
        </w:numPr>
        <w:spacing w:lineRule="auto" w:line="360"/>
        <w:jc w:val="both"/>
        <w:rPr>
          <w:rFonts w:ascii="Arial" w:hAnsi="Arial" w:cs="Arial"/>
          <w:iCs/>
          <w:color w:val="000000" w:themeColor="text1"/>
        </w:rPr>
      </w:pPr>
      <w:r>
        <w:rPr>
          <w:rFonts w:cs="Arial"/>
          <w:iCs/>
          <w:color w:val="000000" w:themeColor="text1"/>
        </w:rPr>
        <w:t>Valorizar a diversidade cultural, especialmente as dos Vales do Jequitinhonha e Mucuri, Norte e Noroeste de Minas Gerais.</w:t>
      </w:r>
    </w:p>
    <w:p>
      <w:pPr>
        <w:pStyle w:val="Normal1"/>
        <w:spacing w:lineRule="auto" w:line="360"/>
        <w:ind w:left="360" w:hanging="0"/>
        <w:jc w:val="both"/>
        <w:rPr>
          <w:rFonts w:ascii="Arial" w:hAnsi="Arial" w:cs="Arial"/>
          <w:iCs/>
          <w:color w:val="000000" w:themeColor="text1"/>
        </w:rPr>
      </w:pPr>
      <w:r>
        <w:rPr>
          <w:rFonts w:cs="Arial"/>
          <w:iCs/>
          <w:color w:val="000000" w:themeColor="text1"/>
          <w:highlight w:val="cyan"/>
        </w:rPr>
        <w:t>(SOLICITANTE: LEIDA – PROGRAD)</w:t>
      </w:r>
    </w:p>
    <w:p>
      <w:pPr>
        <w:pStyle w:val="Normal"/>
        <w:numPr>
          <w:ilvl w:val="0"/>
          <w:numId w:val="7"/>
        </w:numPr>
        <w:jc w:val="both"/>
        <w:rPr>
          <w:rFonts w:ascii="Arial" w:hAnsi="Arial" w:cs="Arial"/>
          <w:color w:val="0070C0"/>
        </w:rPr>
      </w:pPr>
      <w:r>
        <w:rPr>
          <w:rFonts w:cs="Arial" w:ascii="Arial" w:hAnsi="Arial"/>
          <w:color w:val="0070C0"/>
        </w:rPr>
        <w:t>Estimular o desenvolvimento de projetos de extensão em interface com a pesquisa e o ensino em todos os cursos da UFVJM, em especial naqueles voltados para a formação de professores.</w:t>
      </w:r>
    </w:p>
    <w:p>
      <w:pPr>
        <w:pStyle w:val="Normal1"/>
        <w:spacing w:lineRule="auto" w:line="360"/>
        <w:jc w:val="both"/>
        <w:rPr>
          <w:rFonts w:ascii="Arial" w:hAnsi="Arial" w:cs="Arial"/>
          <w:iCs/>
          <w:color w:val="000000" w:themeColor="text1"/>
        </w:rPr>
      </w:pPr>
      <w:r>
        <w:rPr>
          <w:rFonts w:cs="Arial"/>
          <w:iCs/>
          <w:color w:val="000000" w:themeColor="text1"/>
        </w:rPr>
      </w:r>
    </w:p>
    <w:p>
      <w:pPr>
        <w:pStyle w:val="Normal1"/>
        <w:spacing w:lineRule="auto" w:line="360"/>
        <w:jc w:val="both"/>
        <w:rPr>
          <w:rFonts w:ascii="Arial" w:hAnsi="Arial" w:cs="Arial"/>
          <w:color w:val="000000" w:themeColor="text1"/>
        </w:rPr>
      </w:pPr>
      <w:r>
        <w:rPr>
          <w:rFonts w:cs="Arial"/>
          <w:b/>
          <w:bCs/>
          <w:iCs/>
          <w:color w:val="000000" w:themeColor="text1"/>
        </w:rPr>
        <w:t>Metas</w:t>
      </w:r>
    </w:p>
    <w:p>
      <w:pPr>
        <w:pStyle w:val="Normal1"/>
        <w:spacing w:lineRule="auto" w:line="360"/>
        <w:jc w:val="both"/>
        <w:rPr>
          <w:rFonts w:ascii="Arial" w:hAnsi="Arial" w:cs="Arial"/>
          <w:color w:val="000000" w:themeColor="text1"/>
        </w:rPr>
      </w:pPr>
      <w:r>
        <w:rPr>
          <w:rFonts w:cs="Arial"/>
          <w:color w:val="000000" w:themeColor="text1"/>
        </w:rPr>
      </w:r>
    </w:p>
    <w:p>
      <w:pPr>
        <w:pStyle w:val="Normal1"/>
        <w:numPr>
          <w:ilvl w:val="0"/>
          <w:numId w:val="8"/>
        </w:numPr>
        <w:spacing w:lineRule="auto" w:line="360"/>
        <w:jc w:val="both"/>
        <w:rPr>
          <w:rFonts w:ascii="Arial" w:hAnsi="Arial" w:cs="Arial"/>
          <w:color w:val="000000" w:themeColor="text1"/>
        </w:rPr>
      </w:pPr>
      <w:r>
        <w:rPr>
          <w:rFonts w:cs="Arial"/>
          <w:color w:val="000000" w:themeColor="text1"/>
        </w:rPr>
        <w:t>Efetivar a indissociabilidade entre o ensino, a pesquisa e a extensão.</w:t>
      </w:r>
    </w:p>
    <w:p>
      <w:pPr>
        <w:pStyle w:val="Normal1"/>
        <w:numPr>
          <w:ilvl w:val="0"/>
          <w:numId w:val="8"/>
        </w:numPr>
        <w:spacing w:lineRule="auto" w:line="360"/>
        <w:jc w:val="both"/>
        <w:rPr>
          <w:rFonts w:ascii="Arial" w:hAnsi="Arial" w:cs="Arial"/>
          <w:color w:val="000000" w:themeColor="text1"/>
        </w:rPr>
      </w:pPr>
      <w:r>
        <w:rPr>
          <w:rFonts w:cs="Arial"/>
          <w:color w:val="000000" w:themeColor="text1"/>
        </w:rPr>
        <w:t>Contribuir para a implementação da creditação da extensão nos currículos dos cursos de graduação e pós-graduação da instituição.</w:t>
      </w:r>
    </w:p>
    <w:p>
      <w:pPr>
        <w:pStyle w:val="Normal1"/>
        <w:numPr>
          <w:ilvl w:val="0"/>
          <w:numId w:val="8"/>
        </w:numPr>
        <w:spacing w:lineRule="auto" w:line="360"/>
        <w:jc w:val="both"/>
        <w:rPr>
          <w:rFonts w:ascii="Arial" w:hAnsi="Arial" w:cs="Arial"/>
          <w:color w:val="000000" w:themeColor="text1"/>
        </w:rPr>
      </w:pPr>
      <w:r>
        <w:rPr>
          <w:rFonts w:cs="Arial"/>
          <w:color w:val="000000" w:themeColor="text1"/>
        </w:rPr>
        <w:t>Qualificar a extensão e o impacto das ações de extensão na sociedade e na própria instituição.</w:t>
      </w:r>
    </w:p>
    <w:p>
      <w:pPr>
        <w:pStyle w:val="Normal1"/>
        <w:numPr>
          <w:ilvl w:val="0"/>
          <w:numId w:val="8"/>
        </w:numPr>
        <w:spacing w:lineRule="auto" w:line="360"/>
        <w:jc w:val="both"/>
        <w:rPr>
          <w:rFonts w:ascii="Arial" w:hAnsi="Arial" w:cs="Arial"/>
          <w:color w:val="000000" w:themeColor="text1"/>
        </w:rPr>
      </w:pPr>
      <w:r>
        <w:rPr>
          <w:rFonts w:cs="Arial"/>
          <w:color w:val="000000" w:themeColor="text1"/>
        </w:rPr>
        <w:t>Aprofundar a cultura da extensão junto à comunidade universitária.</w:t>
      </w:r>
    </w:p>
    <w:p>
      <w:pPr>
        <w:pStyle w:val="Normal1"/>
        <w:numPr>
          <w:ilvl w:val="0"/>
          <w:numId w:val="8"/>
        </w:numPr>
        <w:spacing w:lineRule="auto" w:line="360"/>
        <w:jc w:val="both"/>
        <w:rPr>
          <w:rFonts w:ascii="Arial" w:hAnsi="Arial" w:cs="Arial"/>
          <w:color w:val="000000" w:themeColor="text1"/>
        </w:rPr>
      </w:pPr>
      <w:r>
        <w:rPr>
          <w:rFonts w:cs="Arial"/>
          <w:color w:val="000000" w:themeColor="text1"/>
        </w:rPr>
        <w:t>Melhorar a captação de recursos externos por meio de editais e parcerias.</w:t>
      </w:r>
    </w:p>
    <w:p>
      <w:pPr>
        <w:pStyle w:val="Normal1"/>
        <w:numPr>
          <w:ilvl w:val="0"/>
          <w:numId w:val="8"/>
        </w:numPr>
        <w:spacing w:lineRule="auto" w:line="360"/>
        <w:jc w:val="both"/>
        <w:rPr>
          <w:rFonts w:ascii="Arial" w:hAnsi="Arial" w:cs="Arial"/>
          <w:color w:val="000000" w:themeColor="text1"/>
        </w:rPr>
      </w:pPr>
      <w:r>
        <w:rPr>
          <w:rFonts w:cs="Arial"/>
          <w:color w:val="000000" w:themeColor="text1"/>
        </w:rPr>
        <w:t>Obter envolvimento percentual maior dos discentes, docentes e técnicos administrativos em ações e projetos voltados à extensão, à cultura e à arte.</w:t>
      </w:r>
    </w:p>
    <w:p>
      <w:pPr>
        <w:pStyle w:val="Normal1"/>
        <w:numPr>
          <w:ilvl w:val="0"/>
          <w:numId w:val="8"/>
        </w:numPr>
        <w:spacing w:lineRule="auto" w:line="360"/>
        <w:jc w:val="both"/>
        <w:rPr>
          <w:rFonts w:ascii="Arial" w:hAnsi="Arial" w:cs="Arial"/>
          <w:color w:val="000000" w:themeColor="text1"/>
        </w:rPr>
      </w:pPr>
      <w:r>
        <w:rPr>
          <w:rFonts w:cs="Arial"/>
          <w:bCs/>
          <w:iCs/>
          <w:color w:val="000000" w:themeColor="text1"/>
        </w:rPr>
        <w:t>Aumentar a participação percentual de discentes em projetos com e/ou sem bolsa de extensão e cultura.</w:t>
      </w:r>
    </w:p>
    <w:p>
      <w:pPr>
        <w:pStyle w:val="Normal1"/>
        <w:numPr>
          <w:ilvl w:val="0"/>
          <w:numId w:val="8"/>
        </w:numPr>
        <w:spacing w:lineRule="auto" w:line="360"/>
        <w:jc w:val="both"/>
        <w:rPr>
          <w:rFonts w:ascii="Arial" w:hAnsi="Arial" w:cs="Arial"/>
          <w:color w:val="000000" w:themeColor="text1"/>
        </w:rPr>
      </w:pPr>
      <w:r>
        <w:rPr>
          <w:rFonts w:cs="Arial"/>
          <w:bCs/>
          <w:iCs/>
          <w:color w:val="000000" w:themeColor="text1"/>
        </w:rPr>
        <w:t xml:space="preserve">Aprofundar a cultura </w:t>
      </w:r>
      <w:r>
        <w:rPr>
          <w:rFonts w:cs="Arial"/>
          <w:bCs/>
          <w:iCs/>
          <w:color w:val="000000" w:themeColor="text1"/>
          <w:shd w:fill="FFFFFF" w:val="clear"/>
        </w:rPr>
        <w:t>como escopo parceiro da extensão.</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Ações</w:t>
      </w:r>
    </w:p>
    <w:p>
      <w:pPr>
        <w:pStyle w:val="Normal1"/>
        <w:spacing w:lineRule="auto" w:line="360"/>
        <w:jc w:val="both"/>
        <w:rPr>
          <w:rFonts w:ascii="Arial" w:hAnsi="Arial" w:cs="Arial"/>
          <w:color w:val="000000" w:themeColor="text1"/>
        </w:rPr>
      </w:pPr>
      <w:r>
        <w:rPr>
          <w:rFonts w:cs="Arial"/>
          <w:color w:val="000000" w:themeColor="text1"/>
        </w:rPr>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Aprofundar a valorização da atividade de extensão para a progressão docente.</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Criar mecanismos de premiação e reconhecimento das ações e dos atores que atuam na extensão e na cultura da UFVJM.</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Aprimorar os Programas de Apoio à Extensão e à Cultura, buscando (a) uma melhor gestão dos recursos financeiros institucionais destinados à tais Programas; (b) incentivar a indissociabilidade com a pesquisa e com o ensino; (c) ampliar o número de ações contempladas; (d) diversificar os tipos de ações contempladas; (e) aprofundar a caracterização das ações pelas suas áreas e linhas de extensão, determinadas na Política Nacional de Extensão.</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Criar e Implantar o SIGA- Extensão</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Aumentar a interação da extensão com o ensino e a pesquisa, por meio da validação das atividades de pesquisa e extensão para integralização das matrizes curriculares dos cursos.</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Reunir com todos os colegiados de cursos para socializá-los em relação às políticas e sensibilizá-los quanto a mecanismos de valorização da extensão.</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Definir e implantar um sistema de monitoramento e avaliação das ações de extensão.</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Implantar indicadores de avaliação da extensão na UFVJM.</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Divulgar as ações de extensão e cultura e apresentar os elementos de incentivo.</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 xml:space="preserve">Criar uma revista impressa e </w:t>
      </w:r>
      <w:r>
        <w:rPr>
          <w:rFonts w:cs="Arial"/>
          <w:i/>
          <w:color w:val="000000" w:themeColor="text1"/>
        </w:rPr>
        <w:t>online</w:t>
      </w:r>
      <w:r>
        <w:rPr>
          <w:rFonts w:cs="Arial"/>
          <w:color w:val="000000" w:themeColor="text1"/>
        </w:rPr>
        <w:t xml:space="preserve"> para a divulgação de trabalhos de extensão e cultura.</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Confeccionar um catálogo das ações de extensão da UFVJM.</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 xml:space="preserve">Criar uma galeria de imagens/ vídeos das ações de extensão na página da </w:t>
      </w:r>
      <w:r>
        <w:rPr>
          <w:rFonts w:cs="Arial"/>
        </w:rPr>
        <w:t>PROEXC.</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Realizar o simpósio de extensão da UFVJM.</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Buscar e divulgar editais externos de apoio as ações de extensão e cultura.</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Apoiar a tramitação de projetos junto aos órgãos financiadores externos.</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Identificar projetos que tenham afinidade para fomentar a formação de programas.</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Realizar curso com escopo específico, como indicadores de avaliação, formatação de programas de extensão universitária, entre outros.</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Ampliar as parcerias e intercâmbios com entidades artístico-culturais que atuem nas esferas municipal, estadual e federal.</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Apoiar a projetos que contemplem a preservação do patrimônio material e imaterial, e a estruturação da economia da cultura local e regional.</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Apoiar ações de mapeamento e documentação da memória e das expressões artísticas culturais dos Vales do Jequitinhonha e Mucuri.</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Montar um banco de dados das organizações culturais dos Vales e suas respectivas manifestações, para que possam ser convidados para apresentações na UFVJM.</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Promover a apresentação de diferentes expressões culturais e artísticas das regiões do baixo, médio e alto Vale do Jequitinhonha e Vale do Mucuri durante as Semanas Envolver.</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Interagir com a federação das entidades culturais e artísticas do Vale do Jequitinhonha (FECAJE), para conferir-lhes apoio e participação no FESTIVALE.</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Participar de fóruns e seminários promovidos conjuntamente pela Secretaria Municipal de Cultura, Conselho Municipal de Cultura e Conselho de Extensão e Cultura da UFVJM.</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Realizar, em parceria com a UFMG e outras instituições, o Festival de Inverno. Ampliar e melhorar o espaço físico da PROEXC.</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Ampliar e melhorara política de pessoal da PROEXC.</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Ampliar e valorizar as Funções Gratificadas da PROEXC.</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Organizar e reestruturar o “Organograma” da PROEXC.</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Ampliar as ações e representações da PROEXC nos campi de Janaúba e Unaí.</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Revisar resoluções, regimentos e legislações pertinentes às ações de extensão e cultura da UFVJM.</w:t>
      </w:r>
    </w:p>
    <w:p>
      <w:pPr>
        <w:pStyle w:val="ListParagraph"/>
        <w:numPr>
          <w:ilvl w:val="0"/>
          <w:numId w:val="25"/>
        </w:numPr>
        <w:spacing w:lineRule="auto" w:line="360" w:before="0" w:after="0"/>
        <w:contextualSpacing/>
        <w:jc w:val="both"/>
        <w:rPr>
          <w:rFonts w:ascii="Arial" w:hAnsi="Arial" w:cs="Arial"/>
          <w:color w:val="000000" w:themeColor="text1"/>
        </w:rPr>
      </w:pPr>
      <w:r>
        <w:rPr>
          <w:rFonts w:cs="Arial"/>
          <w:color w:val="000000" w:themeColor="text1"/>
        </w:rPr>
        <w:t>Implantar programas buscando a valorização das ações de extensão e cultura da região de atuação da UFVJM, quais sejam:</w:t>
      </w:r>
    </w:p>
    <w:p>
      <w:pPr>
        <w:pStyle w:val="Normal1"/>
        <w:spacing w:lineRule="auto" w:line="360"/>
        <w:jc w:val="both"/>
        <w:rPr>
          <w:rFonts w:ascii="Arial" w:hAnsi="Arial" w:cs="Arial"/>
          <w:color w:val="000000" w:themeColor="text1"/>
        </w:rPr>
      </w:pPr>
      <w:r>
        <w:rPr>
          <w:rFonts w:cs="Arial"/>
          <w:color w:val="000000" w:themeColor="text1"/>
        </w:rPr>
      </w:r>
    </w:p>
    <w:p>
      <w:pPr>
        <w:pStyle w:val="ListParagraph"/>
        <w:numPr>
          <w:ilvl w:val="0"/>
          <w:numId w:val="26"/>
        </w:numPr>
        <w:spacing w:lineRule="auto" w:line="360" w:before="0" w:after="0"/>
        <w:contextualSpacing/>
        <w:jc w:val="both"/>
        <w:rPr>
          <w:rFonts w:ascii="Arial" w:hAnsi="Arial" w:cs="Arial"/>
          <w:color w:val="000000" w:themeColor="text1"/>
        </w:rPr>
      </w:pPr>
      <w:r>
        <w:rPr>
          <w:rFonts w:cs="Arial"/>
          <w:color w:val="000000" w:themeColor="text1"/>
        </w:rPr>
        <w:t>O PROGRAMA UFVJM NA COMUNIDADE, cujo objetivo será constituir equipes da UFVJM para realizar ações de extensão junto à comunidade. O programa visa essencialmente levar a UFVJM nas várias comunidades (municípios, distritos e associações) englobadas nas regiões onde a UFVJM atua ou pretenda atuar.</w:t>
      </w:r>
    </w:p>
    <w:p>
      <w:pPr>
        <w:pStyle w:val="ListParagraph"/>
        <w:spacing w:lineRule="auto" w:line="360" w:before="0" w:after="0"/>
        <w:contextualSpacing/>
        <w:jc w:val="both"/>
        <w:rPr>
          <w:rFonts w:ascii="Arial" w:hAnsi="Arial" w:cs="Arial"/>
          <w:color w:val="000000" w:themeColor="text1"/>
        </w:rPr>
      </w:pPr>
      <w:r>
        <w:rPr>
          <w:rFonts w:cs="Arial"/>
          <w:color w:val="000000" w:themeColor="text1"/>
        </w:rPr>
      </w:r>
    </w:p>
    <w:p>
      <w:pPr>
        <w:pStyle w:val="ListParagraph"/>
        <w:numPr>
          <w:ilvl w:val="0"/>
          <w:numId w:val="26"/>
        </w:numPr>
        <w:spacing w:lineRule="auto" w:line="360" w:before="0" w:after="0"/>
        <w:contextualSpacing/>
        <w:jc w:val="both"/>
        <w:rPr>
          <w:rFonts w:ascii="Arial" w:hAnsi="Arial" w:cs="Arial"/>
          <w:color w:val="000000" w:themeColor="text1"/>
        </w:rPr>
      </w:pPr>
      <w:r>
        <w:rPr>
          <w:rFonts w:cs="Arial"/>
          <w:color w:val="000000" w:themeColor="text1"/>
        </w:rPr>
        <w:t>O PROGRAMA MEMORIAL DOS VALES, cujo o objetivo será criar espaços na UFVJM para concentrar informações a respeito da tradição cultural presente nos Vales do Jequitinhonha e do Mucuri, Norte e Noroeste de Minas, de modo que estes espaços sirvam como fonte de referência para visitação e para a busca de informações gerais sobre tais tradições.</w:t>
      </w:r>
    </w:p>
    <w:p>
      <w:pPr>
        <w:pStyle w:val="ListParagraph"/>
        <w:rPr>
          <w:rFonts w:ascii="Arial" w:hAnsi="Arial" w:cs="Arial"/>
          <w:color w:val="000000" w:themeColor="text1"/>
        </w:rPr>
      </w:pPr>
      <w:r>
        <w:rPr>
          <w:rFonts w:cs="Arial"/>
          <w:color w:val="000000" w:themeColor="text1"/>
        </w:rPr>
      </w:r>
    </w:p>
    <w:p>
      <w:pPr>
        <w:pStyle w:val="ListParagraph"/>
        <w:numPr>
          <w:ilvl w:val="0"/>
          <w:numId w:val="26"/>
        </w:numPr>
        <w:spacing w:lineRule="auto" w:line="360" w:before="0" w:after="0"/>
        <w:contextualSpacing/>
        <w:jc w:val="both"/>
        <w:rPr>
          <w:rFonts w:ascii="Arial" w:hAnsi="Arial" w:cs="Arial"/>
          <w:color w:val="000000" w:themeColor="text1"/>
        </w:rPr>
      </w:pPr>
      <w:r>
        <w:rPr>
          <w:rFonts w:cs="Arial"/>
          <w:color w:val="000000" w:themeColor="text1"/>
        </w:rPr>
        <w:t>O PROGRAMA INTERINSTITUCIONAL DE APOIO AO DESENVOLVIMENTO REGIONAL: o objetivo será constituir uma equipe com agentes de várias instituições (EMATER, IDENE, IMA, VIGILÂNCIA SANITÁRIA, IEF, IFNMG, SUPRAM, FIEMG, FETAEMG, SEBRAE, etc), de modo que possam atuar de forma conjunta em ações de desenvolvimento regional.</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color w:val="000000" w:themeColor="text1"/>
        </w:rPr>
      </w:pPr>
      <w:r>
        <w:rPr>
          <w:rFonts w:cs="Arial"/>
          <w:color w:val="000000" w:themeColor="text1"/>
        </w:rPr>
      </w:r>
    </w:p>
    <w:p>
      <w:pPr>
        <w:pStyle w:val="ListParagraph"/>
        <w:spacing w:lineRule="auto" w:line="360" w:before="0" w:after="0"/>
        <w:ind w:left="0" w:hanging="0"/>
        <w:contextualSpacing/>
        <w:jc w:val="both"/>
        <w:rPr>
          <w:rFonts w:ascii="Arial" w:hAnsi="Arial" w:cs="Arial"/>
        </w:rPr>
      </w:pPr>
      <w:r>
        <w:rPr>
          <w:rFonts w:cs="Arial"/>
          <w:b/>
          <w:bCs/>
          <w:color w:val="000000" w:themeColor="text1"/>
        </w:rPr>
        <w:t xml:space="preserve">2.11. Relações Internacionais – Política de Mobilidade Acadêmica </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ind w:firstLine="708"/>
        <w:jc w:val="both"/>
        <w:rPr>
          <w:rFonts w:ascii="Arial" w:hAnsi="Arial" w:cs="Arial"/>
          <w:bCs/>
          <w:color w:val="000000" w:themeColor="text1"/>
        </w:rPr>
      </w:pPr>
      <w:r>
        <w:rPr>
          <w:rFonts w:cs="Arial"/>
          <w:bCs/>
          <w:color w:val="000000" w:themeColor="text1"/>
        </w:rPr>
        <w:t>A DRI tem desenvolvido suas funções de acordo com o planejado e previsto no PDI, dando ênfase à aproximação do Projeto do MEC “Idiomas sem Fronteiras” (IsF) – NucLi a esta diretoria.</w:t>
      </w:r>
    </w:p>
    <w:p>
      <w:pPr>
        <w:pStyle w:val="Normal1"/>
        <w:spacing w:lineRule="auto" w:line="360"/>
        <w:ind w:firstLine="708"/>
        <w:jc w:val="both"/>
        <w:rPr>
          <w:rFonts w:ascii="Arial" w:hAnsi="Arial" w:cs="Arial"/>
          <w:bCs/>
          <w:color w:val="000000" w:themeColor="text1"/>
        </w:rPr>
      </w:pPr>
      <w:r>
        <w:rPr>
          <w:rFonts w:cs="Arial"/>
          <w:bCs/>
          <w:color w:val="000000" w:themeColor="text1"/>
        </w:rPr>
        <w:t>Seguindo a orientação do Reitor da UFVJM, estamos no labor de reestruturar o Centro de Línguas e Culturas (CELIC), com participação direta da FIH-Cursos de Letras, responsáveis pela elaboração do Projeto, com objetivo precípuo de ofertar uma segunda língua à comunidad eacadêmica da UFVJM.</w:t>
      </w:r>
    </w:p>
    <w:p>
      <w:pPr>
        <w:pStyle w:val="Normal1"/>
        <w:spacing w:lineRule="auto" w:line="360"/>
        <w:ind w:firstLine="708"/>
        <w:jc w:val="both"/>
        <w:rPr>
          <w:rFonts w:ascii="Arial" w:hAnsi="Arial" w:cs="Arial"/>
          <w:bCs/>
          <w:color w:val="000000" w:themeColor="text1"/>
        </w:rPr>
      </w:pPr>
      <w:r>
        <w:rPr>
          <w:rFonts w:cs="Arial"/>
          <w:bCs/>
          <w:color w:val="000000" w:themeColor="text1"/>
        </w:rPr>
        <w:t>A DRI tem apoiado a participação de professores e alunos em eventos internacionais e ampliado o número de acordos. Para tal, tem utilizado recursos do orçamento da DRI e do Projeto de Internacionalização da FAPEMIG que finda no fim do mês de outubro de 2017.</w:t>
      </w:r>
    </w:p>
    <w:p>
      <w:pPr>
        <w:pStyle w:val="Normal1"/>
        <w:spacing w:lineRule="auto" w:line="360"/>
        <w:ind w:firstLine="708"/>
        <w:jc w:val="both"/>
        <w:rPr>
          <w:rFonts w:ascii="Arial" w:hAnsi="Arial" w:cs="Arial"/>
          <w:bCs/>
          <w:color w:val="000000" w:themeColor="text1"/>
        </w:rPr>
      </w:pPr>
      <w:r>
        <w:rPr>
          <w:rFonts w:cs="Arial"/>
          <w:bCs/>
          <w:color w:val="000000" w:themeColor="text1"/>
        </w:rPr>
        <w:t>Em função do congelamento do programa Ciência sem Fronteiras, a estratégia seguida pela DRI foi a de participar de projetos de mobilidade internacional que têm como base o financiamento externo, a exemplo do Erasmus +, Branetec, Brafitec, de acordos bilaterais com universidades estrangeiras e com os Companheiros das Américas.</w:t>
      </w:r>
    </w:p>
    <w:p>
      <w:pPr>
        <w:pStyle w:val="Normal1"/>
        <w:spacing w:lineRule="auto" w:line="360"/>
        <w:ind w:firstLine="708"/>
        <w:jc w:val="both"/>
        <w:rPr>
          <w:rFonts w:ascii="Arial" w:hAnsi="Arial" w:cs="Arial"/>
          <w:bCs/>
          <w:color w:val="000000" w:themeColor="text1"/>
        </w:rPr>
      </w:pPr>
      <w:r>
        <w:rPr>
          <w:rFonts w:cs="Arial"/>
          <w:bCs/>
          <w:color w:val="000000" w:themeColor="text1"/>
        </w:rPr>
        <w:t>Por outro lado, esta DRI tem propiciado o acolhimento de professores, pesquisadores e alunos do exterior, assim como é responsável pela logística de receber visitas de professores e pesquisadores estrangeiros.</w:t>
      </w:r>
    </w:p>
    <w:p>
      <w:pPr>
        <w:pStyle w:val="Normal1"/>
        <w:spacing w:lineRule="auto" w:line="360"/>
        <w:ind w:firstLine="708"/>
        <w:jc w:val="both"/>
        <w:rPr>
          <w:rFonts w:ascii="Arial" w:hAnsi="Arial" w:cs="Arial"/>
          <w:bCs/>
          <w:color w:val="000000" w:themeColor="text1"/>
        </w:rPr>
      </w:pPr>
      <w:r>
        <w:rPr>
          <w:rFonts w:cs="Arial"/>
          <w:bCs/>
          <w:color w:val="000000" w:themeColor="text1"/>
        </w:rPr>
        <w:t>Ameaças para o desenvolvimento da internacionalização no ano 2017e a escassez orçamentária da DRI, o processo de participação desta IES no cenário internacional estará comprometido, principalmente pelo fato de os recursos da FAPEMIG não estarem mais disponíveis.</w:t>
      </w:r>
    </w:p>
    <w:p>
      <w:pPr>
        <w:pStyle w:val="Normal1"/>
        <w:spacing w:lineRule="auto" w:line="360"/>
        <w:ind w:firstLine="708"/>
        <w:jc w:val="both"/>
        <w:rPr>
          <w:rFonts w:ascii="Arial" w:hAnsi="Arial" w:cs="Arial"/>
          <w:bCs/>
          <w:color w:val="000000" w:themeColor="text1"/>
        </w:rPr>
      </w:pPr>
      <w:r>
        <w:rPr>
          <w:rFonts w:cs="Arial"/>
          <w:bCs/>
          <w:color w:val="000000" w:themeColor="text1"/>
        </w:rPr>
        <w:t xml:space="preserve">Ainda não foi recebida orientação do MEC sobre o Projeto Idiomas sem Fronteiras – NucLi-, no sentido de continuar ou não apoiando-o com recursos específicos. </w:t>
      </w:r>
    </w:p>
    <w:p>
      <w:pPr>
        <w:pStyle w:val="Normal1"/>
        <w:spacing w:lineRule="auto" w:line="360"/>
        <w:ind w:firstLine="708"/>
        <w:jc w:val="both"/>
        <w:rPr>
          <w:rFonts w:ascii="Arial" w:hAnsi="Arial" w:cs="Arial"/>
          <w:bCs/>
          <w:color w:val="000000" w:themeColor="text1"/>
        </w:rPr>
      </w:pPr>
      <w:r>
        <w:rPr>
          <w:rFonts w:cs="Arial"/>
          <w:bCs/>
          <w:color w:val="000000" w:themeColor="text1"/>
        </w:rPr>
        <w:t>Também destacamos que a ampliação da oferta de cursos de idiomas ficaria dependente da PROGRAD, no que se refere a vagas de monitoria, o que compromete o projeto institucional, no sentido de assegurar o aprendizado de um segundo idioma para o universo dos acadêmicos desta IES.</w:t>
      </w:r>
    </w:p>
    <w:p>
      <w:pPr>
        <w:pStyle w:val="Normal1"/>
        <w:spacing w:lineRule="auto" w:line="360"/>
        <w:ind w:firstLine="708"/>
        <w:jc w:val="both"/>
        <w:rPr>
          <w:rFonts w:ascii="Arial" w:hAnsi="Arial" w:cs="Arial"/>
          <w:bCs/>
          <w:color w:val="000000" w:themeColor="text1"/>
        </w:rPr>
      </w:pPr>
      <w:r>
        <w:rPr>
          <w:rFonts w:cs="Arial"/>
          <w:bCs/>
          <w:color w:val="000000" w:themeColor="text1"/>
        </w:rPr>
        <w:t>A participação de professores e investigadores estrangeiros para participar em eventos específicos com apoio da DRI estará condicionada aos recursos orçamentários disponibilizados pelo MEC, orçamento 2017, ainda sem definição.</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smallCaps/>
          <w:color w:val="000000" w:themeColor="text1"/>
        </w:rPr>
      </w:pPr>
      <w:r>
        <w:rPr>
          <w:rFonts w:cs="Arial"/>
          <w:b/>
          <w:smallCaps/>
          <w:color w:val="000000" w:themeColor="text1"/>
        </w:rPr>
        <w:t xml:space="preserve">Plano de Desenvolvimento Institucional - 2017 – 2021 </w:t>
      </w:r>
    </w:p>
    <w:p>
      <w:pPr>
        <w:pStyle w:val="Normal1"/>
        <w:spacing w:lineRule="auto" w:line="360"/>
        <w:jc w:val="both"/>
        <w:rPr>
          <w:rFonts w:ascii="Arial" w:hAnsi="Arial" w:cs="Arial"/>
          <w:b/>
          <w:b/>
          <w:smallCaps/>
          <w:color w:val="000000" w:themeColor="text1"/>
        </w:rPr>
      </w:pPr>
      <w:r>
        <w:rPr>
          <w:rFonts w:cs="Arial"/>
          <w:b/>
          <w:smallCaps/>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Objetivos</w:t>
      </w:r>
    </w:p>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numPr>
          <w:ilvl w:val="0"/>
          <w:numId w:val="27"/>
        </w:numPr>
        <w:spacing w:lineRule="auto" w:line="360" w:before="0" w:after="0"/>
        <w:contextualSpacing/>
        <w:jc w:val="both"/>
        <w:rPr>
          <w:rFonts w:ascii="Arial" w:hAnsi="Arial" w:cs="Arial"/>
          <w:color w:val="000000" w:themeColor="text1"/>
        </w:rPr>
      </w:pPr>
      <w:r>
        <w:rPr>
          <w:rFonts w:cs="Arial"/>
          <w:color w:val="000000" w:themeColor="text1"/>
        </w:rPr>
        <w:t>Consolidar o ensino de uma segunda língua, por meio do CELIC (Centro de Línguas e Cultura).</w:t>
      </w:r>
    </w:p>
    <w:p>
      <w:pPr>
        <w:pStyle w:val="ListParagraph"/>
        <w:numPr>
          <w:ilvl w:val="0"/>
          <w:numId w:val="27"/>
        </w:numPr>
        <w:spacing w:lineRule="auto" w:line="360" w:before="0" w:after="0"/>
        <w:contextualSpacing/>
        <w:jc w:val="both"/>
        <w:rPr>
          <w:rFonts w:ascii="Arial" w:hAnsi="Arial" w:cs="Arial"/>
          <w:color w:val="000000" w:themeColor="text1"/>
        </w:rPr>
      </w:pPr>
      <w:r>
        <w:rPr>
          <w:rFonts w:cs="Arial"/>
          <w:color w:val="000000" w:themeColor="text1"/>
        </w:rPr>
        <w:t>Assistir a Reitoria da UFVJM na formulação e análise de propostas de cooperação de organismos internacionais, bilaterais e multilaterais, no campo da educação superior, que assegurem o crescimento institucional e a qualificação das atividades acadêmicas.</w:t>
      </w:r>
    </w:p>
    <w:p>
      <w:pPr>
        <w:pStyle w:val="ListParagraph"/>
        <w:numPr>
          <w:ilvl w:val="0"/>
          <w:numId w:val="27"/>
        </w:numPr>
        <w:spacing w:lineRule="auto" w:line="360" w:before="0" w:after="0"/>
        <w:contextualSpacing/>
        <w:jc w:val="both"/>
        <w:rPr>
          <w:rFonts w:ascii="Arial" w:hAnsi="Arial" w:cs="Arial"/>
          <w:color w:val="000000" w:themeColor="text1"/>
        </w:rPr>
      </w:pPr>
      <w:r>
        <w:rPr>
          <w:rFonts w:cs="Arial"/>
          <w:color w:val="000000" w:themeColor="text1"/>
        </w:rPr>
        <w:t>Planejar, orientar, promover e coordenar o processo de planejamento de programas, projetos e atividades de cooperação internacional no campo da educação superior, em articulação com as Pró-reitorias de Graduação, Pesquisa e Pós-Graduação, de Extensão, e de Assistência Comunitária eEstudantil.</w:t>
      </w:r>
    </w:p>
    <w:p>
      <w:pPr>
        <w:pStyle w:val="ListParagraph"/>
        <w:numPr>
          <w:ilvl w:val="0"/>
          <w:numId w:val="27"/>
        </w:numPr>
        <w:spacing w:lineRule="auto" w:line="360" w:before="0" w:after="0"/>
        <w:contextualSpacing/>
        <w:jc w:val="both"/>
        <w:rPr>
          <w:rFonts w:ascii="Arial" w:hAnsi="Arial" w:cs="Arial"/>
          <w:color w:val="000000" w:themeColor="text1"/>
        </w:rPr>
      </w:pPr>
      <w:r>
        <w:rPr>
          <w:rFonts w:cs="Arial"/>
          <w:color w:val="000000" w:themeColor="text1"/>
        </w:rPr>
        <w:t>Divulgar programas de mobilidade acadêmica e oportunidades de bolsas de estudos junto à Diretora de Comunicações.</w:t>
      </w:r>
    </w:p>
    <w:p>
      <w:pPr>
        <w:pStyle w:val="ListParagraph"/>
        <w:numPr>
          <w:ilvl w:val="0"/>
          <w:numId w:val="27"/>
        </w:numPr>
        <w:spacing w:lineRule="auto" w:line="360" w:before="0" w:after="0"/>
        <w:contextualSpacing/>
        <w:jc w:val="both"/>
        <w:rPr>
          <w:rFonts w:ascii="Arial" w:hAnsi="Arial" w:cs="Arial"/>
          <w:color w:val="000000" w:themeColor="text1"/>
        </w:rPr>
      </w:pPr>
      <w:r>
        <w:rPr>
          <w:rFonts w:cs="Arial"/>
          <w:color w:val="000000" w:themeColor="text1"/>
        </w:rPr>
        <w:t>Fortalecer as relações com instituições que destinam recursos a projetos internacionais com o Brasil.</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color w:val="000000" w:themeColor="text1"/>
        </w:rPr>
      </w:pPr>
      <w:r>
        <w:rPr>
          <w:rFonts w:cs="Arial"/>
          <w:b/>
          <w:color w:val="000000" w:themeColor="text1"/>
        </w:rPr>
        <w:t>Metas</w:t>
      </w:r>
    </w:p>
    <w:p>
      <w:pPr>
        <w:pStyle w:val="ListParagraph"/>
        <w:numPr>
          <w:ilvl w:val="0"/>
          <w:numId w:val="28"/>
        </w:numPr>
        <w:spacing w:lineRule="auto" w:line="360" w:before="0" w:after="0"/>
        <w:contextualSpacing/>
        <w:jc w:val="both"/>
        <w:rPr>
          <w:rFonts w:ascii="Arial" w:hAnsi="Arial" w:cs="Arial"/>
          <w:color w:val="000000" w:themeColor="text1"/>
        </w:rPr>
      </w:pPr>
      <w:r>
        <w:rPr>
          <w:rFonts w:cs="Arial"/>
          <w:color w:val="000000" w:themeColor="text1"/>
        </w:rPr>
        <w:t>Aumentar o número de estudantes PEC-G em cursos ofertados pela UFVJM em 30% em 5 anos.</w:t>
      </w:r>
    </w:p>
    <w:p>
      <w:pPr>
        <w:pStyle w:val="ListParagraph"/>
        <w:numPr>
          <w:ilvl w:val="0"/>
          <w:numId w:val="28"/>
        </w:numPr>
        <w:spacing w:lineRule="auto" w:line="360" w:before="0" w:after="0"/>
        <w:contextualSpacing/>
        <w:jc w:val="both"/>
        <w:rPr>
          <w:rFonts w:ascii="Arial" w:hAnsi="Arial" w:cs="Arial"/>
          <w:color w:val="000000" w:themeColor="text1"/>
        </w:rPr>
      </w:pPr>
      <w:r>
        <w:rPr>
          <w:rFonts w:cs="Arial"/>
          <w:color w:val="000000" w:themeColor="text1"/>
        </w:rPr>
        <w:t xml:space="preserve">Aumentar o número de estudantes inseridos em Programas de Iniciação Científica da CAPES com foco em mobilidade internacional em 20%. </w:t>
      </w:r>
    </w:p>
    <w:p>
      <w:pPr>
        <w:pStyle w:val="ListParagraph"/>
        <w:numPr>
          <w:ilvl w:val="0"/>
          <w:numId w:val="28"/>
        </w:numPr>
        <w:spacing w:lineRule="auto" w:line="360" w:before="0" w:after="0"/>
        <w:contextualSpacing/>
        <w:jc w:val="both"/>
        <w:rPr>
          <w:rFonts w:ascii="Arial" w:hAnsi="Arial" w:cs="Arial"/>
          <w:color w:val="000000" w:themeColor="text1"/>
        </w:rPr>
      </w:pPr>
      <w:r>
        <w:rPr>
          <w:rFonts w:cs="Arial"/>
          <w:color w:val="000000" w:themeColor="text1"/>
        </w:rPr>
        <w:t xml:space="preserve">Aumentar em 30% a participação da UFVJM em redes de cooperação científica internacionais. </w:t>
      </w:r>
    </w:p>
    <w:p>
      <w:pPr>
        <w:pStyle w:val="ListParagraph"/>
        <w:numPr>
          <w:ilvl w:val="0"/>
          <w:numId w:val="28"/>
        </w:numPr>
        <w:spacing w:lineRule="auto" w:line="360" w:before="0" w:after="0"/>
        <w:contextualSpacing/>
        <w:jc w:val="both"/>
        <w:rPr>
          <w:rFonts w:ascii="Arial" w:hAnsi="Arial" w:cs="Arial"/>
          <w:color w:val="000000" w:themeColor="text1"/>
        </w:rPr>
      </w:pPr>
      <w:r>
        <w:rPr>
          <w:rFonts w:cs="Arial"/>
          <w:color w:val="000000" w:themeColor="text1"/>
        </w:rPr>
        <w:t xml:space="preserve">Consolidar o Centro de Línguas e Culturas como instrumento da internacionalização, ofertando e ampliando as vagas para cursos de Inglês, Espanhol, Francês e outras demandas. </w:t>
      </w:r>
    </w:p>
    <w:p>
      <w:pPr>
        <w:pStyle w:val="ListParagraph"/>
        <w:numPr>
          <w:ilvl w:val="0"/>
          <w:numId w:val="28"/>
        </w:numPr>
        <w:spacing w:lineRule="auto" w:line="360" w:before="0" w:after="0"/>
        <w:contextualSpacing/>
        <w:jc w:val="both"/>
        <w:rPr>
          <w:rFonts w:ascii="Arial" w:hAnsi="Arial" w:cs="Arial"/>
          <w:color w:val="000000" w:themeColor="text1"/>
        </w:rPr>
      </w:pPr>
      <w:r>
        <w:rPr>
          <w:rFonts w:cs="Arial"/>
          <w:color w:val="000000" w:themeColor="text1"/>
        </w:rPr>
        <w:t>Aumentar oportunidades de internacionalização pela oferta de cursos de português para estrangeiros com aumento de alunos estrangeiros de até 50%.</w:t>
      </w:r>
    </w:p>
    <w:p>
      <w:pPr>
        <w:pStyle w:val="ListParagraph"/>
        <w:numPr>
          <w:ilvl w:val="0"/>
          <w:numId w:val="28"/>
        </w:numPr>
        <w:spacing w:lineRule="auto" w:line="360" w:before="0" w:after="0"/>
        <w:contextualSpacing/>
        <w:jc w:val="both"/>
        <w:rPr>
          <w:rFonts w:ascii="Arial" w:hAnsi="Arial" w:cs="Arial"/>
          <w:color w:val="000000" w:themeColor="text1"/>
        </w:rPr>
      </w:pPr>
      <w:r>
        <w:rPr>
          <w:rFonts w:cs="Arial"/>
          <w:color w:val="000000" w:themeColor="text1"/>
        </w:rPr>
        <w:t>Aumentar as oportunidades de participação dos alunos da UFVJM em cursos intensivos de línguas estrangeiras em países de América Latina, Estados Unidos da América e Canadá em 15%.</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Ações</w:t>
      </w:r>
    </w:p>
    <w:p>
      <w:pPr>
        <w:pStyle w:val="Normal1"/>
        <w:spacing w:lineRule="auto" w:line="360"/>
        <w:jc w:val="both"/>
        <w:rPr>
          <w:rFonts w:ascii="Arial" w:hAnsi="Arial" w:cs="Arial"/>
          <w:color w:val="000000" w:themeColor="text1"/>
        </w:rPr>
      </w:pPr>
      <w:r>
        <w:rPr>
          <w:rFonts w:cs="Arial"/>
          <w:color w:val="000000" w:themeColor="text1"/>
        </w:rPr>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Efetivar o programa Ensino de Uma Segunda Língua, na DRI.</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Organizar e subsidiar a participação de representantes da UFVJM em conferências, ciclos de estudo, bolsas de estudo para docentes e discentes, no âmbito internacional com foco na inserção desta IES em redes.</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 xml:space="preserve">Monitorar os projetos e convênios interuniversitários de competência internacional. </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Alimentar a página da UFVJM na internet com ofertas de cursos e eventosno exterior.</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Estudar e dar parecer sobre as demandas de cooperação internacional apresentadas pela reitoria, diretores de cursos, pesquisa e extensão.</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Participar das reuniões da ANDIFES, MEC, FAUBAI e outras instituições de educação onde sejam discutidosassuntos de interesse da UFVJM relacionados a atividades de internacionalização.</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Pesquisar sobre ofertas de cooperação internacional no âmbito dos cursos e atividades desenvolvidas pela UFVJM.</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Direcionar para os diferentes cursos e unidades competentes as ofertas de cursos, reuniões e atividades científicas no exterior, que propiciem a melhoria da qualidade do ensino, da pesquisa e da extensão da UFVJM.</w:t>
      </w:r>
    </w:p>
    <w:p>
      <w:pPr>
        <w:pStyle w:val="ListParagraph"/>
        <w:numPr>
          <w:ilvl w:val="0"/>
          <w:numId w:val="29"/>
        </w:numPr>
        <w:spacing w:lineRule="auto" w:line="360" w:before="0" w:after="0"/>
        <w:contextualSpacing/>
        <w:jc w:val="both"/>
        <w:rPr>
          <w:rFonts w:ascii="Arial" w:hAnsi="Arial" w:cs="Arial"/>
          <w:color w:val="000000" w:themeColor="text1"/>
        </w:rPr>
      </w:pPr>
      <w:r>
        <w:rPr>
          <w:rFonts w:cs="Arial"/>
          <w:color w:val="000000" w:themeColor="text1"/>
        </w:rPr>
        <w:t>Receber delegações de instituições de ensino e pesquisa de outros países.</w:t>
      </w:r>
    </w:p>
    <w:p>
      <w:pPr>
        <w:pStyle w:val="ListParagraph"/>
        <w:numPr>
          <w:ilvl w:val="0"/>
          <w:numId w:val="29"/>
        </w:numPr>
        <w:spacing w:lineRule="auto" w:line="360" w:before="0" w:after="0"/>
        <w:contextualSpacing/>
        <w:jc w:val="both"/>
        <w:rPr>
          <w:rFonts w:ascii="Arial" w:hAnsi="Arial" w:cs="Arial"/>
          <w:b/>
          <w:b/>
          <w:color w:val="000000" w:themeColor="text1"/>
        </w:rPr>
      </w:pPr>
      <w:r>
        <w:rPr>
          <w:rFonts w:cs="Arial"/>
          <w:color w:val="000000" w:themeColor="text1"/>
        </w:rPr>
        <w:t>Preparar a atualização do material de divulgação da Diretora de Relações Internacionais em vários idiomas.</w:t>
      </w:r>
    </w:p>
    <w:p>
      <w:pPr>
        <w:pStyle w:val="ListParagraph"/>
        <w:numPr>
          <w:ilvl w:val="0"/>
          <w:numId w:val="29"/>
        </w:numPr>
        <w:spacing w:lineRule="auto" w:line="360" w:before="0" w:after="0"/>
        <w:contextualSpacing/>
        <w:jc w:val="both"/>
        <w:rPr>
          <w:rFonts w:ascii="Arial" w:hAnsi="Arial" w:cs="Arial"/>
          <w:b/>
          <w:b/>
          <w:color w:val="000000" w:themeColor="text1"/>
        </w:rPr>
      </w:pPr>
      <w:r>
        <w:rPr>
          <w:rFonts w:cs="Arial"/>
          <w:color w:val="000000" w:themeColor="text1"/>
        </w:rPr>
        <w:t>Apoiar as demandas da UFVJM por tradução de documentos em inglês e espanhol.</w:t>
      </w:r>
    </w:p>
    <w:p>
      <w:pPr>
        <w:pStyle w:val="Normal1"/>
        <w:spacing w:lineRule="auto" w:line="360"/>
        <w:rPr>
          <w:rFonts w:ascii="Arial" w:hAnsi="Arial" w:cs="Arial"/>
          <w:color w:val="000000" w:themeColor="text1"/>
        </w:rPr>
      </w:pPr>
      <w:r>
        <w:rPr>
          <w:rFonts w:cs="Arial"/>
          <w:color w:val="000000" w:themeColor="text1"/>
        </w:rPr>
      </w:r>
      <w:r>
        <w:br w:type="page"/>
      </w:r>
    </w:p>
    <w:p>
      <w:pPr>
        <w:pStyle w:val="Normal"/>
        <w:spacing w:lineRule="auto" w:line="360"/>
        <w:jc w:val="both"/>
        <w:rPr>
          <w:rFonts w:ascii="Arial" w:hAnsi="Arial" w:cs="Arial"/>
          <w:b/>
          <w:b/>
          <w:sz w:val="24"/>
          <w:szCs w:val="24"/>
        </w:rPr>
      </w:pPr>
      <w:r>
        <w:rPr>
          <w:rFonts w:cs="Arial" w:ascii="Arial" w:hAnsi="Arial"/>
          <w:b/>
          <w:bCs/>
          <w:sz w:val="24"/>
          <w:szCs w:val="24"/>
        </w:rPr>
        <w:t xml:space="preserve">2.12. Políticas de Equalização de Oportunidades </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b/>
          <w:b/>
          <w:sz w:val="24"/>
          <w:szCs w:val="24"/>
        </w:rPr>
      </w:pPr>
      <w:r>
        <w:rPr>
          <w:rFonts w:cs="Arial" w:ascii="Arial" w:hAnsi="Arial"/>
          <w:b/>
          <w:bCs/>
          <w:sz w:val="24"/>
          <w:szCs w:val="24"/>
        </w:rPr>
        <w:t>2.12.1. Assistência Estudantil</w:t>
      </w:r>
    </w:p>
    <w:p>
      <w:pPr>
        <w:pStyle w:val="Normal"/>
        <w:spacing w:lineRule="auto" w:line="360"/>
        <w:ind w:firstLine="426"/>
        <w:jc w:val="both"/>
        <w:rPr>
          <w:rFonts w:ascii="Arial" w:hAnsi="Arial" w:cs="Arial"/>
          <w:sz w:val="24"/>
          <w:szCs w:val="24"/>
        </w:rPr>
      </w:pPr>
      <w:r>
        <w:rPr>
          <w:rFonts w:cs="Arial" w:ascii="Arial" w:hAnsi="Arial"/>
          <w:sz w:val="24"/>
          <w:szCs w:val="24"/>
        </w:rPr>
        <w:t>A Pró-Reitoria de Assuntos Comunitários e Estudantis – PROACE, integrante da Reitoria da Universidade Federal dos Vales do Jequitinhonha e Mucuri – UFVJM, tem por finalidade promover o bem-estar, a qualidade de vida e o desenvolvimento da comunidade acadêmica, por meio da proposição, planejamento e execução de ações de assistência estudantil e promoção/inclusão social; promoção e atenção à saúde; segurança do trabalho e higiene ocupacional; acessibilidade, diversidade e inclusão; esporte e lazer. Atualmente, a PROACE é organizada em três diretorias: Diretoria de Assistência Estudantil – DAE; Diretoria de Atenção à Saúde e Acessibilidade – DASA; e Diretoria de Extensão, Cultura, Assuntos Comunitários e Estudantis – DECACE.</w:t>
      </w:r>
    </w:p>
    <w:p>
      <w:pPr>
        <w:pStyle w:val="Normal"/>
        <w:spacing w:lineRule="auto" w:line="360"/>
        <w:ind w:firstLine="426"/>
        <w:jc w:val="both"/>
        <w:rPr>
          <w:rFonts w:ascii="Arial" w:hAnsi="Arial" w:cs="Arial"/>
          <w:sz w:val="24"/>
          <w:szCs w:val="24"/>
        </w:rPr>
      </w:pPr>
      <w:r>
        <w:rPr>
          <w:rFonts w:cs="Arial" w:ascii="Arial" w:hAnsi="Arial"/>
          <w:sz w:val="24"/>
          <w:szCs w:val="24"/>
        </w:rPr>
        <w:t>A Diretoria de Assistência Estudantil tem suas ações direcionadas prioritariamente aos discentes que comprovam estado de vulnerabilidade socioeconômica, por meio do Programa de Assistência Estudantil – PAE.</w:t>
      </w:r>
    </w:p>
    <w:p>
      <w:pPr>
        <w:pStyle w:val="Normal"/>
        <w:spacing w:lineRule="auto" w:line="360"/>
        <w:ind w:firstLine="426"/>
        <w:jc w:val="both"/>
        <w:rPr>
          <w:rFonts w:ascii="Arial" w:hAnsi="Arial" w:cs="Arial"/>
          <w:sz w:val="24"/>
          <w:szCs w:val="24"/>
        </w:rPr>
      </w:pPr>
      <w:r>
        <w:rPr>
          <w:rFonts w:cs="Arial" w:ascii="Arial" w:hAnsi="Arial"/>
          <w:sz w:val="24"/>
          <w:szCs w:val="24"/>
        </w:rPr>
        <w:t xml:space="preserve">O PAE da UFVJM foi criado para possibilitar a oferta do serviço de assistência estudantil, tendo como finalidade gerar condições para a ampliação da permanência e êxito no processo educativo dos discentes devidamente matriculados nos cursos de graduação presencial da UFVJM. </w:t>
      </w:r>
    </w:p>
    <w:p>
      <w:pPr>
        <w:pStyle w:val="Normal"/>
        <w:spacing w:lineRule="auto" w:line="360"/>
        <w:ind w:firstLine="426"/>
        <w:jc w:val="both"/>
        <w:rPr>
          <w:rFonts w:ascii="Arial" w:hAnsi="Arial" w:cs="Arial"/>
          <w:sz w:val="24"/>
          <w:szCs w:val="24"/>
        </w:rPr>
      </w:pPr>
      <w:r>
        <w:rPr>
          <w:rFonts w:cs="Arial" w:ascii="Arial" w:hAnsi="Arial"/>
          <w:sz w:val="24"/>
          <w:szCs w:val="24"/>
        </w:rPr>
        <w:t>O PAE é financiado pelo Programa Nacional de Assistência Estudantil (PNAES) do Ministério da Educação, podendo receber suporte de receitas próprias obtidas pela UFVJM, dentro da disponibilidade orçamentária da Instituição e da autorização do Conselho Universitário.</w:t>
      </w:r>
    </w:p>
    <w:p>
      <w:pPr>
        <w:pStyle w:val="Normal"/>
        <w:spacing w:lineRule="auto" w:line="360"/>
        <w:ind w:right="312" w:firstLine="426"/>
        <w:jc w:val="both"/>
        <w:rPr>
          <w:rFonts w:ascii="Arial" w:hAnsi="Arial" w:cs="Arial"/>
          <w:sz w:val="24"/>
          <w:szCs w:val="24"/>
          <w:highlight w:val="red"/>
        </w:rPr>
      </w:pPr>
      <w:r>
        <w:rPr>
          <w:rFonts w:cs="Arial" w:ascii="Arial" w:hAnsi="Arial"/>
          <w:sz w:val="24"/>
          <w:szCs w:val="24"/>
        </w:rPr>
        <w:t xml:space="preserve">O </w:t>
      </w:r>
      <w:r>
        <w:rPr>
          <w:rFonts w:cs="Arial" w:ascii="Arial" w:hAnsi="Arial"/>
          <w:b/>
          <w:sz w:val="24"/>
          <w:szCs w:val="24"/>
        </w:rPr>
        <w:t>PAE</w:t>
      </w:r>
      <w:r>
        <w:rPr>
          <w:rFonts w:cs="Arial" w:ascii="Arial" w:hAnsi="Arial"/>
          <w:sz w:val="24"/>
          <w:szCs w:val="24"/>
        </w:rPr>
        <w:t xml:space="preserve"> constitui-se das seguintes modalidades de benefícios: </w:t>
      </w:r>
    </w:p>
    <w:p>
      <w:pPr>
        <w:pStyle w:val="Normal"/>
        <w:spacing w:lineRule="auto" w:line="360" w:before="0" w:after="0"/>
        <w:contextualSpacing/>
        <w:jc w:val="both"/>
        <w:rPr>
          <w:rFonts w:ascii="Arial" w:hAnsi="Arial" w:cs="Arial"/>
          <w:sz w:val="24"/>
          <w:szCs w:val="24"/>
        </w:rPr>
      </w:pPr>
      <w:r>
        <w:rPr>
          <w:rFonts w:eastAsia="Times New Roman" w:cs="Arial" w:ascii="Arial" w:hAnsi="Arial"/>
          <w:b/>
          <w:sz w:val="24"/>
          <w:szCs w:val="24"/>
        </w:rPr>
        <w:t>Auxílio creche:</w:t>
      </w:r>
      <w:r>
        <w:rPr>
          <w:rFonts w:eastAsia="Times New Roman" w:cs="Arial" w:ascii="Arial" w:hAnsi="Arial"/>
          <w:sz w:val="24"/>
          <w:szCs w:val="24"/>
        </w:rPr>
        <w:t xml:space="preserve"> concessão de auxílio financeiro para custeio parcial das despesas com os dependentes legais do beneficiário, até o limite de idade de 04 (quatro) anos incompletos. </w:t>
      </w:r>
    </w:p>
    <w:p>
      <w:pPr>
        <w:pStyle w:val="Normal"/>
        <w:spacing w:lineRule="auto" w:line="360" w:before="0" w:after="0"/>
        <w:contextualSpacing/>
        <w:jc w:val="both"/>
        <w:rPr>
          <w:rFonts w:ascii="Arial" w:hAnsi="Arial" w:cs="Arial"/>
          <w:sz w:val="24"/>
          <w:szCs w:val="24"/>
        </w:rPr>
      </w:pPr>
      <w:r>
        <w:rPr>
          <w:rFonts w:eastAsia="Times New Roman" w:cs="Arial" w:ascii="Arial" w:hAnsi="Arial"/>
          <w:b/>
          <w:sz w:val="24"/>
          <w:szCs w:val="24"/>
        </w:rPr>
        <w:t>Auxílio emergencial:</w:t>
      </w:r>
      <w:r>
        <w:rPr>
          <w:rFonts w:eastAsia="Times New Roman" w:cs="Arial" w:ascii="Arial" w:hAnsi="Arial"/>
          <w:sz w:val="24"/>
          <w:szCs w:val="24"/>
        </w:rPr>
        <w:t xml:space="preserve"> concessão excepcional de auxílio para custeio parcial de alimentação e transporte ou disponibilização de vaga temporária na Moradia Estudantil Universitária. É concedido pelo tempo máximo correspondente ao período compreendido entre a solicitação do discente e o resultado do próximo edital de seleção do PAE, cabendo ao mesmo comprovar situação de extrema vulnerabilidade socioeconômica, criteriosamente avaliada pela Divisão de Serviço Social da PROACE. </w:t>
      </w:r>
    </w:p>
    <w:p>
      <w:pPr>
        <w:pStyle w:val="Normal"/>
        <w:spacing w:lineRule="auto" w:line="360"/>
        <w:jc w:val="both"/>
        <w:rPr>
          <w:rFonts w:ascii="Arial" w:hAnsi="Arial" w:cs="Arial"/>
          <w:sz w:val="24"/>
          <w:szCs w:val="24"/>
        </w:rPr>
      </w:pPr>
      <w:r>
        <w:rPr>
          <w:rFonts w:cs="Arial" w:ascii="Arial" w:hAnsi="Arial"/>
          <w:b/>
          <w:sz w:val="24"/>
          <w:szCs w:val="24"/>
        </w:rPr>
        <w:t>Auxílio material pedagógico:</w:t>
      </w:r>
      <w:r>
        <w:rPr>
          <w:rFonts w:cs="Arial" w:ascii="Arial" w:hAnsi="Arial"/>
          <w:sz w:val="24"/>
          <w:szCs w:val="24"/>
        </w:rPr>
        <w:t xml:space="preserve"> concessão, em sistema de empréstimo, de instrumental específico de alto custo exigido às atividades práticas nos cursos de graduação ao discente vulnerável socioeconomicamente. </w:t>
      </w:r>
    </w:p>
    <w:p>
      <w:pPr>
        <w:pStyle w:val="Normal"/>
        <w:spacing w:lineRule="auto" w:line="360"/>
        <w:jc w:val="both"/>
        <w:rPr>
          <w:rFonts w:ascii="Arial" w:hAnsi="Arial" w:cs="Arial"/>
          <w:sz w:val="24"/>
          <w:szCs w:val="24"/>
        </w:rPr>
      </w:pPr>
      <w:r>
        <w:rPr>
          <w:rFonts w:cs="Arial" w:ascii="Arial" w:hAnsi="Arial"/>
          <w:b/>
          <w:sz w:val="24"/>
          <w:szCs w:val="24"/>
        </w:rPr>
        <w:t>Auxílio manutenção:</w:t>
      </w:r>
      <w:r>
        <w:rPr>
          <w:rFonts w:cs="Arial" w:ascii="Arial" w:hAnsi="Arial"/>
          <w:sz w:val="24"/>
          <w:szCs w:val="24"/>
        </w:rPr>
        <w:t xml:space="preserve"> concessão de auxílio financeiro a ser utilizado para custeio parcial das despesas com alimentação e transporte, concedido em quatro parcelas semestrais.</w:t>
      </w:r>
    </w:p>
    <w:p>
      <w:pPr>
        <w:pStyle w:val="Normal"/>
        <w:spacing w:lineRule="auto" w:line="360" w:before="0" w:after="0"/>
        <w:contextualSpacing/>
        <w:jc w:val="both"/>
        <w:rPr>
          <w:rFonts w:ascii="Arial" w:hAnsi="Arial" w:cs="Arial"/>
          <w:sz w:val="24"/>
          <w:szCs w:val="24"/>
        </w:rPr>
      </w:pPr>
      <w:r>
        <w:rPr>
          <w:rFonts w:eastAsia="Times New Roman" w:cs="Arial" w:ascii="Arial" w:hAnsi="Arial"/>
          <w:b/>
          <w:sz w:val="24"/>
          <w:szCs w:val="24"/>
        </w:rPr>
        <w:t>Bolsa integração:</w:t>
      </w:r>
      <w:r>
        <w:rPr>
          <w:rFonts w:eastAsia="Times New Roman" w:cs="Arial" w:ascii="Arial" w:hAnsi="Arial"/>
          <w:sz w:val="24"/>
          <w:szCs w:val="24"/>
        </w:rPr>
        <w:t xml:space="preserve"> concessão de uma bolsa mensal, com o objetivo de despertar vocações para atividades de ensino, pesquisa, extensão/cultura e/ou administrativas, contribuindo para melhoria da qualidade da formação dos discentes e preparação para o mercado de trabalho, com vigência semestral.</w:t>
      </w:r>
    </w:p>
    <w:p>
      <w:pPr>
        <w:pStyle w:val="Normal"/>
        <w:spacing w:lineRule="auto" w:line="360"/>
        <w:jc w:val="both"/>
        <w:rPr>
          <w:rFonts w:ascii="Arial" w:hAnsi="Arial" w:cs="Arial"/>
          <w:sz w:val="24"/>
          <w:szCs w:val="24"/>
        </w:rPr>
      </w:pPr>
      <w:r>
        <w:rPr>
          <w:rFonts w:cs="Arial" w:ascii="Arial" w:hAnsi="Arial"/>
          <w:b/>
          <w:sz w:val="24"/>
          <w:szCs w:val="24"/>
        </w:rPr>
        <w:t>Moradia estudantil:</w:t>
      </w:r>
      <w:r>
        <w:rPr>
          <w:rFonts w:cs="Arial" w:ascii="Arial" w:hAnsi="Arial"/>
          <w:sz w:val="24"/>
          <w:szCs w:val="24"/>
        </w:rPr>
        <w:t xml:space="preserve"> disponibilização de vagas em moradia universitária ao discente socioeconomicamente vulnerável que necessite residir, temporariamente, no município sede do </w:t>
      </w:r>
      <w:r>
        <w:rPr>
          <w:rFonts w:cs="Arial" w:ascii="Arial" w:hAnsi="Arial"/>
          <w:i/>
          <w:sz w:val="24"/>
          <w:szCs w:val="24"/>
        </w:rPr>
        <w:t>campus</w:t>
      </w:r>
      <w:r>
        <w:rPr>
          <w:rFonts w:cs="Arial" w:ascii="Arial" w:hAnsi="Arial"/>
          <w:sz w:val="24"/>
          <w:szCs w:val="24"/>
        </w:rPr>
        <w:t xml:space="preserve"> para ter ampliadas suas condições de acesso, permanência e sucesso acadêmico, sendo exclusivo para discentes cujo grupo familiar não resida na cidade sede da Moradia. Esse benefício tem vigência igual à do curso, desde que o discente atenda aos requisitos estabelecidos em regimento próprio.</w:t>
      </w:r>
    </w:p>
    <w:p>
      <w:pPr>
        <w:pStyle w:val="Normal"/>
        <w:spacing w:lineRule="auto" w:line="360"/>
        <w:ind w:right="-142" w:hanging="0"/>
        <w:jc w:val="both"/>
        <w:rPr>
          <w:rFonts w:ascii="Arial" w:hAnsi="Arial" w:eastAsia="Verdana" w:cs="Arial"/>
          <w:sz w:val="24"/>
          <w:szCs w:val="24"/>
        </w:rPr>
      </w:pPr>
      <w:r>
        <w:rPr>
          <w:rFonts w:eastAsia="Verdana" w:cs="Arial" w:ascii="Arial" w:hAnsi="Arial"/>
          <w:sz w:val="24"/>
          <w:szCs w:val="24"/>
        </w:rPr>
        <w:tab/>
        <w:t xml:space="preserve">Além do PAE, a Diretoria de Assistência Estudantil oferece, nos campi da UFVJM em Diamantina e Teófilo Otoni, atendimento </w:t>
      </w:r>
      <w:r>
        <w:rPr>
          <w:rFonts w:cs="Arial" w:ascii="Arial" w:hAnsi="Arial"/>
          <w:sz w:val="24"/>
          <w:szCs w:val="24"/>
        </w:rPr>
        <w:t xml:space="preserve">e </w:t>
      </w:r>
      <w:r>
        <w:rPr>
          <w:rFonts w:eastAsia="Verdana" w:cs="Arial" w:ascii="Arial" w:hAnsi="Arial"/>
          <w:sz w:val="24"/>
          <w:szCs w:val="24"/>
        </w:rPr>
        <w:t>acompanhamento ao discente com baixo desempenho objetivando a melhoria contínua do rendimento acadêmico, com consequente conclusão do curso.</w:t>
      </w:r>
    </w:p>
    <w:p>
      <w:pPr>
        <w:pStyle w:val="Normal"/>
        <w:spacing w:lineRule="auto" w:line="360"/>
        <w:ind w:right="-142" w:hanging="0"/>
        <w:jc w:val="both"/>
        <w:rPr>
          <w:rFonts w:ascii="Arial" w:hAnsi="Arial" w:eastAsia="Verdana" w:cs="Arial"/>
          <w:sz w:val="24"/>
          <w:szCs w:val="24"/>
        </w:rPr>
      </w:pPr>
      <w:r>
        <w:rPr>
          <w:rFonts w:eastAsia="Verdana" w:cs="Arial" w:ascii="Arial" w:hAnsi="Arial"/>
          <w:sz w:val="24"/>
          <w:szCs w:val="24"/>
        </w:rPr>
        <w:tab/>
        <w:t>Em novembro de 2015, foi criada a Divisão de Esporte e Lazer com o objetivo de melhorar a qualidade de vida da comunidade e promover a saúde nos campi por meio da prática regular de atividades físicas, esportivas e de lazer.</w:t>
      </w:r>
    </w:p>
    <w:p>
      <w:pPr>
        <w:pStyle w:val="Normal"/>
        <w:spacing w:lineRule="auto" w:line="360"/>
        <w:jc w:val="both"/>
        <w:rPr>
          <w:rFonts w:ascii="Arial" w:hAnsi="Arial" w:eastAsia="Verdana" w:cs="Arial"/>
          <w:sz w:val="24"/>
          <w:szCs w:val="24"/>
        </w:rPr>
      </w:pPr>
      <w:r>
        <w:rPr>
          <w:rFonts w:eastAsia="Verdana" w:cs="Arial" w:ascii="Arial" w:hAnsi="Arial"/>
          <w:sz w:val="24"/>
          <w:szCs w:val="24"/>
        </w:rPr>
      </w:r>
    </w:p>
    <w:p>
      <w:pPr>
        <w:pStyle w:val="Normal"/>
        <w:spacing w:lineRule="auto" w:line="360"/>
        <w:jc w:val="both"/>
        <w:rPr>
          <w:rFonts w:ascii="Arial" w:hAnsi="Arial" w:cs="Arial"/>
          <w:b/>
          <w:b/>
          <w:sz w:val="24"/>
          <w:szCs w:val="24"/>
        </w:rPr>
      </w:pPr>
      <w:r>
        <w:rPr>
          <w:rFonts w:eastAsia="Times New Roman" w:cs="Arial" w:ascii="Arial" w:hAnsi="Arial"/>
          <w:b/>
          <w:sz w:val="24"/>
          <w:szCs w:val="24"/>
        </w:rPr>
        <w:t>2.12.1.1 Assistência Estudantil em Números</w:t>
      </w:r>
    </w:p>
    <w:p>
      <w:pPr>
        <w:pStyle w:val="Normal"/>
        <w:spacing w:lineRule="auto" w:line="240"/>
        <w:jc w:val="both"/>
        <w:rPr>
          <w:rFonts w:ascii="Arial" w:hAnsi="Arial" w:cs="Arial"/>
          <w:sz w:val="24"/>
          <w:szCs w:val="24"/>
        </w:rPr>
      </w:pPr>
      <w:r>
        <w:rPr>
          <w:rFonts w:cs="Arial" w:ascii="Arial" w:hAnsi="Arial"/>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277"/>
        <w:gridCol w:w="1244"/>
        <w:gridCol w:w="1185"/>
        <w:gridCol w:w="1249"/>
        <w:gridCol w:w="1249"/>
        <w:gridCol w:w="1195"/>
      </w:tblGrid>
      <w:tr>
        <w:trPr>
          <w:trHeight w:val="300" w:hRule="atLeast"/>
        </w:trPr>
        <w:tc>
          <w:tcPr>
            <w:tcW w:w="9399"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bottom"/>
          </w:tcPr>
          <w:p>
            <w:pPr>
              <w:pStyle w:val="Normal"/>
              <w:spacing w:lineRule="auto" w:line="240"/>
              <w:jc w:val="both"/>
              <w:rPr>
                <w:rFonts w:ascii="Arial" w:hAnsi="Arial" w:cs="Arial"/>
                <w:sz w:val="24"/>
                <w:szCs w:val="24"/>
              </w:rPr>
            </w:pPr>
            <w:r>
              <w:rPr>
                <w:rFonts w:cs="Arial" w:ascii="Arial" w:hAnsi="Arial"/>
                <w:b/>
                <w:sz w:val="24"/>
                <w:szCs w:val="24"/>
              </w:rPr>
              <w:t>Tabela 1</w:t>
            </w:r>
            <w:r>
              <w:rPr>
                <w:rFonts w:cs="Arial" w:ascii="Arial" w:hAnsi="Arial"/>
                <w:sz w:val="24"/>
                <w:szCs w:val="24"/>
              </w:rPr>
              <w:t xml:space="preserve"> Número de auxílios disponibilizados mensalmente, entre 2012 a 2016, para os discentes do c</w:t>
            </w:r>
            <w:r>
              <w:rPr>
                <w:rFonts w:cs="Arial" w:ascii="Arial" w:hAnsi="Arial"/>
                <w:i/>
                <w:sz w:val="24"/>
                <w:szCs w:val="24"/>
              </w:rPr>
              <w:t>ampus</w:t>
            </w:r>
            <w:r>
              <w:rPr>
                <w:rFonts w:cs="Arial" w:ascii="Arial" w:hAnsi="Arial"/>
                <w:sz w:val="24"/>
                <w:szCs w:val="24"/>
              </w:rPr>
              <w:t xml:space="preserve"> de Diamantina por modalidade do PAE.</w:t>
            </w:r>
          </w:p>
        </w:tc>
      </w:tr>
      <w:tr>
        <w:trPr>
          <w:trHeight w:val="30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 </w:t>
            </w:r>
            <w:r>
              <w:rPr>
                <w:rFonts w:cs="Arial" w:ascii="Arial" w:hAnsi="Arial"/>
                <w:b/>
                <w:sz w:val="24"/>
                <w:szCs w:val="24"/>
              </w:rPr>
              <w:t>Benefícios/Ano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2012</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2013</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2014</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2015</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2016</w:t>
            </w:r>
          </w:p>
        </w:tc>
      </w:tr>
      <w:tr>
        <w:trPr>
          <w:trHeight w:val="30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Manutenção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845</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800</w:t>
            </w:r>
          </w:p>
        </w:tc>
      </w:tr>
      <w:tr>
        <w:trPr>
          <w:trHeight w:val="30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Creche</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5</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6</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6</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0</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5</w:t>
            </w:r>
          </w:p>
        </w:tc>
      </w:tr>
      <w:tr>
        <w:trPr>
          <w:trHeight w:val="64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Material Pedagógico – instrumental odontológico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25</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20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20</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15</w:t>
            </w:r>
          </w:p>
        </w:tc>
      </w:tr>
      <w:tr>
        <w:trPr>
          <w:trHeight w:val="30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 xml:space="preserve">Bolsa Estudantil </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350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600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600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700</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750</w:t>
            </w:r>
          </w:p>
        </w:tc>
      </w:tr>
      <w:tr>
        <w:trPr>
          <w:trHeight w:val="30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Alimentação</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1200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1310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1200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r>
      <w:tr>
        <w:trPr>
          <w:trHeight w:val="34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Material Pedagógico – xerox</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1200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1310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1200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r>
      <w:tr>
        <w:trPr>
          <w:trHeight w:val="30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Transporte</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750</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1310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1200</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r>
      <w:tr>
        <w:trPr>
          <w:trHeight w:val="300" w:hRule="atLeast"/>
        </w:trPr>
        <w:tc>
          <w:tcPr>
            <w:tcW w:w="32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Emergencial</w:t>
            </w:r>
          </w:p>
        </w:tc>
        <w:tc>
          <w:tcPr>
            <w:tcW w:w="12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18</w:t>
            </w:r>
          </w:p>
        </w:tc>
      </w:tr>
    </w:tbl>
    <w:p>
      <w:pPr>
        <w:pStyle w:val="Normal"/>
        <w:spacing w:lineRule="auto" w:line="240"/>
        <w:jc w:val="both"/>
        <w:rPr>
          <w:rFonts w:ascii="Arial" w:hAnsi="Arial" w:cs="Arial"/>
          <w:sz w:val="24"/>
          <w:szCs w:val="24"/>
        </w:rPr>
      </w:pPr>
      <w:r>
        <w:rPr>
          <w:rFonts w:cs="Arial" w:ascii="Arial" w:hAnsi="Arial"/>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376"/>
        <w:gridCol w:w="1228"/>
        <w:gridCol w:w="1145"/>
        <w:gridCol w:w="1260"/>
        <w:gridCol w:w="1261"/>
        <w:gridCol w:w="1129"/>
      </w:tblGrid>
      <w:tr>
        <w:trPr>
          <w:trHeight w:val="300" w:hRule="atLeast"/>
        </w:trPr>
        <w:tc>
          <w:tcPr>
            <w:tcW w:w="9399"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b/>
                <w:sz w:val="24"/>
                <w:szCs w:val="24"/>
              </w:rPr>
              <w:t>Tabela 2</w:t>
            </w:r>
            <w:r>
              <w:rPr>
                <w:rFonts w:cs="Arial" w:ascii="Arial" w:hAnsi="Arial"/>
                <w:sz w:val="24"/>
                <w:szCs w:val="24"/>
              </w:rPr>
              <w:t>- Número de auxílios disponibilizados mensalmente, entre 2012 e 2016, para os discentes do c</w:t>
            </w:r>
            <w:r>
              <w:rPr>
                <w:rFonts w:cs="Arial" w:ascii="Arial" w:hAnsi="Arial"/>
                <w:i/>
                <w:sz w:val="24"/>
                <w:szCs w:val="24"/>
              </w:rPr>
              <w:t>ampus</w:t>
            </w:r>
            <w:r>
              <w:rPr>
                <w:rFonts w:cs="Arial" w:ascii="Arial" w:hAnsi="Arial"/>
                <w:sz w:val="24"/>
                <w:szCs w:val="24"/>
              </w:rPr>
              <w:t xml:space="preserve"> de Mucuri por modalidade do PAE.</w:t>
            </w:r>
          </w:p>
        </w:tc>
      </w:tr>
      <w:tr>
        <w:trPr>
          <w:trHeight w:val="300" w:hRule="atLeast"/>
        </w:trPr>
        <w:tc>
          <w:tcPr>
            <w:tcW w:w="33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Benefício/Ano</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2012</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2013</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2014</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2015</w:t>
            </w:r>
          </w:p>
        </w:tc>
        <w:tc>
          <w:tcPr>
            <w:tcW w:w="11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2016</w:t>
            </w:r>
          </w:p>
        </w:tc>
      </w:tr>
      <w:tr>
        <w:trPr>
          <w:trHeight w:val="300" w:hRule="atLeast"/>
        </w:trPr>
        <w:tc>
          <w:tcPr>
            <w:tcW w:w="33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Manutenção</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455</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630</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550</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478</w:t>
            </w:r>
          </w:p>
        </w:tc>
        <w:tc>
          <w:tcPr>
            <w:tcW w:w="11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430</w:t>
            </w:r>
          </w:p>
        </w:tc>
      </w:tr>
      <w:tr>
        <w:trPr>
          <w:trHeight w:val="300" w:hRule="atLeast"/>
        </w:trPr>
        <w:tc>
          <w:tcPr>
            <w:tcW w:w="33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Creche</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5</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w:t>
            </w:r>
          </w:p>
        </w:tc>
        <w:tc>
          <w:tcPr>
            <w:tcW w:w="11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w:t>
            </w:r>
          </w:p>
        </w:tc>
      </w:tr>
      <w:tr>
        <w:trPr>
          <w:trHeight w:val="300" w:hRule="atLeast"/>
        </w:trPr>
        <w:tc>
          <w:tcPr>
            <w:tcW w:w="33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Bolsa Estudantil</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200</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400</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350</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300</w:t>
            </w:r>
          </w:p>
        </w:tc>
        <w:tc>
          <w:tcPr>
            <w:tcW w:w="11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320</w:t>
            </w:r>
          </w:p>
        </w:tc>
      </w:tr>
      <w:tr>
        <w:trPr>
          <w:trHeight w:val="500" w:hRule="atLeast"/>
        </w:trPr>
        <w:tc>
          <w:tcPr>
            <w:tcW w:w="33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Material Pedagógico – xerox</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455</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630</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550</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r>
      <w:tr>
        <w:trPr>
          <w:trHeight w:val="300" w:hRule="atLeast"/>
        </w:trPr>
        <w:tc>
          <w:tcPr>
            <w:tcW w:w="33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Emergencial</w:t>
            </w:r>
          </w:p>
        </w:tc>
        <w:tc>
          <w:tcPr>
            <w:tcW w:w="12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1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120</w:t>
            </w:r>
          </w:p>
        </w:tc>
      </w:tr>
    </w:tbl>
    <w:p>
      <w:pPr>
        <w:pStyle w:val="Normal"/>
        <w:spacing w:lineRule="auto" w:line="240"/>
        <w:jc w:val="both"/>
        <w:rPr>
          <w:rFonts w:ascii="Arial" w:hAnsi="Arial" w:cs="Arial"/>
          <w:sz w:val="24"/>
          <w:szCs w:val="24"/>
        </w:rPr>
      </w:pPr>
      <w:r>
        <w:rPr>
          <w:rFonts w:cs="Arial" w:ascii="Arial" w:hAnsi="Arial"/>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930"/>
        <w:gridCol w:w="1525"/>
        <w:gridCol w:w="1675"/>
        <w:gridCol w:w="2269"/>
      </w:tblGrid>
      <w:tr>
        <w:trPr>
          <w:trHeight w:val="300" w:hRule="atLeast"/>
        </w:trPr>
        <w:tc>
          <w:tcPr>
            <w:tcW w:w="939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b/>
                <w:sz w:val="24"/>
                <w:szCs w:val="24"/>
              </w:rPr>
              <w:t>Tabela 3</w:t>
            </w:r>
            <w:r>
              <w:rPr>
                <w:rFonts w:cs="Arial" w:ascii="Arial" w:hAnsi="Arial"/>
                <w:sz w:val="24"/>
                <w:szCs w:val="24"/>
              </w:rPr>
              <w:t>- Número de auxílios disponibilizados mensalmente de 2014 a 2016 para os discentes do c</w:t>
            </w:r>
            <w:r>
              <w:rPr>
                <w:rFonts w:cs="Arial" w:ascii="Arial" w:hAnsi="Arial"/>
                <w:i/>
                <w:sz w:val="24"/>
                <w:szCs w:val="24"/>
              </w:rPr>
              <w:t>ampus</w:t>
            </w:r>
            <w:r>
              <w:rPr>
                <w:rFonts w:cs="Arial" w:ascii="Arial" w:hAnsi="Arial"/>
                <w:sz w:val="24"/>
                <w:szCs w:val="24"/>
              </w:rPr>
              <w:t xml:space="preserve"> de Janaúba por modalidade do PAE.</w:t>
            </w:r>
          </w:p>
        </w:tc>
      </w:tr>
      <w:tr>
        <w:trPr>
          <w:trHeight w:val="30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Benefício/Ano</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2014</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2015</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2016</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Manutenção</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21</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67</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80</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Bolsa Estudantil</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15</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70</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Emergencial</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15</w:t>
            </w:r>
          </w:p>
        </w:tc>
      </w:tr>
    </w:tbl>
    <w:p>
      <w:pPr>
        <w:pStyle w:val="Normal"/>
        <w:spacing w:lineRule="auto" w:line="240"/>
        <w:jc w:val="both"/>
        <w:rPr>
          <w:rFonts w:ascii="Arial" w:hAnsi="Arial" w:cs="Arial"/>
          <w:sz w:val="24"/>
          <w:szCs w:val="24"/>
        </w:rPr>
      </w:pPr>
      <w:r>
        <w:rPr>
          <w:rFonts w:cs="Arial" w:ascii="Arial" w:hAnsi="Arial"/>
          <w:sz w:val="24"/>
          <w:szCs w:val="24"/>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00"/>
      </w:tblPr>
      <w:tblGrid>
        <w:gridCol w:w="3930"/>
        <w:gridCol w:w="1525"/>
        <w:gridCol w:w="1675"/>
        <w:gridCol w:w="2269"/>
      </w:tblGrid>
      <w:tr>
        <w:trPr>
          <w:trHeight w:val="300" w:hRule="atLeast"/>
        </w:trPr>
        <w:tc>
          <w:tcPr>
            <w:tcW w:w="939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b/>
                <w:sz w:val="24"/>
                <w:szCs w:val="24"/>
              </w:rPr>
              <w:t>Tabela 4</w:t>
            </w:r>
            <w:r>
              <w:rPr>
                <w:rFonts w:cs="Arial" w:ascii="Arial" w:hAnsi="Arial"/>
                <w:sz w:val="24"/>
                <w:szCs w:val="24"/>
              </w:rPr>
              <w:t>- Número de auxílios disponibilizados mensalmente, entre 2014 e 2016, para os discentes do c</w:t>
            </w:r>
            <w:r>
              <w:rPr>
                <w:rFonts w:cs="Arial" w:ascii="Arial" w:hAnsi="Arial"/>
                <w:i/>
                <w:sz w:val="24"/>
                <w:szCs w:val="24"/>
              </w:rPr>
              <w:t>ampus</w:t>
            </w:r>
            <w:r>
              <w:rPr>
                <w:rFonts w:cs="Arial" w:ascii="Arial" w:hAnsi="Arial"/>
                <w:sz w:val="24"/>
                <w:szCs w:val="24"/>
              </w:rPr>
              <w:t xml:space="preserve"> de Unaí por modalidade do PAE.</w:t>
            </w:r>
          </w:p>
        </w:tc>
      </w:tr>
      <w:tr>
        <w:trPr>
          <w:trHeight w:val="30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Benefício/Ano</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b/>
                <w:b/>
                <w:sz w:val="24"/>
                <w:szCs w:val="24"/>
              </w:rPr>
            </w:pPr>
            <w:r>
              <w:rPr>
                <w:rFonts w:cs="Arial" w:ascii="Arial" w:hAnsi="Arial"/>
                <w:b/>
                <w:sz w:val="24"/>
                <w:szCs w:val="24"/>
              </w:rPr>
              <w:t>2014</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2015</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b/>
                <w:b/>
                <w:sz w:val="24"/>
                <w:szCs w:val="24"/>
              </w:rPr>
            </w:pPr>
            <w:r>
              <w:rPr>
                <w:rFonts w:cs="Arial" w:ascii="Arial" w:hAnsi="Arial"/>
                <w:b/>
                <w:sz w:val="24"/>
                <w:szCs w:val="24"/>
              </w:rPr>
              <w:t>2016</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Manutenção</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9</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34</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34</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Bolsa Estudantil</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20</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20</w:t>
            </w:r>
          </w:p>
        </w:tc>
      </w:tr>
      <w:tr>
        <w:trPr>
          <w:trHeight w:val="20" w:hRule="atLeast"/>
        </w:trPr>
        <w:tc>
          <w:tcPr>
            <w:tcW w:w="39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Auxílio Emergencial</w:t>
            </w:r>
          </w:p>
        </w:tc>
        <w:tc>
          <w:tcPr>
            <w:tcW w:w="15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vAlign w:val="center"/>
          </w:tcPr>
          <w:p>
            <w:pPr>
              <w:pStyle w:val="Normal"/>
              <w:spacing w:lineRule="auto" w:line="240"/>
              <w:jc w:val="both"/>
              <w:rPr>
                <w:rFonts w:ascii="Arial" w:hAnsi="Arial" w:cs="Arial"/>
                <w:sz w:val="24"/>
                <w:szCs w:val="24"/>
              </w:rPr>
            </w:pPr>
            <w:r>
              <w:rPr>
                <w:rFonts w:cs="Arial" w:ascii="Arial" w:hAnsi="Arial"/>
                <w:sz w:val="24"/>
                <w:szCs w:val="24"/>
              </w:rPr>
              <w:t>-</w:t>
            </w:r>
          </w:p>
        </w:tc>
        <w:tc>
          <w:tcPr>
            <w:tcW w:w="16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spacing w:lineRule="auto" w:line="240"/>
              <w:jc w:val="both"/>
              <w:rPr>
                <w:rFonts w:ascii="Arial" w:hAnsi="Arial" w:cs="Arial"/>
                <w:sz w:val="24"/>
                <w:szCs w:val="24"/>
              </w:rPr>
            </w:pPr>
            <w:r>
              <w:rPr>
                <w:rFonts w:cs="Arial" w:ascii="Arial" w:hAnsi="Arial"/>
                <w:sz w:val="24"/>
                <w:szCs w:val="24"/>
              </w:rPr>
              <w:t>6</w:t>
            </w:r>
          </w:p>
        </w:tc>
      </w:tr>
    </w:tbl>
    <w:p>
      <w:pPr>
        <w:pStyle w:val="Normal"/>
        <w:spacing w:lineRule="auto" w:line="240"/>
        <w:jc w:val="both"/>
        <w:rPr>
          <w:rFonts w:ascii="Arial" w:hAnsi="Arial" w:cs="Arial"/>
          <w:sz w:val="24"/>
          <w:szCs w:val="24"/>
        </w:rPr>
      </w:pPr>
      <w:r>
        <w:rPr>
          <w:rFonts w:cs="Arial" w:ascii="Arial" w:hAnsi="Arial"/>
          <w:sz w:val="24"/>
          <w:szCs w:val="24"/>
        </w:rPr>
      </w:r>
    </w:p>
    <w:p>
      <w:pPr>
        <w:pStyle w:val="Normal"/>
        <w:spacing w:lineRule="auto" w:line="24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mallCaps/>
          <w:sz w:val="24"/>
          <w:szCs w:val="24"/>
        </w:rPr>
      </w:pPr>
      <w:r>
        <w:rPr>
          <w:rFonts w:cs="Arial" w:ascii="Arial" w:hAnsi="Arial"/>
          <w:smallCaps/>
          <w:sz w:val="24"/>
          <w:szCs w:val="24"/>
        </w:rPr>
        <w:t>Plano de Desenvolvimento Institucional 2017 a 2021</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b/>
          <w:b/>
          <w:sz w:val="24"/>
          <w:szCs w:val="24"/>
        </w:rPr>
      </w:pPr>
      <w:r>
        <w:rPr>
          <w:rFonts w:cs="Arial" w:ascii="Arial" w:hAnsi="Arial"/>
          <w:b/>
          <w:sz w:val="24"/>
          <w:szCs w:val="24"/>
        </w:rPr>
        <w:t>Objetivos</w:t>
      </w:r>
    </w:p>
    <w:p>
      <w:pPr>
        <w:pStyle w:val="Normal"/>
        <w:spacing w:lineRule="auto" w:line="360"/>
        <w:jc w:val="both"/>
        <w:rPr>
          <w:rFonts w:ascii="Arial" w:hAnsi="Arial" w:cs="Arial"/>
          <w:b/>
          <w:b/>
          <w:sz w:val="24"/>
          <w:szCs w:val="24"/>
        </w:rPr>
      </w:pPr>
      <w:r>
        <w:rPr>
          <w:rFonts w:cs="Arial" w:ascii="Arial" w:hAnsi="Arial"/>
          <w:b/>
          <w:sz w:val="24"/>
          <w:szCs w:val="24"/>
        </w:rPr>
        <w:t xml:space="preserve">- </w:t>
      </w:r>
      <w:r>
        <w:rPr>
          <w:rFonts w:cs="Arial" w:ascii="Arial" w:hAnsi="Arial"/>
          <w:sz w:val="24"/>
          <w:szCs w:val="24"/>
        </w:rPr>
        <w:t xml:space="preserve">propiciar condições favoráveis à permanência dos discentes na UFVJM, sobretudo daqueles vulneráveis socioeconomicamente, por meio da implementação de uma política social que contemple suas necessidades de moradia, alimentação, saúde, transporte, cultura, lazer, dentre outras; </w:t>
      </w:r>
    </w:p>
    <w:p>
      <w:pPr>
        <w:pStyle w:val="Normal"/>
        <w:spacing w:lineRule="auto" w:line="360"/>
        <w:jc w:val="both"/>
        <w:rPr>
          <w:rFonts w:ascii="Arial" w:hAnsi="Arial" w:cs="Arial"/>
          <w:sz w:val="24"/>
          <w:szCs w:val="24"/>
        </w:rPr>
      </w:pPr>
      <w:r>
        <w:rPr>
          <w:rFonts w:cs="Arial" w:ascii="Arial" w:hAnsi="Arial"/>
          <w:sz w:val="24"/>
          <w:szCs w:val="24"/>
        </w:rPr>
        <w:t>- contribuir para a redução das taxas de retenção e evasão, principalmente quando determinadas por fatores socioeconômicos, pedagógicos e/ou psicológicos.</w:t>
      </w:r>
    </w:p>
    <w:p>
      <w:pPr>
        <w:pStyle w:val="Normal"/>
        <w:spacing w:lineRule="auto" w:line="360" w:before="0" w:after="0"/>
        <w:contextualSpacing/>
        <w:jc w:val="both"/>
        <w:rPr>
          <w:rFonts w:ascii="Arial" w:hAnsi="Arial" w:cs="Arial"/>
          <w:sz w:val="24"/>
          <w:szCs w:val="24"/>
        </w:rPr>
      </w:pPr>
      <w:r>
        <w:rPr>
          <w:rFonts w:cs="Arial" w:ascii="Arial" w:hAnsi="Arial"/>
          <w:sz w:val="24"/>
          <w:szCs w:val="24"/>
        </w:rPr>
      </w:r>
    </w:p>
    <w:p>
      <w:pPr>
        <w:pStyle w:val="Normal"/>
        <w:spacing w:lineRule="auto" w:line="360" w:before="0" w:after="0"/>
        <w:contextualSpacing/>
        <w:jc w:val="both"/>
        <w:rPr>
          <w:rFonts w:ascii="Arial" w:hAnsi="Arial" w:cs="Arial"/>
          <w:b/>
          <w:b/>
          <w:sz w:val="24"/>
          <w:szCs w:val="24"/>
        </w:rPr>
      </w:pPr>
      <w:r>
        <w:rPr>
          <w:rFonts w:cs="Arial" w:ascii="Arial" w:hAnsi="Arial"/>
          <w:b/>
          <w:sz w:val="24"/>
          <w:szCs w:val="24"/>
        </w:rPr>
        <w:t>Metas</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Promover a inclusão social, formação plena, produção de conhecimento, melhoria do desempenho acadêmico e bem estar.</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 xml:space="preserve">Criar outras modalidades de auxílio a qualquer tempo, mediante levantamento de demanda que a justifique e caso haja disponibilidade orçamentária. </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Possibilitar acessibilidade pedagógica em todos os espaços da UFVJM.</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Apoiar pessoas com deficiência nas demandas relacionadas ao processo educativo inclusivo.</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Fomentar a prática de atividade física, esportiva e de lazer.</w:t>
      </w:r>
    </w:p>
    <w:p>
      <w:pPr>
        <w:pStyle w:val="Normal"/>
        <w:spacing w:lineRule="auto" w:line="360" w:before="0" w:after="0"/>
        <w:contextualSpacing/>
        <w:jc w:val="both"/>
        <w:rPr>
          <w:rFonts w:ascii="Arial" w:hAnsi="Arial" w:eastAsia="Times New Roman" w:cs="Arial"/>
          <w:b/>
          <w:b/>
          <w:sz w:val="24"/>
          <w:szCs w:val="24"/>
        </w:rPr>
      </w:pPr>
      <w:r>
        <w:rPr>
          <w:rFonts w:eastAsia="Times New Roman" w:cs="Arial" w:ascii="Arial" w:hAnsi="Arial"/>
          <w:b/>
          <w:sz w:val="24"/>
          <w:szCs w:val="24"/>
        </w:rPr>
      </w:r>
    </w:p>
    <w:p>
      <w:pPr>
        <w:pStyle w:val="Normal"/>
        <w:spacing w:lineRule="auto" w:line="360" w:before="0" w:after="0"/>
        <w:contextualSpacing/>
        <w:jc w:val="both"/>
        <w:rPr>
          <w:rFonts w:ascii="Arial" w:hAnsi="Arial" w:eastAsia="Times New Roman" w:cs="Arial"/>
          <w:b/>
          <w:b/>
          <w:sz w:val="24"/>
          <w:szCs w:val="24"/>
        </w:rPr>
      </w:pPr>
      <w:r>
        <w:rPr>
          <w:rFonts w:eastAsia="Times New Roman" w:cs="Arial" w:ascii="Arial" w:hAnsi="Arial"/>
          <w:b/>
          <w:sz w:val="24"/>
          <w:szCs w:val="24"/>
        </w:rPr>
        <w:t>Ações</w:t>
      </w:r>
    </w:p>
    <w:p>
      <w:pPr>
        <w:pStyle w:val="Normal"/>
        <w:spacing w:lineRule="auto" w:line="360" w:before="0" w:after="0"/>
        <w:contextualSpacing/>
        <w:jc w:val="both"/>
        <w:rPr>
          <w:rFonts w:ascii="Arial" w:hAnsi="Arial" w:eastAsia="Times New Roman" w:cs="Arial"/>
          <w:sz w:val="24"/>
          <w:szCs w:val="24"/>
        </w:rPr>
      </w:pPr>
      <w:r>
        <w:rPr>
          <w:rFonts w:eastAsia="Times New Roman" w:cs="Arial" w:ascii="Arial" w:hAnsi="Arial"/>
          <w:sz w:val="24"/>
          <w:szCs w:val="24"/>
        </w:rPr>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Oferecer auxílio financeiro para o custeio complementar de despesas com transporte, alimentação e empréstimo de material didático.</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Estimular e acompanhar grupos de estudo voltados para os discentes beneficiários do PAE.</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Prestar apoio ao discente em relação à organização de seu tempo de estudo, bem como formas mais efetivas de aprendizagem.</w:t>
      </w:r>
    </w:p>
    <w:p>
      <w:pPr>
        <w:pStyle w:val="ListParagraph"/>
        <w:numPr>
          <w:ilvl w:val="0"/>
          <w:numId w:val="56"/>
        </w:numPr>
        <w:suppressAutoHyphens w:val="false"/>
        <w:spacing w:lineRule="auto" w:line="360" w:before="0" w:after="0"/>
        <w:contextualSpacing/>
        <w:jc w:val="both"/>
        <w:textAlignment w:val="auto"/>
        <w:rPr>
          <w:rFonts w:ascii="Arial" w:hAnsi="Arial" w:cs="Arial"/>
        </w:rPr>
      </w:pPr>
      <w:r>
        <w:rPr>
          <w:rFonts w:cs="Arial"/>
        </w:rPr>
        <w:t>Ofertar programas de assistência pedagógica aos alunos com dificuldades de aprendizagem.</w:t>
      </w:r>
    </w:p>
    <w:p>
      <w:pPr>
        <w:pStyle w:val="Normal"/>
        <w:numPr>
          <w:ilvl w:val="0"/>
          <w:numId w:val="56"/>
        </w:numPr>
        <w:spacing w:lineRule="auto" w:line="360"/>
        <w:ind w:left="420" w:right="-142" w:hanging="360"/>
        <w:jc w:val="both"/>
        <w:rPr>
          <w:rFonts w:ascii="Arial" w:hAnsi="Arial" w:cs="Arial"/>
          <w:sz w:val="24"/>
          <w:szCs w:val="24"/>
        </w:rPr>
      </w:pPr>
      <w:r>
        <w:rPr>
          <w:rFonts w:cs="Arial" w:ascii="Arial" w:hAnsi="Arial"/>
          <w:sz w:val="24"/>
          <w:szCs w:val="24"/>
        </w:rPr>
        <w:t>Organizar e promover projeto, eventos e ações de esporte e lazer para a comunidade acadêmica;</w:t>
      </w:r>
    </w:p>
    <w:p>
      <w:pPr>
        <w:pStyle w:val="Normal"/>
        <w:numPr>
          <w:ilvl w:val="0"/>
          <w:numId w:val="56"/>
        </w:numPr>
        <w:spacing w:lineRule="auto" w:line="360"/>
        <w:ind w:left="420" w:right="-142" w:hanging="360"/>
        <w:jc w:val="both"/>
        <w:rPr>
          <w:rFonts w:ascii="Arial" w:hAnsi="Arial" w:cs="Arial"/>
          <w:sz w:val="24"/>
          <w:szCs w:val="24"/>
        </w:rPr>
      </w:pPr>
      <w:r>
        <w:rPr>
          <w:rFonts w:cs="Arial" w:ascii="Arial" w:hAnsi="Arial"/>
          <w:sz w:val="24"/>
          <w:szCs w:val="24"/>
        </w:rPr>
        <w:t>Estabelecer normas para o uso dos espaços destinados à vivência de atividades esportivas e de lazer pela comunidade acadêmica;</w:t>
      </w:r>
    </w:p>
    <w:p>
      <w:pPr>
        <w:pStyle w:val="Normal"/>
        <w:numPr>
          <w:ilvl w:val="0"/>
          <w:numId w:val="56"/>
        </w:numPr>
        <w:spacing w:lineRule="auto" w:line="360"/>
        <w:ind w:left="420" w:right="-142" w:hanging="360"/>
        <w:jc w:val="both"/>
        <w:rPr>
          <w:rFonts w:ascii="Arial" w:hAnsi="Arial" w:cs="Arial"/>
          <w:sz w:val="24"/>
          <w:szCs w:val="24"/>
        </w:rPr>
      </w:pPr>
      <w:r>
        <w:rPr>
          <w:rFonts w:cs="Arial" w:ascii="Arial" w:hAnsi="Arial"/>
          <w:sz w:val="24"/>
          <w:szCs w:val="24"/>
        </w:rPr>
        <w:t>Promover programas e projetos esportivos e de lazer, gratuitos ou não, e influenciar melhora na qualidade de vida e saúde da comunidade acadêmica.</w:t>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b/>
          <w:b/>
          <w:sz w:val="24"/>
          <w:szCs w:val="24"/>
        </w:rPr>
      </w:pPr>
      <w:r>
        <w:rPr>
          <w:rFonts w:cs="Arial" w:ascii="Arial" w:hAnsi="Arial"/>
          <w:b/>
          <w:sz w:val="24"/>
          <w:szCs w:val="24"/>
        </w:rPr>
        <w:t>2.12.2 Política de Acessibilidade e Inclusão</w:t>
      </w:r>
    </w:p>
    <w:p>
      <w:pPr>
        <w:pStyle w:val="ListParagraph"/>
        <w:spacing w:lineRule="auto" w:line="360" w:before="0" w:after="0"/>
        <w:ind w:left="567" w:hanging="0"/>
        <w:contextualSpacing/>
        <w:jc w:val="both"/>
        <w:rPr>
          <w:rFonts w:ascii="Arial" w:hAnsi="Arial" w:cs="Arial"/>
          <w:b/>
          <w:b/>
        </w:rPr>
      </w:pPr>
      <w:r>
        <w:rPr>
          <w:rFonts w:cs="Arial"/>
          <w:b/>
        </w:rPr>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ab/>
        <w:tab/>
        <w:t>O atendimento das pessoas com deficiência tem sido realizado primordialmente pelo Núcleo de Acessibilidade e Inclusão – NACI, da Pró-Reitoria de Assuntos Comunitários e Estudantis – PROACE.</w:t>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ab/>
        <w:tab/>
        <w:t xml:space="preserve">O NACI foi criado em 2008 e reestruturado em 2014. As ações do NACI têm sido planejadas e desenvolvidas a partir das diretrizes do Programa Incluir do Governo Federal, o qual disponibiliza orçamento anual específico para investimento e custeio de políticas de acessibilidade por meio da Matriz Incluir. </w:t>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ab/>
        <w:tab/>
      </w:r>
      <w:r>
        <w:rPr>
          <w:rFonts w:cs="Arial" w:ascii="Arial" w:hAnsi="Arial"/>
          <w:sz w:val="24"/>
          <w:szCs w:val="24"/>
        </w:rPr>
        <w:t xml:space="preserve">O NACI tem sido responsável pelo trabalho de sensibilização da comunidade acadêmica para o acolhimento e atendimento às diferenças, buscando promover a acessibilidade e a inclusão dentro da Instituição, a partir das demandas apresentadas e situações ensejadoras. Eventos e ações de maior impacto também foram realizados, como seminários de educação inclusiva e educação para a diversidade. </w:t>
      </w:r>
    </w:p>
    <w:p>
      <w:pPr>
        <w:pStyle w:val="Normal"/>
        <w:spacing w:lineRule="auto" w:line="360"/>
        <w:ind w:firstLine="708"/>
        <w:jc w:val="both"/>
        <w:rPr>
          <w:rFonts w:ascii="Arial" w:hAnsi="Arial" w:cs="Arial"/>
          <w:sz w:val="24"/>
          <w:szCs w:val="24"/>
        </w:rPr>
      </w:pPr>
      <w:r>
        <w:rPr>
          <w:rFonts w:cs="Arial" w:ascii="Arial" w:hAnsi="Arial"/>
          <w:sz w:val="24"/>
          <w:szCs w:val="24"/>
        </w:rPr>
        <w:t xml:space="preserve">O NACI disponibiliza os serviços de tradução e interpretação de LIBRAS, assim comoequipamentos de tecnologia assistiva e recursos didáticos para apoiar a educação de alunos surdos ou com deficiência auditiva. </w:t>
      </w:r>
    </w:p>
    <w:p>
      <w:pPr>
        <w:pStyle w:val="Normal"/>
        <w:spacing w:lineRule="auto" w:line="360"/>
        <w:ind w:firstLine="708"/>
        <w:jc w:val="both"/>
        <w:rPr>
          <w:rFonts w:ascii="Arial" w:hAnsi="Arial" w:cs="Arial"/>
          <w:sz w:val="24"/>
          <w:szCs w:val="24"/>
        </w:rPr>
      </w:pPr>
      <w:r>
        <w:rPr>
          <w:rFonts w:cs="Arial" w:ascii="Arial" w:hAnsi="Arial"/>
          <w:sz w:val="24"/>
          <w:szCs w:val="24"/>
        </w:rPr>
        <w:t xml:space="preserve">Desde 2014, a UFVJM passou a contar com dois professores de LIBRAS que atendem ademanda doscursos de licenciatura e bacharelado. Os discentes matriculados nas disciplinasrecebem formação específica para apropriação de conhecimentos básicos de LIBRAS e questões relativas aos processos interativos com as pessoas surdas no campo educacional e de atuação multiprofissional. A UFVJM tambémconta com professores das áreas de Educação Especial e de Necessidades Educacionais para Educação Física Adaptada. </w:t>
      </w:r>
    </w:p>
    <w:p>
      <w:pPr>
        <w:pStyle w:val="Normal"/>
        <w:spacing w:lineRule="auto" w:line="360"/>
        <w:ind w:firstLine="708"/>
        <w:jc w:val="both"/>
        <w:rPr>
          <w:rFonts w:ascii="Arial" w:hAnsi="Arial" w:cs="Arial"/>
          <w:sz w:val="24"/>
          <w:szCs w:val="24"/>
        </w:rPr>
      </w:pPr>
      <w:r>
        <w:rPr>
          <w:rFonts w:cs="Arial" w:ascii="Arial" w:hAnsi="Arial"/>
          <w:sz w:val="24"/>
          <w:szCs w:val="24"/>
        </w:rPr>
        <w:t xml:space="preserve">Atualmente,a UFVJM possui em seu quadro de servidores duas tradutoras e intérpretes de LIBRAS, que buscam garantir a acessibilidade comunicacional às pessoas surdas, tanto em aulas quanto em eventos da Universidade. </w:t>
      </w:r>
    </w:p>
    <w:p>
      <w:pPr>
        <w:pStyle w:val="Normal"/>
        <w:spacing w:lineRule="auto" w:line="360"/>
        <w:ind w:firstLine="708"/>
        <w:jc w:val="both"/>
        <w:rPr>
          <w:rFonts w:ascii="Arial" w:hAnsi="Arial" w:cs="Arial"/>
          <w:sz w:val="24"/>
          <w:szCs w:val="24"/>
        </w:rPr>
      </w:pPr>
      <w:r>
        <w:rPr>
          <w:rFonts w:cs="Arial" w:ascii="Arial" w:hAnsi="Arial"/>
          <w:sz w:val="24"/>
          <w:szCs w:val="24"/>
        </w:rPr>
        <w:t xml:space="preserve">Outros dois setores importantes no que se refere à garantia de acessibilidade e inclusão dentro da UFVJM são a Diretoria de Comunicação – DICOM e a Diretoria de Infraestrutura, da Pró-Reitoria de Administração. A DICOM é responsável pela acessibilidade nos meios de comunicação, como o Portal da UFVJM na internet. Por sua vez, a Diretoria de Infraestrutura tem como uma de suas atribuições a adequação das condições de acessibilidade nas estruturas físicas, ou seja, nos projetos arquitetônicos e urbanísticos dos espaços da UFVJM. </w:t>
      </w:r>
    </w:p>
    <w:p>
      <w:pPr>
        <w:pStyle w:val="Normal"/>
        <w:spacing w:lineRule="auto" w:line="360"/>
        <w:ind w:firstLine="708"/>
        <w:jc w:val="both"/>
        <w:rPr>
          <w:rFonts w:ascii="Arial" w:hAnsi="Arial" w:cs="Arial"/>
          <w:sz w:val="24"/>
          <w:szCs w:val="24"/>
        </w:rPr>
      </w:pPr>
      <w:r>
        <w:rPr>
          <w:rFonts w:cs="Arial" w:ascii="Arial" w:hAnsi="Arial"/>
          <w:sz w:val="24"/>
          <w:szCs w:val="24"/>
        </w:rPr>
        <w:t>Buscando-se ampliar o alcance e o público-alvo das ações realizadas e serviços ofertados no que se refere à acessibilidade e inclusão no âmbito da UFVJM, a PROACE está estruturando a Divisão de Acessibilidade, Diversidade e Inclusão - DADI, órgão que incorporará as atribuições do NACI e coordenará outros novos núcleos especializados.</w:t>
      </w:r>
    </w:p>
    <w:p>
      <w:pPr>
        <w:pStyle w:val="Normal"/>
        <w:spacing w:lineRule="auto" w:line="360"/>
        <w:ind w:firstLine="708"/>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t>PLANO DE DESENVOLVIMENTO INSTITUCIONAL – 2017-2021</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b/>
          <w:b/>
          <w:sz w:val="24"/>
          <w:szCs w:val="24"/>
        </w:rPr>
      </w:pPr>
      <w:r>
        <w:rPr>
          <w:rFonts w:cs="Arial" w:ascii="Arial" w:hAnsi="Arial"/>
          <w:b/>
          <w:sz w:val="24"/>
          <w:szCs w:val="24"/>
        </w:rPr>
        <w:t>Objetivos</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sz w:val="24"/>
          <w:szCs w:val="24"/>
          <w:lang w:val="nl-NL"/>
        </w:rPr>
      </w:pPr>
      <w:r>
        <w:rPr>
          <w:rFonts w:cs="Arial" w:ascii="Arial" w:hAnsi="Arial"/>
          <w:sz w:val="24"/>
          <w:szCs w:val="24"/>
        </w:rPr>
        <w:t>- F</w:t>
      </w:r>
      <w:r>
        <w:rPr>
          <w:rFonts w:cs="Arial" w:ascii="Arial" w:hAnsi="Arial"/>
          <w:sz w:val="24"/>
          <w:szCs w:val="24"/>
          <w:lang w:val="nl-NL"/>
        </w:rPr>
        <w:t>omentar e apoiar ações, programas e serviços diversos, visando o atendimento das pessoas com deficiência, estudantes com necessidades educacionais especiais e pessoas alvo de preconceito e discriminação, promovendo a acessibilidade, a inclusão e o respeito às diferenças.</w:t>
      </w:r>
    </w:p>
    <w:p>
      <w:pPr>
        <w:pStyle w:val="Normal"/>
        <w:spacing w:lineRule="auto" w:line="360"/>
        <w:jc w:val="both"/>
        <w:rPr>
          <w:rFonts w:ascii="Arial" w:hAnsi="Arial" w:cs="Arial"/>
          <w:sz w:val="24"/>
          <w:szCs w:val="24"/>
          <w:lang w:val="nl-NL"/>
        </w:rPr>
      </w:pPr>
      <w:r>
        <w:rPr>
          <w:rFonts w:cs="Arial" w:ascii="Arial" w:hAnsi="Arial"/>
          <w:sz w:val="24"/>
          <w:szCs w:val="24"/>
          <w:lang w:val="nl-NL"/>
        </w:rPr>
      </w:r>
    </w:p>
    <w:p>
      <w:pPr>
        <w:pStyle w:val="Normal"/>
        <w:spacing w:lineRule="auto" w:line="360"/>
        <w:jc w:val="both"/>
        <w:rPr>
          <w:rFonts w:ascii="Arial" w:hAnsi="Arial" w:cs="Arial"/>
          <w:b/>
          <w:b/>
          <w:sz w:val="24"/>
          <w:szCs w:val="24"/>
        </w:rPr>
      </w:pPr>
      <w:r>
        <w:rPr>
          <w:rFonts w:cs="Arial" w:ascii="Arial" w:hAnsi="Arial"/>
          <w:b/>
          <w:sz w:val="24"/>
          <w:szCs w:val="24"/>
        </w:rPr>
        <w:t>Metas</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sz w:val="24"/>
          <w:szCs w:val="24"/>
        </w:rPr>
      </w:pPr>
      <w:r>
        <w:rPr>
          <w:rFonts w:cs="Arial" w:ascii="Arial" w:hAnsi="Arial"/>
          <w:sz w:val="24"/>
          <w:szCs w:val="24"/>
        </w:rPr>
        <w:t>- Elaborar e implementar a Política de Acessibilidade e Inclusão da UFVJM.</w:t>
      </w:r>
    </w:p>
    <w:p>
      <w:pPr>
        <w:pStyle w:val="Normal"/>
        <w:spacing w:lineRule="auto" w:line="360"/>
        <w:jc w:val="both"/>
        <w:rPr>
          <w:rFonts w:ascii="Arial" w:hAnsi="Arial" w:cs="Arial"/>
          <w:sz w:val="24"/>
          <w:szCs w:val="24"/>
        </w:rPr>
      </w:pPr>
      <w:r>
        <w:rPr>
          <w:rFonts w:cs="Arial" w:ascii="Arial" w:hAnsi="Arial"/>
          <w:sz w:val="24"/>
          <w:szCs w:val="24"/>
        </w:rPr>
        <w:t>- Estruturar a Divisão de Acessibilidade, Diversidade e Inclusão – DADI e favorecer o desenvolvimento e a execução de suas atribuições.</w:t>
      </w:r>
    </w:p>
    <w:p>
      <w:pPr>
        <w:pStyle w:val="Normal"/>
        <w:spacing w:lineRule="auto" w:line="360"/>
        <w:jc w:val="both"/>
        <w:rPr>
          <w:rFonts w:ascii="Arial" w:hAnsi="Arial" w:cs="Arial"/>
          <w:sz w:val="24"/>
          <w:szCs w:val="24"/>
        </w:rPr>
      </w:pPr>
      <w:r>
        <w:rPr>
          <w:rFonts w:cs="Arial" w:ascii="Arial" w:hAnsi="Arial"/>
          <w:sz w:val="24"/>
          <w:szCs w:val="24"/>
        </w:rPr>
        <w:t>- Elaborar um plano institucional de adequação da acessibilidade nos campi da UFVJM, envolvendo todos os setores responsáveis.</w:t>
      </w:r>
    </w:p>
    <w:p>
      <w:pPr>
        <w:pStyle w:val="Normal"/>
        <w:spacing w:lineRule="auto" w:line="360"/>
        <w:jc w:val="both"/>
        <w:rPr>
          <w:rFonts w:ascii="Arial" w:hAnsi="Arial" w:cs="Arial"/>
          <w:sz w:val="24"/>
          <w:szCs w:val="24"/>
        </w:rPr>
      </w:pPr>
      <w:r>
        <w:rPr>
          <w:rFonts w:cs="Arial" w:ascii="Arial" w:hAnsi="Arial"/>
          <w:sz w:val="24"/>
          <w:szCs w:val="24"/>
        </w:rPr>
        <w:t>- Aumentar o quadro funcional da UFVJM no que se refere aos profissionais com formação específica para atuar no desenvolvimento das atribuições da DADI.</w:t>
      </w:r>
    </w:p>
    <w:p>
      <w:pPr>
        <w:pStyle w:val="Normal"/>
        <w:spacing w:lineRule="auto" w:line="360"/>
        <w:jc w:val="both"/>
        <w:rPr>
          <w:rFonts w:ascii="Arial" w:hAnsi="Arial" w:cs="Arial"/>
          <w:sz w:val="24"/>
          <w:szCs w:val="24"/>
        </w:rPr>
      </w:pPr>
      <w:r>
        <w:rPr>
          <w:rFonts w:cs="Arial" w:ascii="Arial" w:hAnsi="Arial"/>
          <w:sz w:val="24"/>
          <w:szCs w:val="24"/>
        </w:rPr>
        <w:t>- Oferecer capacitações em acessibilidade e inclusão no Serviço Público e Educação para a comunidade acadêmica.</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b/>
          <w:b/>
          <w:sz w:val="24"/>
          <w:szCs w:val="24"/>
        </w:rPr>
      </w:pPr>
      <w:r>
        <w:rPr>
          <w:rFonts w:cs="Arial" w:ascii="Arial" w:hAnsi="Arial"/>
          <w:b/>
          <w:sz w:val="24"/>
          <w:szCs w:val="24"/>
        </w:rPr>
        <w:t>Ações</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xml:space="preserve">- buscar meios que viabilizem investimentos financeiros, humanos e materiais, possibilitando a implementação e a consolidação de uma política institucional de inclusão, em parceria com os órgãos da gestão da UFVJM, de forma a garantir às pessoas com necessidades especiais acesso aos espaços acadêmicos, bem como a sua permanência e, no caso de discentes, a conclusão do curso, em todos os campi da UFVJM; </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incentivar e colaborar na proposição de programas e ações estratégicas que promovam a eliminação de barreiras atitudinais, programáticas, pedagógicas, arquitetônicas, comunicacionais, digitais e de mobilidade, bem como programas e ações preventivas em favor de indivíduos que, potencialmente, sofrem qualquer tipo de violência, preconceito ou discriminação, buscando fortalecer a valorização e respeito das diferenças, da igualdade material e dos direitos básicos de cidadania;</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fomentar, analisar e colaborar com as propostas de ações encaminhadas pelos Núcleos da DADI, que visem estimular o debate, a pesquisa, o ensino, a extensão e a formação inicial e continuada de recursos humanos em torno das questões relacionadas à acessibilidade, diversidade e inclusão, no âmbito da UFVJM;</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garantir ao público-alvo da DADI acesso aos equipamentos de tecnologia assistiva disponíveis na UFVJM, materiais didático-pedagógicos adaptados, acompanhamento especializado, quando solicitado e necessário, em conformidade com as necessidades especiais informadas;</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oferecer orientação aos professores e coordenadores de cursos da UFVJM, sempre que solicitado, para a oferta de um atendimento adequado aos estudantes com necessidades educacionais especiais;</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fomentar a estruturação de programas específicos de incentivo aos estudantes da UFVJM para desenvolver atividades de apoio ao público-alvo da DADI;</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xml:space="preserve"> </w:t>
      </w:r>
      <w:r>
        <w:rPr>
          <w:rFonts w:eastAsia="Times New Roman" w:cs="Arial" w:ascii="Arial" w:hAnsi="Arial"/>
          <w:sz w:val="24"/>
          <w:szCs w:val="24"/>
        </w:rPr>
        <w:t>- oferecer orientação aos diversos setores da UFVJM, sempre que solicitado, para uma melhor adequação dos espaços e atividades dos servidores com deficiências, promovendo melhor adaptação ao trabalho e qualidade de vida;</w:t>
      </w:r>
    </w:p>
    <w:p>
      <w:pPr>
        <w:pStyle w:val="Normal"/>
        <w:spacing w:lineRule="auto" w:line="360"/>
        <w:jc w:val="both"/>
        <w:rPr>
          <w:rFonts w:ascii="Arial" w:hAnsi="Arial" w:cs="Arial"/>
          <w:b/>
          <w:b/>
          <w:bCs/>
          <w:sz w:val="24"/>
          <w:szCs w:val="24"/>
        </w:rPr>
      </w:pPr>
      <w:r>
        <w:rPr>
          <w:rFonts w:cs="Arial" w:ascii="Arial" w:hAnsi="Arial"/>
          <w:b/>
          <w:bCs/>
          <w:sz w:val="24"/>
          <w:szCs w:val="24"/>
        </w:rPr>
      </w:r>
    </w:p>
    <w:p>
      <w:pPr>
        <w:pStyle w:val="ListParagraph"/>
        <w:numPr>
          <w:ilvl w:val="0"/>
          <w:numId w:val="55"/>
        </w:numPr>
        <w:suppressAutoHyphens w:val="false"/>
        <w:spacing w:lineRule="auto" w:line="360" w:before="0" w:after="0"/>
        <w:contextualSpacing/>
        <w:jc w:val="both"/>
        <w:textAlignment w:val="auto"/>
        <w:rPr>
          <w:rFonts w:ascii="Arial" w:hAnsi="Arial" w:cs="Arial"/>
          <w:vanish/>
        </w:rPr>
      </w:pPr>
      <w:r>
        <w:rPr>
          <w:rFonts w:cs="Arial"/>
          <w:vanish/>
        </w:rPr>
      </w:r>
    </w:p>
    <w:p>
      <w:pPr>
        <w:pStyle w:val="ListParagraph"/>
        <w:numPr>
          <w:ilvl w:val="2"/>
          <w:numId w:val="57"/>
        </w:numPr>
        <w:suppressAutoHyphens w:val="false"/>
        <w:spacing w:lineRule="auto" w:line="360" w:before="0" w:after="0"/>
        <w:contextualSpacing/>
        <w:jc w:val="both"/>
        <w:textAlignment w:val="auto"/>
        <w:rPr>
          <w:rFonts w:ascii="Arial" w:hAnsi="Arial" w:cs="Arial"/>
          <w:b/>
          <w:b/>
        </w:rPr>
      </w:pPr>
      <w:r>
        <w:rPr>
          <w:rFonts w:cs="Arial"/>
          <w:b/>
        </w:rPr>
        <w:t>Política de Atenção à Saúde</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ind w:firstLine="567"/>
        <w:jc w:val="both"/>
        <w:rPr>
          <w:rFonts w:ascii="Arial" w:hAnsi="Arial" w:cs="Arial"/>
          <w:sz w:val="24"/>
          <w:szCs w:val="24"/>
        </w:rPr>
      </w:pPr>
      <w:r>
        <w:rPr>
          <w:rFonts w:cs="Arial" w:ascii="Arial" w:hAnsi="Arial"/>
          <w:sz w:val="24"/>
          <w:szCs w:val="24"/>
        </w:rPr>
        <w:t>A Pró-Reitoria de Assuntos Comunitários e Estudantis – PROACE, integrante da Reitoria da UFVJM, tem por finalidade promover o bem-estar, a qualidade de vida e o desenvolvimento da comunidade acadêmica, por meio da proposição, planejamento e execução de ações de promoção e atenção à saúde, segurança do trabalho e higiene ocupacional. Nesse âmbito, todas as ações são coordenadas, fomentadas e/ou executadas pela Diretoria de Atenção à Saúde e Acessibilidade – DASA, por meio do Serviço de Odontologia, Serviço de Perícia Oficial em Saúde, Serviço de Psicologia e Serviço Especializado em Segurança do Trabalho.</w:t>
      </w:r>
    </w:p>
    <w:p>
      <w:pPr>
        <w:pStyle w:val="Normal"/>
        <w:spacing w:lineRule="auto" w:line="360"/>
        <w:jc w:val="both"/>
        <w:rPr>
          <w:rFonts w:ascii="Arial" w:hAnsi="Arial" w:cs="Arial"/>
          <w:sz w:val="24"/>
          <w:szCs w:val="24"/>
        </w:rPr>
      </w:pPr>
      <w:r>
        <w:rPr>
          <w:rFonts w:cs="Arial" w:ascii="Arial" w:hAnsi="Arial"/>
          <w:sz w:val="24"/>
          <w:szCs w:val="24"/>
        </w:rPr>
      </w:r>
    </w:p>
    <w:p>
      <w:pPr>
        <w:pStyle w:val="ListParagraph"/>
        <w:numPr>
          <w:ilvl w:val="3"/>
          <w:numId w:val="57"/>
        </w:numPr>
        <w:suppressAutoHyphens w:val="false"/>
        <w:spacing w:lineRule="auto" w:line="360" w:before="0" w:after="0"/>
        <w:contextualSpacing/>
        <w:jc w:val="both"/>
        <w:textAlignment w:val="auto"/>
        <w:rPr>
          <w:rFonts w:ascii="Arial" w:hAnsi="Arial" w:cs="Arial"/>
          <w:b/>
          <w:b/>
        </w:rPr>
      </w:pPr>
      <w:r>
        <w:rPr>
          <w:rFonts w:cs="Arial"/>
          <w:b/>
        </w:rPr>
        <w:t>Política de Atenção à Saúde e Segurança do Trabalho</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ind w:firstLine="567"/>
        <w:jc w:val="both"/>
        <w:rPr>
          <w:rFonts w:ascii="Arial" w:hAnsi="Arial" w:cs="Arial"/>
          <w:sz w:val="24"/>
          <w:szCs w:val="24"/>
        </w:rPr>
      </w:pPr>
      <w:r>
        <w:rPr>
          <w:rFonts w:cs="Arial" w:ascii="Arial" w:hAnsi="Arial"/>
          <w:sz w:val="24"/>
          <w:szCs w:val="24"/>
        </w:rPr>
        <w:t xml:space="preserve">As ações de promoção e atenção à saúde dos servidores da UFVJM desenvolvidas na Instituição estão em consonância com as propostas e diretrizes estabelecidas pela Política de Atenção à Saúde e Segurança do Servidor Público Federal - PASS. Desde 03 de dezembro de 2010, a UFVJM sedia uma unidade de referência do Subsistema de Atenção à Saúde do Servidor – SIASS, constituindo uma grande conquista para os servidores da UFVJM e demais órgãos federais da região de Diamantina e Teófilo Otoni. A unidade SIASS/UFVJM possui acordos de cooperação com órgãos como INSS e CEFET-MG, mas estabelece parceria com dezenas de outras instituições públicas federais. Desde 2017, está prevista a realização anual dos exames médicos periódicos, os quais têm como foco principal a prevenção de doenças e agravos à saúde dos servidores da UFVJM. </w:t>
      </w:r>
    </w:p>
    <w:p>
      <w:pPr>
        <w:pStyle w:val="Normal"/>
        <w:spacing w:lineRule="auto" w:line="360"/>
        <w:ind w:firstLine="567"/>
        <w:jc w:val="both"/>
        <w:rPr>
          <w:rFonts w:ascii="Arial" w:hAnsi="Arial" w:cs="Arial"/>
          <w:sz w:val="24"/>
          <w:szCs w:val="24"/>
        </w:rPr>
      </w:pPr>
      <w:r>
        <w:rPr>
          <w:rFonts w:cs="Arial" w:ascii="Arial" w:hAnsi="Arial"/>
          <w:sz w:val="24"/>
          <w:szCs w:val="24"/>
        </w:rPr>
        <w:t xml:space="preserve">O Serviço de Odontologia funciona atualmente no </w:t>
      </w:r>
      <w:r>
        <w:rPr>
          <w:rFonts w:cs="Arial" w:ascii="Arial" w:hAnsi="Arial"/>
          <w:i/>
          <w:sz w:val="24"/>
          <w:szCs w:val="24"/>
        </w:rPr>
        <w:t>campus</w:t>
      </w:r>
      <w:r>
        <w:rPr>
          <w:rFonts w:cs="Arial" w:ascii="Arial" w:hAnsi="Arial"/>
          <w:sz w:val="24"/>
          <w:szCs w:val="24"/>
        </w:rPr>
        <w:t xml:space="preserve"> I, constituindo-se como um campo de estágio para os estudantes do curso de Odontologia da UFVJM. São oferecidos atendimentos odontológicos envolvendo tratamentos de baixa complexidade, com vagas prioritárias para os estudantes beneficiários do Programa de Assistência Estudantil da PROACE. No </w:t>
      </w:r>
      <w:r>
        <w:rPr>
          <w:rFonts w:cs="Arial" w:ascii="Arial" w:hAnsi="Arial"/>
          <w:i/>
          <w:sz w:val="24"/>
          <w:szCs w:val="24"/>
        </w:rPr>
        <w:t>campus</w:t>
      </w:r>
      <w:r>
        <w:rPr>
          <w:rFonts w:cs="Arial" w:ascii="Arial" w:hAnsi="Arial"/>
          <w:sz w:val="24"/>
          <w:szCs w:val="24"/>
        </w:rPr>
        <w:t xml:space="preserve"> do Mucuri os atendimentos odontológicos ainda não são oferecidos até o momento, pois a estrutura física do consultório odontológico ainda não foi disponibilizada.</w:t>
      </w:r>
    </w:p>
    <w:p>
      <w:pPr>
        <w:pStyle w:val="Normal"/>
        <w:spacing w:lineRule="auto" w:line="360"/>
        <w:ind w:firstLine="567"/>
        <w:jc w:val="both"/>
        <w:rPr>
          <w:rFonts w:ascii="Arial" w:hAnsi="Arial" w:cs="Arial"/>
          <w:sz w:val="24"/>
          <w:szCs w:val="24"/>
        </w:rPr>
      </w:pPr>
      <w:r>
        <w:rPr>
          <w:rFonts w:cs="Arial" w:ascii="Arial" w:hAnsi="Arial"/>
          <w:sz w:val="24"/>
          <w:szCs w:val="24"/>
        </w:rPr>
        <w:t xml:space="preserve">O Serviço de Perícia Oficial em Saúde funciona atualmente nos </w:t>
      </w:r>
      <w:r>
        <w:rPr>
          <w:rFonts w:cs="Arial" w:ascii="Arial" w:hAnsi="Arial"/>
          <w:i/>
          <w:sz w:val="24"/>
          <w:szCs w:val="24"/>
        </w:rPr>
        <w:t>campi</w:t>
      </w:r>
      <w:r>
        <w:rPr>
          <w:rFonts w:cs="Arial" w:ascii="Arial" w:hAnsi="Arial"/>
          <w:sz w:val="24"/>
          <w:szCs w:val="24"/>
        </w:rPr>
        <w:t xml:space="preserve"> JK e do Mucuri. Desde a sua criação, a unidade SIASS/UFVJM já realizou mais de 2700 perícias médicas e odontológicas, mesmo com um quadro de peritos reduzido – dois médicos e uma cirurgiã-dentista em Diamantina e um médico e um cirurgião dentista em Teófilo Otoni. Os </w:t>
      </w:r>
      <w:r>
        <w:rPr>
          <w:rFonts w:cs="Arial" w:ascii="Arial" w:hAnsi="Arial"/>
          <w:i/>
          <w:sz w:val="24"/>
          <w:szCs w:val="24"/>
        </w:rPr>
        <w:t>campi</w:t>
      </w:r>
      <w:r>
        <w:rPr>
          <w:rFonts w:cs="Arial" w:ascii="Arial" w:hAnsi="Arial"/>
          <w:sz w:val="24"/>
          <w:szCs w:val="24"/>
        </w:rPr>
        <w:t xml:space="preserve"> de Janaúba e Unaí ainda não dispõem de peritos e nem de outros profissionais de saúde, com exceção dos técnicos de enfermagem, os quais garantem o funcionamento da Unidade SIASS/UFVJM nessas localidades.</w:t>
      </w:r>
    </w:p>
    <w:p>
      <w:pPr>
        <w:pStyle w:val="Normal"/>
        <w:spacing w:lineRule="auto" w:line="360"/>
        <w:ind w:firstLine="567"/>
        <w:jc w:val="both"/>
        <w:rPr>
          <w:rFonts w:ascii="Arial" w:hAnsi="Arial" w:cs="Arial"/>
          <w:sz w:val="24"/>
          <w:szCs w:val="24"/>
        </w:rPr>
      </w:pPr>
      <w:r>
        <w:rPr>
          <w:rFonts w:cs="Arial" w:ascii="Arial" w:hAnsi="Arial"/>
          <w:sz w:val="24"/>
          <w:szCs w:val="24"/>
        </w:rPr>
        <w:t xml:space="preserve">O Serviço de Psicologia funciona atualmente no </w:t>
      </w:r>
      <w:r>
        <w:rPr>
          <w:rFonts w:cs="Arial" w:ascii="Arial" w:hAnsi="Arial"/>
          <w:i/>
          <w:sz w:val="24"/>
          <w:szCs w:val="24"/>
        </w:rPr>
        <w:t>campus</w:t>
      </w:r>
      <w:r>
        <w:rPr>
          <w:rFonts w:cs="Arial" w:ascii="Arial" w:hAnsi="Arial"/>
          <w:sz w:val="24"/>
          <w:szCs w:val="24"/>
        </w:rPr>
        <w:t xml:space="preserve"> JK com três psicólogos e no campus do Mucuri com uma psicóloga. Como os campi de Janaúba e Unaí não possuem psicólogo, até o momento, os psicólogos do</w:t>
      </w:r>
      <w:r>
        <w:rPr>
          <w:rFonts w:cs="Arial" w:ascii="Arial" w:hAnsi="Arial"/>
          <w:i/>
          <w:sz w:val="24"/>
          <w:szCs w:val="24"/>
        </w:rPr>
        <w:t xml:space="preserve"> campus</w:t>
      </w:r>
      <w:r>
        <w:rPr>
          <w:rFonts w:cs="Arial" w:ascii="Arial" w:hAnsi="Arial"/>
          <w:sz w:val="24"/>
          <w:szCs w:val="24"/>
        </w:rPr>
        <w:t xml:space="preserve"> JK têm buscado atender as demandas dessas localidades, dentro do possível.  São oferecidos atendimentos psicológicos a toda comunidade acadêmica, os quais têm como foco as demandas pontuais, objetivando auxiliar a pessoa a ter uma visão mais clara de si e de suas possibilidades, de modo que consiga estabelecer uma forma pessoal de enfrentar as questões. São oferecidos também programas de desenvolvimento interpessoal e qualidade de vida no trabalho.</w:t>
      </w:r>
    </w:p>
    <w:p>
      <w:pPr>
        <w:pStyle w:val="Normal"/>
        <w:spacing w:lineRule="auto" w:line="360"/>
        <w:ind w:firstLine="567"/>
        <w:jc w:val="both"/>
        <w:rPr>
          <w:rFonts w:ascii="Arial" w:hAnsi="Arial" w:cs="Arial"/>
          <w:sz w:val="24"/>
          <w:szCs w:val="24"/>
        </w:rPr>
      </w:pPr>
      <w:r>
        <w:rPr>
          <w:rFonts w:cs="Arial" w:ascii="Arial" w:hAnsi="Arial"/>
          <w:sz w:val="24"/>
          <w:szCs w:val="24"/>
        </w:rPr>
        <w:t xml:space="preserve">O Serviço Especializado em Segurança do Trabalho funciona atualmente no </w:t>
      </w:r>
      <w:r>
        <w:rPr>
          <w:rFonts w:cs="Arial" w:ascii="Arial" w:hAnsi="Arial"/>
          <w:i/>
          <w:sz w:val="24"/>
          <w:szCs w:val="24"/>
        </w:rPr>
        <w:t>campus</w:t>
      </w:r>
      <w:r>
        <w:rPr>
          <w:rFonts w:cs="Arial" w:ascii="Arial" w:hAnsi="Arial"/>
          <w:sz w:val="24"/>
          <w:szCs w:val="24"/>
        </w:rPr>
        <w:t xml:space="preserve"> JK, atendendo aos demais </w:t>
      </w:r>
      <w:r>
        <w:rPr>
          <w:rFonts w:cs="Arial" w:ascii="Arial" w:hAnsi="Arial"/>
          <w:i/>
          <w:sz w:val="24"/>
          <w:szCs w:val="24"/>
        </w:rPr>
        <w:t xml:space="preserve">campi </w:t>
      </w:r>
      <w:r>
        <w:rPr>
          <w:rFonts w:cs="Arial" w:ascii="Arial" w:hAnsi="Arial"/>
          <w:sz w:val="24"/>
          <w:szCs w:val="24"/>
        </w:rPr>
        <w:t xml:space="preserve">por demanda, e conta com um engenheiro de segurança do trabalho e uma técnica em segurança do trabalho. O serviço é responsável pelas ações de vigilância, segurança do trabalho e higiene ocupacional, propondo medidas de prevenção e de correção nos ambientes e processos de trabalho. De modo mais específico, o serviço tem como atribuições a elaboração de laudos técnicos das condições ambientais; análise e investigaçãodos acidentes de em serviço; especificação de equipamentos de proteção individual e coletiva - EPIs e EPCs; treinamentos de segurança do trabalho; inspeções nos locais de trabalho, visando identificar e avaliar os riscos existentes; concessão de adicionais ocupacionais; e elaboração de pareceres especializados na área de Engenharia de Segurança do Trabalho. </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t>PLANO DE DESENVOLVIMENTO INSTITUCIONAL – 2017-2021</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b/>
          <w:b/>
          <w:sz w:val="24"/>
          <w:szCs w:val="24"/>
        </w:rPr>
      </w:pPr>
      <w:r>
        <w:rPr>
          <w:rFonts w:cs="Arial" w:ascii="Arial" w:hAnsi="Arial"/>
          <w:b/>
          <w:sz w:val="24"/>
          <w:szCs w:val="24"/>
        </w:rPr>
        <w:t>Objetivos</w:t>
      </w:r>
    </w:p>
    <w:p>
      <w:pPr>
        <w:pStyle w:val="Normal"/>
        <w:spacing w:lineRule="auto" w:line="360"/>
        <w:jc w:val="both"/>
        <w:rPr>
          <w:rFonts w:ascii="Arial" w:hAnsi="Arial" w:cs="Arial"/>
          <w:b/>
          <w:b/>
          <w:sz w:val="24"/>
          <w:szCs w:val="24"/>
        </w:rPr>
      </w:pPr>
      <w:r>
        <w:rPr>
          <w:rFonts w:cs="Arial" w:ascii="Arial" w:hAnsi="Arial"/>
          <w:b/>
          <w:sz w:val="24"/>
          <w:szCs w:val="24"/>
        </w:rPr>
      </w:r>
    </w:p>
    <w:p>
      <w:pPr>
        <w:pStyle w:val="Normal"/>
        <w:spacing w:lineRule="auto" w:line="360"/>
        <w:jc w:val="both"/>
        <w:rPr>
          <w:rFonts w:ascii="Arial" w:hAnsi="Arial" w:cs="Arial"/>
          <w:b/>
          <w:b/>
          <w:sz w:val="24"/>
          <w:szCs w:val="24"/>
        </w:rPr>
      </w:pPr>
      <w:r>
        <w:rPr>
          <w:rFonts w:cs="Arial" w:ascii="Arial" w:hAnsi="Arial"/>
          <w:b/>
          <w:sz w:val="24"/>
          <w:szCs w:val="24"/>
        </w:rPr>
        <w:t>Metas</w:t>
      </w:r>
    </w:p>
    <w:p>
      <w:pPr>
        <w:pStyle w:val="Normal"/>
        <w:spacing w:lineRule="auto" w:line="360"/>
        <w:jc w:val="both"/>
        <w:rPr>
          <w:rFonts w:ascii="Arial" w:hAnsi="Arial" w:cs="Arial"/>
          <w:sz w:val="24"/>
          <w:szCs w:val="24"/>
        </w:rPr>
      </w:pPr>
      <w:r>
        <w:rPr>
          <w:rFonts w:cs="Arial" w:ascii="Arial" w:hAnsi="Arial"/>
          <w:sz w:val="24"/>
          <w:szCs w:val="24"/>
        </w:rPr>
        <w:t>- Elaborar e implementar a Política de Atenção à Saúde e Segurança do Trabalho dos servidores da UFVJM.</w:t>
      </w:r>
    </w:p>
    <w:p>
      <w:pPr>
        <w:pStyle w:val="Normal"/>
        <w:spacing w:lineRule="auto" w:line="360"/>
        <w:jc w:val="both"/>
        <w:rPr>
          <w:rFonts w:ascii="Arial" w:hAnsi="Arial" w:cs="Arial"/>
          <w:sz w:val="24"/>
          <w:szCs w:val="24"/>
        </w:rPr>
      </w:pPr>
      <w:r>
        <w:rPr>
          <w:rFonts w:cs="Arial" w:ascii="Arial" w:hAnsi="Arial"/>
          <w:sz w:val="24"/>
          <w:szCs w:val="24"/>
        </w:rPr>
        <w:t>- Aumentar o quadro funcional da PROACE com profissionais com formação técnica, principalmente enfermeiros, técnicos em enfermagem, psicólogos, engenheiros em segurança do trabalho, técnicos em segurança do trabalho e médicos, de modo a possibilitar a estruturação de novos serviços e a melhoria na oferta dos já disponibilizados.</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b/>
          <w:b/>
          <w:sz w:val="24"/>
          <w:szCs w:val="24"/>
        </w:rPr>
      </w:pPr>
      <w:r>
        <w:rPr>
          <w:rFonts w:cs="Arial" w:ascii="Arial" w:hAnsi="Arial"/>
          <w:b/>
          <w:sz w:val="24"/>
          <w:szCs w:val="24"/>
        </w:rPr>
        <w:t>Ações</w:t>
      </w:r>
    </w:p>
    <w:p>
      <w:pPr>
        <w:pStyle w:val="Normal"/>
        <w:spacing w:lineRule="auto" w:line="360"/>
        <w:jc w:val="both"/>
        <w:rPr>
          <w:rFonts w:ascii="Arial" w:hAnsi="Arial" w:cs="Arial"/>
          <w:sz w:val="24"/>
          <w:szCs w:val="24"/>
        </w:rPr>
      </w:pPr>
      <w:r>
        <w:rPr>
          <w:rFonts w:cs="Arial" w:ascii="Arial" w:hAnsi="Arial"/>
          <w:sz w:val="24"/>
          <w:szCs w:val="24"/>
        </w:rPr>
        <w:t>- Estabelecer outros acordos de cooperação com os demais órgãos federais para ampliar a rede de atendimento e melhorar a estrutura da unidade SIASS/UFVJM.</w:t>
      </w:r>
    </w:p>
    <w:p>
      <w:pPr>
        <w:pStyle w:val="Normal"/>
        <w:spacing w:lineRule="auto" w:line="360"/>
        <w:jc w:val="both"/>
        <w:rPr>
          <w:rFonts w:ascii="Arial" w:hAnsi="Arial" w:cs="Arial"/>
          <w:sz w:val="24"/>
          <w:szCs w:val="24"/>
        </w:rPr>
      </w:pPr>
      <w:r>
        <w:rPr>
          <w:rFonts w:cs="Arial" w:ascii="Arial" w:hAnsi="Arial"/>
          <w:sz w:val="24"/>
          <w:szCs w:val="24"/>
        </w:rPr>
        <w:t>- Promover a realização anual dos exames médicos periódicos.</w:t>
      </w:r>
    </w:p>
    <w:p>
      <w:pPr>
        <w:pStyle w:val="Normal"/>
        <w:spacing w:lineRule="auto" w:line="360"/>
        <w:jc w:val="both"/>
        <w:rPr>
          <w:rFonts w:ascii="Arial" w:hAnsi="Arial" w:cs="Arial"/>
          <w:sz w:val="24"/>
          <w:szCs w:val="24"/>
        </w:rPr>
      </w:pPr>
      <w:r>
        <w:rPr>
          <w:rFonts w:cs="Arial" w:ascii="Arial" w:hAnsi="Arial"/>
          <w:sz w:val="24"/>
          <w:szCs w:val="24"/>
        </w:rPr>
        <w:t xml:space="preserve">- Realizar ações de promoção à saúde e à prevenção de doenças e agravos, buscando minimizar o adoecimento e melhorar a qualidade de vida dos servidores. </w:t>
      </w:r>
    </w:p>
    <w:p>
      <w:pPr>
        <w:pStyle w:val="Normal"/>
        <w:spacing w:lineRule="auto" w:line="360"/>
        <w:jc w:val="both"/>
        <w:rPr>
          <w:rFonts w:ascii="Arial" w:hAnsi="Arial" w:cs="Arial"/>
          <w:sz w:val="24"/>
          <w:szCs w:val="24"/>
        </w:rPr>
      </w:pPr>
      <w:r>
        <w:rPr>
          <w:rFonts w:cs="Arial" w:ascii="Arial" w:hAnsi="Arial"/>
          <w:sz w:val="24"/>
          <w:szCs w:val="24"/>
        </w:rPr>
        <w:t>- Possibilitar a avaliação quantitativa de riscos ambientais a que os servidores podem estar expostos, por meio da contratação de serviços ou aquisição de equipamentos de medição.</w:t>
      </w:r>
    </w:p>
    <w:p>
      <w:pPr>
        <w:pStyle w:val="Normal"/>
        <w:spacing w:lineRule="auto" w:line="360"/>
        <w:jc w:val="both"/>
        <w:rPr>
          <w:rFonts w:ascii="Arial" w:hAnsi="Arial" w:cs="Arial"/>
          <w:sz w:val="24"/>
          <w:szCs w:val="24"/>
        </w:rPr>
      </w:pPr>
      <w:r>
        <w:rPr>
          <w:rFonts w:cs="Arial" w:ascii="Arial" w:hAnsi="Arial"/>
          <w:sz w:val="24"/>
          <w:szCs w:val="24"/>
        </w:rPr>
        <w:t>- Elaborar inventário de equipamentos de proteção individual – EPIs para servidores da UFVJM e propor e implementar a gestão dos mesmos.</w:t>
      </w:r>
    </w:p>
    <w:p>
      <w:pPr>
        <w:pStyle w:val="Normal"/>
        <w:spacing w:lineRule="auto" w:line="360"/>
        <w:jc w:val="both"/>
        <w:rPr>
          <w:rFonts w:ascii="Arial" w:hAnsi="Arial" w:cs="Arial"/>
          <w:sz w:val="24"/>
          <w:szCs w:val="24"/>
        </w:rPr>
      </w:pPr>
      <w:r>
        <w:rPr>
          <w:rFonts w:cs="Arial" w:ascii="Arial" w:hAnsi="Arial"/>
          <w:sz w:val="24"/>
          <w:szCs w:val="24"/>
        </w:rPr>
      </w:r>
    </w:p>
    <w:p>
      <w:pPr>
        <w:pStyle w:val="ListParagraph"/>
        <w:numPr>
          <w:ilvl w:val="3"/>
          <w:numId w:val="58"/>
        </w:numPr>
        <w:suppressAutoHyphens w:val="false"/>
        <w:spacing w:lineRule="auto" w:line="360" w:before="0" w:after="0"/>
        <w:contextualSpacing/>
        <w:jc w:val="both"/>
        <w:textAlignment w:val="auto"/>
        <w:rPr>
          <w:rFonts w:ascii="Arial" w:hAnsi="Arial" w:cs="Arial"/>
          <w:b/>
          <w:b/>
        </w:rPr>
      </w:pPr>
      <w:r>
        <w:rPr>
          <w:rFonts w:cs="Arial"/>
          <w:b/>
        </w:rPr>
        <w:t>Atenção à Saúde dos Estudantes</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ind w:firstLine="426"/>
        <w:jc w:val="both"/>
        <w:rPr>
          <w:rFonts w:ascii="Arial" w:hAnsi="Arial" w:cs="Arial"/>
          <w:sz w:val="24"/>
          <w:szCs w:val="24"/>
        </w:rPr>
      </w:pPr>
      <w:r>
        <w:rPr>
          <w:rFonts w:cs="Arial" w:ascii="Arial" w:hAnsi="Arial"/>
          <w:sz w:val="24"/>
          <w:szCs w:val="24"/>
        </w:rPr>
        <w:t>A Pró-Reitoria de Assuntos Comunitários e Estudantis – PROACE - mantém à disposição dos seus estudantes o Serviço de Odontologia, o Serviço de Psicologia e o Serviço de Perícia Oficial em Saúde.</w:t>
      </w:r>
    </w:p>
    <w:p>
      <w:pPr>
        <w:pStyle w:val="Normal"/>
        <w:spacing w:lineRule="auto" w:line="360"/>
        <w:ind w:firstLine="426"/>
        <w:jc w:val="both"/>
        <w:rPr>
          <w:rFonts w:ascii="Arial" w:hAnsi="Arial" w:cs="Arial"/>
          <w:sz w:val="24"/>
          <w:szCs w:val="24"/>
        </w:rPr>
      </w:pPr>
      <w:r>
        <w:rPr>
          <w:rFonts w:cs="Arial" w:ascii="Arial" w:hAnsi="Arial"/>
          <w:sz w:val="24"/>
          <w:szCs w:val="24"/>
        </w:rPr>
        <w:t xml:space="preserve">Os atendimentos odontológicos são oferecidos para os estudantes beneficiários do Programa de Assistência Estudantil da PROACE prioritariamente, mas os demais estudantes também podem solicitar o atendimento. </w:t>
      </w:r>
    </w:p>
    <w:p>
      <w:pPr>
        <w:pStyle w:val="Normal"/>
        <w:spacing w:lineRule="auto" w:line="360"/>
        <w:ind w:firstLine="426"/>
        <w:jc w:val="both"/>
        <w:rPr>
          <w:rFonts w:ascii="Arial" w:hAnsi="Arial" w:cs="Arial"/>
          <w:sz w:val="24"/>
          <w:szCs w:val="24"/>
        </w:rPr>
      </w:pPr>
      <w:r>
        <w:rPr>
          <w:rFonts w:cs="Arial" w:ascii="Arial" w:hAnsi="Arial"/>
          <w:sz w:val="24"/>
          <w:szCs w:val="24"/>
        </w:rPr>
        <w:t xml:space="preserve">O Serviço de Psicologia, por sua vez, oferece aos discentes oficinas, cursos de desenvolvimento pessoal, treinamentos e capacitações, além dos atendimentos psicológicos. Desde o início do funcionamento desse Serviço nos </w:t>
      </w:r>
      <w:r>
        <w:rPr>
          <w:rFonts w:cs="Arial" w:ascii="Arial" w:hAnsi="Arial"/>
          <w:i/>
          <w:sz w:val="24"/>
          <w:szCs w:val="24"/>
        </w:rPr>
        <w:t>campi</w:t>
      </w:r>
      <w:r>
        <w:rPr>
          <w:rFonts w:cs="Arial" w:ascii="Arial" w:hAnsi="Arial"/>
          <w:sz w:val="24"/>
          <w:szCs w:val="24"/>
        </w:rPr>
        <w:t xml:space="preserve"> JK e do Mucuri foram realizados milhares de atendimentos psicológicos. </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ab/>
        <w:t xml:space="preserve">O Serviço de Perícia Oficial em Saúde é buscado pelos discentes quando estes necessitam de perícia médica para que possam ter seus pedidos de enquadramento em regime especial, trancamento de matrícula por motivo de saúde ou afastamento especial avaliado pela UFVJM. No caso de estudantes ingressando em estágio remunerado dentro da própria UFVJM, também são realizadas as avaliações médicas necessárias para a emissão do atestado de sanidade física e mental. </w:t>
      </w:r>
    </w:p>
    <w:p>
      <w:pPr>
        <w:pStyle w:val="Normal"/>
        <w:tabs>
          <w:tab w:val="left" w:pos="284" w:leader="none"/>
        </w:tabs>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t>PLANO DE DESENVOLVIMENTO INSTITUCIONAL – 2017-2021</w:t>
      </w:r>
    </w:p>
    <w:p>
      <w:pPr>
        <w:pStyle w:val="Normal"/>
        <w:tabs>
          <w:tab w:val="left" w:pos="284" w:leader="none"/>
        </w:tabs>
        <w:spacing w:lineRule="auto" w:line="360"/>
        <w:jc w:val="both"/>
        <w:rPr>
          <w:rFonts w:ascii="Arial" w:hAnsi="Arial" w:eastAsia="Times New Roman" w:cs="Arial"/>
          <w:b/>
          <w:b/>
          <w:sz w:val="24"/>
          <w:szCs w:val="24"/>
        </w:rPr>
      </w:pPr>
      <w:r>
        <w:rPr>
          <w:rFonts w:eastAsia="Times New Roman" w:cs="Arial" w:ascii="Arial" w:hAnsi="Arial"/>
          <w:b/>
          <w:sz w:val="24"/>
          <w:szCs w:val="24"/>
        </w:rPr>
      </w:r>
    </w:p>
    <w:p>
      <w:pPr>
        <w:pStyle w:val="Normal"/>
        <w:tabs>
          <w:tab w:val="left" w:pos="284" w:leader="none"/>
        </w:tabs>
        <w:spacing w:lineRule="auto" w:line="360"/>
        <w:jc w:val="both"/>
        <w:rPr>
          <w:rFonts w:ascii="Arial" w:hAnsi="Arial" w:eastAsia="Times New Roman" w:cs="Arial"/>
          <w:b/>
          <w:b/>
          <w:sz w:val="24"/>
          <w:szCs w:val="24"/>
        </w:rPr>
      </w:pPr>
      <w:r>
        <w:rPr>
          <w:rFonts w:eastAsia="Times New Roman" w:cs="Arial" w:ascii="Arial" w:hAnsi="Arial"/>
          <w:b/>
          <w:sz w:val="24"/>
          <w:szCs w:val="24"/>
        </w:rPr>
        <w:t>Objetivos</w:t>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Planejar e desenvolver ações de promoção à saúde, voltadas para os discentes, principalmente os beneficiários do Programa de Assistência Estudantil da PROACE, buscando minimizar o adoecimento e melhorar a qualidade de vida.</w:t>
      </w:r>
    </w:p>
    <w:p>
      <w:pPr>
        <w:pStyle w:val="Normal"/>
        <w:tabs>
          <w:tab w:val="left" w:pos="284" w:leader="none"/>
        </w:tabs>
        <w:spacing w:lineRule="auto" w:line="360"/>
        <w:jc w:val="both"/>
        <w:rPr>
          <w:rFonts w:ascii="Arial" w:hAnsi="Arial" w:eastAsia="Times New Roman" w:cs="Arial"/>
          <w:b/>
          <w:b/>
          <w:sz w:val="24"/>
          <w:szCs w:val="24"/>
        </w:rPr>
      </w:pPr>
      <w:r>
        <w:rPr>
          <w:rFonts w:eastAsia="Times New Roman" w:cs="Arial" w:ascii="Arial" w:hAnsi="Arial"/>
          <w:b/>
          <w:sz w:val="24"/>
          <w:szCs w:val="24"/>
        </w:rPr>
        <w:t>Metas</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Fomentar a criação de uma rede de referência entre os serviços de saúde da PROACE, a rede pública de saúde e profissionais autônomos, nas cidades onde estão localizados os</w:t>
      </w:r>
      <w:r>
        <w:rPr>
          <w:rFonts w:eastAsia="Times New Roman" w:cs="Arial" w:ascii="Arial" w:hAnsi="Arial"/>
          <w:i/>
          <w:sz w:val="24"/>
          <w:szCs w:val="24"/>
        </w:rPr>
        <w:t xml:space="preserve"> campi</w:t>
      </w:r>
      <w:r>
        <w:rPr>
          <w:rFonts w:eastAsia="Times New Roman" w:cs="Arial" w:ascii="Arial" w:hAnsi="Arial"/>
          <w:sz w:val="24"/>
          <w:szCs w:val="24"/>
        </w:rPr>
        <w:t xml:space="preserve"> da UFVJM.  </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r>
    </w:p>
    <w:p>
      <w:pPr>
        <w:pStyle w:val="Normal"/>
        <w:tabs>
          <w:tab w:val="left" w:pos="284" w:leader="none"/>
        </w:tabs>
        <w:spacing w:lineRule="auto" w:line="360"/>
        <w:jc w:val="both"/>
        <w:rPr>
          <w:rFonts w:ascii="Arial" w:hAnsi="Arial" w:eastAsia="Times New Roman" w:cs="Arial"/>
          <w:b/>
          <w:b/>
          <w:sz w:val="24"/>
          <w:szCs w:val="24"/>
        </w:rPr>
      </w:pPr>
      <w:r>
        <w:rPr>
          <w:rFonts w:eastAsia="Times New Roman" w:cs="Arial" w:ascii="Arial" w:hAnsi="Arial"/>
          <w:b/>
          <w:sz w:val="24"/>
          <w:szCs w:val="24"/>
        </w:rPr>
        <w:t>Ações</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Manter o oferecimento dos serviços já disponibilizados, promovendo melhorias nos fluxos de atendimento e nas informações disponibilizadas ao público, por meio da reformulação das informações presentes no site da UFVJM e da elaboração de cartilhas informativas.</w:t>
      </w:r>
    </w:p>
    <w:p>
      <w:pPr>
        <w:pStyle w:val="Normal"/>
        <w:spacing w:lineRule="auto" w:line="360"/>
        <w:jc w:val="both"/>
        <w:rPr>
          <w:rFonts w:ascii="Arial" w:hAnsi="Arial" w:cs="Arial"/>
          <w:b/>
          <w:b/>
          <w:sz w:val="24"/>
          <w:szCs w:val="24"/>
        </w:rPr>
      </w:pPr>
      <w:r>
        <w:rPr>
          <w:rFonts w:cs="Arial" w:ascii="Arial" w:hAnsi="Arial"/>
          <w:b/>
          <w:sz w:val="24"/>
          <w:szCs w:val="24"/>
        </w:rPr>
      </w:r>
    </w:p>
    <w:p>
      <w:pPr>
        <w:pStyle w:val="ListParagraph"/>
        <w:numPr>
          <w:ilvl w:val="3"/>
          <w:numId w:val="58"/>
        </w:numPr>
        <w:tabs>
          <w:tab w:val="left" w:pos="284" w:leader="none"/>
          <w:tab w:val="left" w:pos="426" w:leader="none"/>
        </w:tabs>
        <w:suppressAutoHyphens w:val="false"/>
        <w:spacing w:lineRule="auto" w:line="360" w:before="0" w:after="0"/>
        <w:contextualSpacing/>
        <w:jc w:val="both"/>
        <w:textAlignment w:val="auto"/>
        <w:rPr>
          <w:rFonts w:ascii="Arial" w:hAnsi="Arial" w:cs="Arial"/>
          <w:b/>
          <w:b/>
        </w:rPr>
      </w:pPr>
      <w:r>
        <w:rPr>
          <w:rFonts w:cs="Arial"/>
          <w:b/>
        </w:rPr>
        <w:t xml:space="preserve"> </w:t>
      </w:r>
      <w:r>
        <w:rPr>
          <w:rFonts w:cs="Arial"/>
          <w:b/>
        </w:rPr>
        <w:t xml:space="preserve">Programa Socorrer – Atendimento às Urgências e Emergências nos </w:t>
      </w:r>
      <w:r>
        <w:rPr>
          <w:rFonts w:cs="Arial"/>
          <w:b/>
          <w:i/>
        </w:rPr>
        <w:t xml:space="preserve">campi </w:t>
      </w:r>
      <w:r>
        <w:rPr>
          <w:rFonts w:cs="Arial"/>
          <w:b/>
        </w:rPr>
        <w:t>da UFVJM</w:t>
      </w:r>
    </w:p>
    <w:p>
      <w:pPr>
        <w:pStyle w:val="ListParagraph"/>
        <w:tabs>
          <w:tab w:val="left" w:pos="284" w:leader="none"/>
          <w:tab w:val="left" w:pos="426" w:leader="none"/>
        </w:tabs>
        <w:spacing w:lineRule="auto" w:line="360" w:before="0" w:after="0"/>
        <w:ind w:left="284" w:hanging="0"/>
        <w:contextualSpacing/>
        <w:jc w:val="both"/>
        <w:rPr>
          <w:rFonts w:ascii="Arial" w:hAnsi="Arial" w:cs="Arial"/>
          <w:b/>
          <w:b/>
        </w:rPr>
      </w:pPr>
      <w:r>
        <w:rPr>
          <w:rFonts w:cs="Arial"/>
          <w:b/>
        </w:rPr>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A Diretoria de Atenção à Saúde e Acessibilidade – DASA, da Pró-Reitoria de Assuntos Comunitários e Estudantis – PROACE, é responsável pelo Programa Socorrer.</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PLANO DE DESENVOLVIMENTO INSTITUCIONAL – 2017-2021</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r>
    </w:p>
    <w:p>
      <w:pPr>
        <w:pStyle w:val="Normal"/>
        <w:tabs>
          <w:tab w:val="left" w:pos="284" w:leader="none"/>
        </w:tabs>
        <w:spacing w:lineRule="auto" w:line="360"/>
        <w:jc w:val="both"/>
        <w:rPr>
          <w:rFonts w:ascii="Arial" w:hAnsi="Arial" w:eastAsia="Times New Roman" w:cs="Arial"/>
          <w:b/>
          <w:b/>
          <w:sz w:val="24"/>
          <w:szCs w:val="24"/>
        </w:rPr>
      </w:pPr>
      <w:r>
        <w:rPr>
          <w:rFonts w:eastAsia="Times New Roman" w:cs="Arial" w:ascii="Arial" w:hAnsi="Arial"/>
          <w:b/>
          <w:sz w:val="24"/>
          <w:szCs w:val="24"/>
        </w:rPr>
        <w:t>Objetivo</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Favorecer o atendimento pré-hospitalar rápido e efetivo para toda comunidade acadêmicaem situações de urgência e emergência médicas nos</w:t>
      </w:r>
      <w:r>
        <w:rPr>
          <w:rFonts w:eastAsia="Times New Roman" w:cs="Arial" w:ascii="Arial" w:hAnsi="Arial"/>
          <w:i/>
          <w:sz w:val="24"/>
          <w:szCs w:val="24"/>
        </w:rPr>
        <w:t xml:space="preserve"> campi </w:t>
      </w:r>
      <w:r>
        <w:rPr>
          <w:rFonts w:eastAsia="Times New Roman" w:cs="Arial" w:ascii="Arial" w:hAnsi="Arial"/>
          <w:sz w:val="24"/>
          <w:szCs w:val="24"/>
        </w:rPr>
        <w:t>da UFVJM.</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r>
    </w:p>
    <w:p>
      <w:pPr>
        <w:pStyle w:val="Normal"/>
        <w:tabs>
          <w:tab w:val="left" w:pos="284" w:leader="none"/>
        </w:tabs>
        <w:spacing w:lineRule="auto" w:line="360"/>
        <w:jc w:val="both"/>
        <w:rPr>
          <w:rFonts w:ascii="Arial" w:hAnsi="Arial" w:eastAsia="Times New Roman" w:cs="Arial"/>
          <w:b/>
          <w:b/>
          <w:sz w:val="24"/>
          <w:szCs w:val="24"/>
        </w:rPr>
      </w:pPr>
      <w:r>
        <w:rPr>
          <w:rFonts w:eastAsia="Times New Roman" w:cs="Arial" w:ascii="Arial" w:hAnsi="Arial"/>
          <w:b/>
          <w:sz w:val="24"/>
          <w:szCs w:val="24"/>
        </w:rPr>
        <w:t>Meta</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Estabelecer e tornar público o fluxo de procedimentos recomendados em situações de urgência e emergência médicas nos</w:t>
      </w:r>
      <w:r>
        <w:rPr>
          <w:rFonts w:eastAsia="Times New Roman" w:cs="Arial" w:ascii="Arial" w:hAnsi="Arial"/>
          <w:i/>
          <w:sz w:val="24"/>
          <w:szCs w:val="24"/>
        </w:rPr>
        <w:t xml:space="preserve"> campi </w:t>
      </w:r>
      <w:r>
        <w:rPr>
          <w:rFonts w:eastAsia="Times New Roman" w:cs="Arial" w:ascii="Arial" w:hAnsi="Arial"/>
          <w:sz w:val="24"/>
          <w:szCs w:val="24"/>
        </w:rPr>
        <w:t>da UFVJM.</w:t>
      </w:r>
    </w:p>
    <w:p>
      <w:pPr>
        <w:pStyle w:val="Normal"/>
        <w:tabs>
          <w:tab w:val="left" w:pos="284" w:leader="none"/>
        </w:tabs>
        <w:spacing w:lineRule="auto" w:line="360"/>
        <w:jc w:val="both"/>
        <w:rPr>
          <w:rFonts w:ascii="Arial" w:hAnsi="Arial" w:cs="Arial"/>
          <w:sz w:val="24"/>
          <w:szCs w:val="24"/>
        </w:rPr>
      </w:pPr>
      <w:r>
        <w:rPr>
          <w:rFonts w:cs="Arial" w:ascii="Arial" w:hAnsi="Arial"/>
          <w:sz w:val="24"/>
          <w:szCs w:val="24"/>
        </w:rPr>
      </w:r>
    </w:p>
    <w:p>
      <w:pPr>
        <w:pStyle w:val="Normal"/>
        <w:tabs>
          <w:tab w:val="left" w:pos="284" w:leader="none"/>
        </w:tabs>
        <w:spacing w:lineRule="auto" w:line="360"/>
        <w:jc w:val="both"/>
        <w:rPr>
          <w:rFonts w:ascii="Arial" w:hAnsi="Arial" w:eastAsia="Times New Roman" w:cs="Arial"/>
          <w:b/>
          <w:b/>
          <w:sz w:val="24"/>
          <w:szCs w:val="24"/>
        </w:rPr>
      </w:pPr>
      <w:r>
        <w:rPr>
          <w:rFonts w:eastAsia="Times New Roman" w:cs="Arial" w:ascii="Arial" w:hAnsi="Arial"/>
          <w:b/>
          <w:sz w:val="24"/>
          <w:szCs w:val="24"/>
        </w:rPr>
        <w:t>Ações</w:t>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 Estabelecer um fluxo de atendimento a urgências e emergências e sua ampla divulgação para a comunidade acadêmica da UFVJM.</w:t>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 Cadastrar no SIGA os contatos de emergência de toda a comunidade acadêmica.</w:t>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 xml:space="preserve">- Disponibilizar um sistema de notificação compulsória de urgências, emergências e acidentes dentro dos </w:t>
      </w:r>
      <w:r>
        <w:rPr>
          <w:rFonts w:eastAsia="Times New Roman" w:cs="Arial" w:ascii="Arial" w:hAnsi="Arial"/>
          <w:i/>
          <w:sz w:val="24"/>
          <w:szCs w:val="24"/>
        </w:rPr>
        <w:t>campi</w:t>
      </w:r>
      <w:r>
        <w:rPr>
          <w:rFonts w:eastAsia="Times New Roman" w:cs="Arial" w:ascii="Arial" w:hAnsi="Arial"/>
          <w:sz w:val="24"/>
          <w:szCs w:val="24"/>
        </w:rPr>
        <w:t xml:space="preserve"> da UFVJM.</w:t>
      </w:r>
    </w:p>
    <w:p>
      <w:pPr>
        <w:pStyle w:val="Normal"/>
        <w:tabs>
          <w:tab w:val="left" w:pos="284" w:leader="none"/>
        </w:tabs>
        <w:spacing w:lineRule="auto" w:line="360"/>
        <w:jc w:val="both"/>
        <w:rPr>
          <w:rFonts w:ascii="Arial" w:hAnsi="Arial" w:cs="Arial"/>
          <w:b/>
          <w:b/>
          <w:sz w:val="24"/>
          <w:szCs w:val="24"/>
        </w:rPr>
      </w:pPr>
      <w:r>
        <w:rPr>
          <w:rFonts w:eastAsia="Times New Roman" w:cs="Arial" w:ascii="Arial" w:hAnsi="Arial"/>
          <w:sz w:val="24"/>
          <w:szCs w:val="24"/>
        </w:rPr>
        <w:t>- Elaborar material informativo sobre primeiros socorros e suporte básico de vida para ser divulgado entre a comunidade acadêmica.</w:t>
      </w:r>
    </w:p>
    <w:p>
      <w:pPr>
        <w:pStyle w:val="Normal"/>
        <w:tabs>
          <w:tab w:val="left" w:pos="284" w:leader="none"/>
        </w:tabs>
        <w:spacing w:lineRule="auto" w:line="360"/>
        <w:jc w:val="both"/>
        <w:rPr>
          <w:rFonts w:ascii="Arial" w:hAnsi="Arial" w:cs="Arial"/>
          <w:sz w:val="24"/>
          <w:szCs w:val="24"/>
        </w:rPr>
      </w:pPr>
      <w:r>
        <w:rPr>
          <w:rFonts w:eastAsia="Times New Roman" w:cs="Arial" w:ascii="Arial" w:hAnsi="Arial"/>
          <w:sz w:val="24"/>
          <w:szCs w:val="24"/>
        </w:rPr>
        <w:t>- Oferecer cursos de primeiros socorros e suporte básico de vida para estudantes, servidores e terceirizados, com a colaboração do Corpo de Bombeiros, SAMU e Departamentos da UFVJM.</w:t>
      </w:r>
    </w:p>
    <w:p>
      <w:pPr>
        <w:pStyle w:val="Normal"/>
        <w:tabs>
          <w:tab w:val="left" w:pos="284" w:leader="none"/>
        </w:tabs>
        <w:spacing w:lineRule="auto" w:line="360"/>
        <w:jc w:val="both"/>
        <w:rPr>
          <w:rFonts w:ascii="Arial" w:hAnsi="Arial" w:eastAsia="Times New Roman" w:cs="Arial"/>
          <w:sz w:val="24"/>
          <w:szCs w:val="24"/>
        </w:rPr>
      </w:pPr>
      <w:r>
        <w:rPr>
          <w:rFonts w:eastAsia="Times New Roman" w:cs="Arial" w:ascii="Arial" w:hAnsi="Arial"/>
          <w:sz w:val="24"/>
          <w:szCs w:val="24"/>
        </w:rPr>
        <w:t>- Identificar todas as pessoas e setores da UFVJM que possuem capacitação em primeiros socorros e, ou em suporte básico de vida para que sejam acionados pela comunidade acadêmica em caso de necessidade.</w:t>
      </w:r>
    </w:p>
    <w:p>
      <w:pPr>
        <w:pStyle w:val="Normal"/>
        <w:rPr>
          <w:rFonts w:ascii="Arial" w:hAnsi="Arial" w:eastAsia="Times New Roman" w:cs="Arial"/>
          <w:sz w:val="24"/>
          <w:szCs w:val="24"/>
        </w:rPr>
      </w:pPr>
      <w:r>
        <w:rPr>
          <w:rFonts w:eastAsia="Times New Roman" w:cs="Arial" w:ascii="Arial" w:hAnsi="Arial"/>
          <w:sz w:val="24"/>
          <w:szCs w:val="24"/>
        </w:rPr>
      </w:r>
      <w:r>
        <w:br w:type="page"/>
      </w:r>
    </w:p>
    <w:p>
      <w:pPr>
        <w:pStyle w:val="Normal1"/>
        <w:spacing w:lineRule="auto" w:line="360"/>
        <w:jc w:val="both"/>
        <w:rPr>
          <w:rFonts w:ascii="Arial" w:hAnsi="Arial" w:cs="Arial"/>
          <w:color w:val="0070C0"/>
        </w:rPr>
      </w:pPr>
      <w:r>
        <w:rPr>
          <w:rFonts w:cs="Arial"/>
          <w:b/>
          <w:bCs/>
        </w:rPr>
        <w:t>Capítulo 3 – Gestão e Planejamento Institucionais</w:t>
      </w:r>
    </w:p>
    <w:p>
      <w:pPr>
        <w:pStyle w:val="Normal1"/>
        <w:spacing w:lineRule="auto" w:line="360"/>
        <w:jc w:val="both"/>
        <w:rPr>
          <w:rFonts w:ascii="Arial" w:hAnsi="Arial" w:cs="Arial"/>
          <w:b/>
          <w:b/>
          <w:bCs/>
        </w:rPr>
      </w:pPr>
      <w:r>
        <w:rPr>
          <w:rFonts w:cs="Arial"/>
          <w:b/>
          <w:bCs/>
        </w:rPr>
      </w:r>
    </w:p>
    <w:p>
      <w:pPr>
        <w:pStyle w:val="Normal1"/>
        <w:spacing w:lineRule="auto" w:line="360"/>
        <w:ind w:firstLine="708"/>
        <w:jc w:val="both"/>
        <w:rPr>
          <w:rFonts w:ascii="Arial" w:hAnsi="Arial" w:cs="Arial"/>
        </w:rPr>
      </w:pPr>
      <w:r>
        <w:rPr>
          <w:rFonts w:cs="Arial"/>
        </w:rPr>
        <w:t>Por meio da Portaria nº 1656, de 03 de dezembro de 2012, a Superintendência de Recursos Humanos (SRH) da UFVJM foi transformada em Pró-reitoria de Gestão de Pessoas (PROGEP), momento que foi criada a Diretoria de Administração de Pessoal e a Diretoria de Seleção e Desenvolvimento de Pessoas, órgãos estes instituídos nesta universidade como responsáveis pelos assuntos de gestão, seleção e desenvolvimento de pessoas, pelos processos referentes à administração de pessoal, tais como: gestão de benefícios, cadastro e lotação, pagamento dos servidores e aplicação da legislação de pessoal, capacitação funcional dos servidores técnico-administrativos e docentes da Instituição.</w:t>
      </w:r>
    </w:p>
    <w:p>
      <w:pPr>
        <w:pStyle w:val="Normal1"/>
        <w:spacing w:lineRule="auto" w:line="360"/>
        <w:jc w:val="both"/>
        <w:rPr>
          <w:rFonts w:ascii="Arial" w:hAnsi="Arial" w:cs="Arial"/>
        </w:rPr>
      </w:pPr>
      <w:r>
        <w:rPr>
          <w:rFonts w:cs="Arial"/>
        </w:rPr>
        <w:t> </w:t>
      </w:r>
      <w:r>
        <w:rPr>
          <w:rFonts w:cs="Arial"/>
        </w:rPr>
        <w:tab/>
        <w:t>A Diretoria de Administração de Pessoal é composta pela Divisão de Legislação e Normas, Divisão de Cadastro, Divisão de Aposentadoria e Pensão, Divisão de Pagamento e Divisão de Arquivo. Compete à Diretoria formular diretrizes, responder consultas, coordenar, controlar e supervisionar assuntos relacionados a cadastro, folha de pagamento em articulação com o Ministério do Planejamento e Orçamento/SIAPENET/SIGEPE/SIAPE, além do controle e aplicação da legislação referente à pessoal, aposentadoria e pensão, bem como, arquivo e guarda dos documentos ensejadores das ações praticadas.</w:t>
      </w:r>
    </w:p>
    <w:p>
      <w:pPr>
        <w:pStyle w:val="Normal1"/>
        <w:spacing w:lineRule="auto" w:line="360"/>
        <w:jc w:val="both"/>
        <w:rPr>
          <w:rFonts w:ascii="Arial" w:hAnsi="Arial" w:cs="Arial"/>
        </w:rPr>
      </w:pPr>
      <w:r>
        <w:rPr>
          <w:rFonts w:cs="Arial"/>
        </w:rPr>
      </w:r>
    </w:p>
    <w:p>
      <w:pPr>
        <w:pStyle w:val="Normal1"/>
        <w:spacing w:lineRule="auto" w:line="360"/>
        <w:ind w:firstLine="708"/>
        <w:jc w:val="both"/>
        <w:rPr>
          <w:rFonts w:ascii="Arial" w:hAnsi="Arial" w:cs="Arial"/>
        </w:rPr>
      </w:pPr>
      <w:r>
        <w:rPr>
          <w:rFonts w:cs="Arial"/>
        </w:rPr>
        <w:t>A Diretoria de Desenvolvimento de Pessoas é composta pela Divisão de Seleção e Controle de Vagas, Divisão de Capacitação e Desenvolvimento e Divisão de Gerenciamento da Informação e Assistência à Saúde. São responsabilidades desta Diretoria a assistência à saúde e ao bem estar do servidor, a gestão de ações relativas ao planejamento, execução e acompanhamento das atividades relativas ao provimento, capacitação, qualificação e desenvolvimento na carreira, bem como a movimentação de pessoal, recepção e integração de novos servidores.</w:t>
      </w:r>
    </w:p>
    <w:p>
      <w:pPr>
        <w:pStyle w:val="Normal1"/>
        <w:spacing w:lineRule="auto" w:line="360"/>
        <w:ind w:firstLine="708"/>
        <w:jc w:val="both"/>
        <w:rPr>
          <w:rFonts w:ascii="Arial" w:hAnsi="Arial" w:cs="Arial"/>
        </w:rPr>
      </w:pPr>
      <w:r>
        <w:rPr>
          <w:rFonts w:cs="Arial"/>
        </w:rPr>
        <w:t>    </w:t>
      </w:r>
      <w:r>
        <w:rPr>
          <w:rFonts w:cs="Arial"/>
        </w:rPr>
        <w:t xml:space="preserve">A PROGEP, conta ainda, com a Divisão de Pessoal, no </w:t>
      </w:r>
      <w:r>
        <w:rPr>
          <w:rFonts w:cs="Arial"/>
          <w:i/>
        </w:rPr>
        <w:t>campus</w:t>
      </w:r>
      <w:r>
        <w:rPr>
          <w:rFonts w:cs="Arial"/>
        </w:rPr>
        <w:t xml:space="preserve"> do Mucuri, a qual compete coordenar, controlar, acompanhar e supervisionar as atividades inerentes à área de gestão e desenvolvimento de pessoas, além de prestar informações e submeter as demandas dos servidores e autoridades à PROGEP.</w:t>
      </w:r>
    </w:p>
    <w:p>
      <w:pPr>
        <w:pStyle w:val="Normal1"/>
        <w:spacing w:lineRule="auto" w:line="360"/>
        <w:jc w:val="both"/>
        <w:rPr>
          <w:rFonts w:ascii="Arial" w:hAnsi="Arial" w:cs="Arial"/>
          <w:b/>
          <w:b/>
          <w:bCs/>
        </w:rPr>
      </w:pPr>
      <w:r>
        <w:rPr>
          <w:rFonts w:cs="Arial"/>
          <w:b/>
          <w:bCs/>
        </w:rPr>
      </w:r>
    </w:p>
    <w:p>
      <w:pPr>
        <w:pStyle w:val="Normal1"/>
        <w:jc w:val="both"/>
        <w:rPr>
          <w:rFonts w:ascii="Arial" w:hAnsi="Arial" w:cs="Arial"/>
          <w:b/>
          <w:b/>
          <w:bCs/>
          <w:color w:val="FF0000"/>
        </w:rPr>
      </w:pPr>
      <w:r>
        <w:rPr>
          <w:rFonts w:cs="Arial"/>
          <w:b/>
          <w:bCs/>
          <w:color w:val="FF0000"/>
        </w:rPr>
      </w:r>
    </w:p>
    <w:p>
      <w:pPr>
        <w:pStyle w:val="Normal1"/>
        <w:jc w:val="both"/>
        <w:rPr>
          <w:rFonts w:ascii="Arial" w:hAnsi="Arial" w:cs="Arial"/>
          <w:b/>
          <w:b/>
          <w:bCs/>
        </w:rPr>
      </w:pPr>
      <w:r>
        <w:rPr>
          <w:rFonts w:cs="Arial"/>
          <w:b/>
          <w:bCs/>
        </w:rPr>
        <w:t xml:space="preserve">3.1. Política de Pessoal </w:t>
      </w:r>
    </w:p>
    <w:p>
      <w:pPr>
        <w:pStyle w:val="Normal1"/>
        <w:jc w:val="both"/>
        <w:rPr>
          <w:rFonts w:ascii="Arial" w:hAnsi="Arial" w:cs="Arial"/>
          <w:b/>
          <w:b/>
          <w:bCs/>
        </w:rPr>
      </w:pPr>
      <w:r>
        <w:rPr>
          <w:rFonts w:cs="Arial"/>
          <w:b/>
          <w:bCs/>
        </w:rPr>
      </w:r>
    </w:p>
    <w:p>
      <w:pPr>
        <w:pStyle w:val="Normal1"/>
        <w:jc w:val="both"/>
        <w:rPr>
          <w:rFonts w:ascii="Arial" w:hAnsi="Arial" w:cs="Arial"/>
        </w:rPr>
      </w:pPr>
      <w:r>
        <w:rPr>
          <w:rFonts w:cs="Arial"/>
        </w:rPr>
      </w:r>
    </w:p>
    <w:p>
      <w:pPr>
        <w:pStyle w:val="Normal1"/>
        <w:spacing w:lineRule="auto" w:line="360"/>
        <w:ind w:firstLine="708"/>
        <w:jc w:val="both"/>
        <w:rPr>
          <w:rFonts w:ascii="Arial" w:hAnsi="Arial" w:cs="Arial"/>
        </w:rPr>
      </w:pPr>
      <w:r>
        <w:rPr>
          <w:rFonts w:cs="Arial"/>
        </w:rPr>
        <w:t>Além da realização de ações rotineiras envolvendo as atividades laborais, a PROGEP, almeja dinamizar os procedimentos, trabalhando para informatizar processos do setor.</w:t>
      </w:r>
    </w:p>
    <w:p>
      <w:pPr>
        <w:pStyle w:val="Normal1"/>
        <w:spacing w:lineRule="auto" w:line="360"/>
        <w:ind w:firstLine="708"/>
        <w:jc w:val="both"/>
        <w:rPr>
          <w:rFonts w:ascii="Arial" w:hAnsi="Arial" w:cs="Arial"/>
        </w:rPr>
      </w:pPr>
      <w:r>
        <w:rPr>
          <w:rFonts w:cs="Arial"/>
        </w:rPr>
        <w:t>A Diretoria de Administração de Pessoal,em conjunto com as divisões responsáveis, trabalham com a atual gestão para a implantação do Assentamento Funcional Digital – AFD, e também o sistema Férias WEB, ambos os programas criados e estabelecidos por normativas do Ministério do Planejamento e Orçamento – MPOG. Tais programas visam facilitar a consulta e o acesso de informações aos servidores, além de proporcionar uma maior transparência nas atividades exercidas no âmbito da PROGEP. Estes sistemas deverão estar em pleno funcionamento até o final do quadriênio 2016-2019.</w:t>
      </w:r>
    </w:p>
    <w:p>
      <w:pPr>
        <w:pStyle w:val="Normal1"/>
        <w:spacing w:lineRule="auto" w:line="360"/>
        <w:jc w:val="both"/>
        <w:rPr>
          <w:rFonts w:ascii="Arial" w:hAnsi="Arial" w:cs="Arial"/>
        </w:rPr>
      </w:pPr>
      <w:r>
        <w:rPr>
          <w:rFonts w:cs="Arial"/>
        </w:rPr>
        <w:t> </w:t>
      </w:r>
      <w:r>
        <w:rPr>
          <w:rFonts w:cs="Arial"/>
        </w:rPr>
        <w:tab/>
        <w:t xml:space="preserve">A Diretoria de Seleção e Desenvolvimento de Pessoas trabalha para incentivar a continuidade da educação formal, por meio do Plano de Apoio à Qualificação – PLANQUALI, que consiste na concessão de bolsas para os servidores e visa à melhoria de desempenho nas respectivas funções, bem como exercer a motivação de compromisso com a Instituição e, também, exaltar a capacidade reflexiva, crítica, técnica e científica, fundamentos para o exercício pleno da cidadania e para se alcançar a Missão da Instituição: “Produzir e disseminar o conhecimento e a inovação integrando o ensino, a pesquisa e a extensão como propulsores do desenvolvimento regional e nacional”. </w:t>
      </w:r>
    </w:p>
    <w:p>
      <w:pPr>
        <w:pStyle w:val="Normal1"/>
        <w:spacing w:lineRule="auto" w:line="360"/>
        <w:ind w:firstLine="708"/>
        <w:jc w:val="both"/>
        <w:rPr>
          <w:rFonts w:ascii="Arial" w:hAnsi="Arial" w:cs="Arial"/>
        </w:rPr>
      </w:pPr>
      <w:r>
        <w:rPr>
          <w:rFonts w:cs="Arial"/>
        </w:rPr>
        <w:t xml:space="preserve">A Diretoria tem como meta buscar um aumento significativo do valor destinado às bolsas para atender um maior número de servidores. </w:t>
      </w:r>
    </w:p>
    <w:p>
      <w:pPr>
        <w:pStyle w:val="Normal1"/>
        <w:spacing w:lineRule="auto" w:line="360"/>
        <w:jc w:val="both"/>
        <w:rPr>
          <w:rFonts w:ascii="Arial" w:hAnsi="Arial" w:cs="Arial"/>
        </w:rPr>
      </w:pPr>
      <w:r>
        <w:rPr>
          <w:rFonts w:cs="Arial"/>
        </w:rPr>
        <w:t> </w:t>
      </w:r>
    </w:p>
    <w:p>
      <w:pPr>
        <w:pStyle w:val="Normal1"/>
        <w:spacing w:lineRule="auto" w:line="360"/>
        <w:jc w:val="both"/>
        <w:rPr>
          <w:rFonts w:ascii="Arial" w:hAnsi="Arial" w:cs="Arial"/>
        </w:rPr>
      </w:pPr>
      <w:r>
        <w:rPr>
          <w:rFonts w:cs="Arial"/>
        </w:rPr>
        <w:t>- Prestar apoio ao servidor da UFVJM, promovendo o acolhimento, desde o momento que antecede a sua nomeação e posse, até a preparação para sua aposentadoria e após seu desligamento da universidade, por meio do Programa de Acolhimento e Desenvolvimento dos Servidores da UFVJM, que visa, dentre seus objetivos, minimizar as principais dificuldades encontradas no processo de socialização profissional, acolher e facilitar a adaptação ao trabalho e melhorar a qualidade de vida dos servidores. No primeiro ano já almejamos atender mais de 100 servidores ingressantes.</w:t>
      </w:r>
    </w:p>
    <w:p>
      <w:pPr>
        <w:pStyle w:val="Normal1"/>
        <w:spacing w:lineRule="auto" w:line="360"/>
        <w:rPr>
          <w:rFonts w:ascii="Arial" w:hAnsi="Arial" w:cs="Arial"/>
        </w:rPr>
      </w:pPr>
      <w:r>
        <w:rPr>
          <w:rFonts w:cs="Arial"/>
        </w:rPr>
        <w:t> </w:t>
      </w:r>
    </w:p>
    <w:p>
      <w:pPr>
        <w:pStyle w:val="Normal1"/>
        <w:spacing w:lineRule="auto" w:line="360"/>
        <w:jc w:val="both"/>
        <w:rPr>
          <w:rFonts w:ascii="Arial" w:hAnsi="Arial" w:cs="Arial"/>
        </w:rPr>
      </w:pPr>
      <w:r>
        <w:rPr>
          <w:rFonts w:cs="Arial"/>
        </w:rPr>
        <w:t>- Recomposição dos quadros de pessoal da UFVJM em atendimento às necessidades tanto de reposição de docentes e de servidores técnico-administrativos em Educação, buscando o cumprimento das pactuações já feitas com o MEC, no intuito de dar continuidade à prestação de um serviço de qualidade à comunidade</w:t>
      </w:r>
      <w:r>
        <w:rPr>
          <w:rFonts w:cs="Arial"/>
          <w:shd w:fill="FFFF00" w:val="clear"/>
        </w:rPr>
        <w:t>.</w:t>
      </w:r>
    </w:p>
    <w:p>
      <w:pPr>
        <w:pStyle w:val="Normal1"/>
        <w:spacing w:lineRule="auto" w:line="360"/>
        <w:rPr>
          <w:rFonts w:ascii="Arial" w:hAnsi="Arial" w:cs="Arial"/>
        </w:rPr>
      </w:pPr>
      <w:r>
        <w:rPr>
          <w:rFonts w:cs="Arial"/>
        </w:rPr>
      </w:r>
    </w:p>
    <w:p>
      <w:pPr>
        <w:pStyle w:val="Normal1"/>
        <w:jc w:val="both"/>
        <w:rPr>
          <w:rFonts w:ascii="Arial" w:hAnsi="Arial" w:cs="Arial"/>
          <w:b/>
          <w:b/>
        </w:rPr>
      </w:pPr>
      <w:r>
        <w:rPr>
          <w:rFonts w:cs="Arial"/>
          <w:b/>
        </w:rPr>
        <w:t xml:space="preserve">PLANO DE DESENVOLVIMENTO INSTITUCIONAL - 2017-2021 </w:t>
      </w:r>
    </w:p>
    <w:p>
      <w:pPr>
        <w:pStyle w:val="Normal1"/>
        <w:jc w:val="both"/>
        <w:rPr>
          <w:rFonts w:ascii="Arial" w:hAnsi="Arial" w:cs="Arial"/>
        </w:rPr>
      </w:pPr>
      <w:r>
        <w:rPr>
          <w:rFonts w:cs="Arial"/>
        </w:rPr>
      </w:r>
    </w:p>
    <w:p>
      <w:pPr>
        <w:pStyle w:val="Normal1"/>
        <w:jc w:val="both"/>
        <w:rPr>
          <w:rFonts w:ascii="Arial" w:hAnsi="Arial" w:cs="Arial"/>
          <w:b/>
          <w:b/>
        </w:rPr>
      </w:pPr>
      <w:r>
        <w:rPr>
          <w:rFonts w:cs="Arial"/>
          <w:b/>
        </w:rPr>
        <w:t>Objetivos</w:t>
      </w:r>
    </w:p>
    <w:p>
      <w:pPr>
        <w:pStyle w:val="Normal1"/>
        <w:spacing w:lineRule="auto" w:line="360"/>
        <w:rPr>
          <w:rFonts w:ascii="Arial" w:hAnsi="Arial" w:cs="Arial"/>
        </w:rPr>
      </w:pPr>
      <w:r>
        <w:rPr>
          <w:rFonts w:cs="Arial"/>
        </w:rPr>
      </w:r>
    </w:p>
    <w:p>
      <w:pPr>
        <w:pStyle w:val="ListParagraph"/>
        <w:numPr>
          <w:ilvl w:val="0"/>
          <w:numId w:val="46"/>
        </w:numPr>
        <w:spacing w:lineRule="auto" w:line="360" w:before="0" w:after="0"/>
        <w:contextualSpacing/>
        <w:jc w:val="both"/>
        <w:rPr>
          <w:rFonts w:ascii="Arial" w:hAnsi="Arial" w:cs="Arial"/>
        </w:rPr>
      </w:pPr>
      <w:r>
        <w:rPr>
          <w:rFonts w:cs="Arial"/>
        </w:rPr>
        <w:t>Contribuir para o desenvolvimento técnico e pessoal dos servidores da UFVJM, buscando potencializar suas principais habilidades profissionais.</w:t>
      </w:r>
    </w:p>
    <w:p>
      <w:pPr>
        <w:pStyle w:val="ListParagraph"/>
        <w:numPr>
          <w:ilvl w:val="0"/>
          <w:numId w:val="46"/>
        </w:numPr>
        <w:spacing w:lineRule="auto" w:line="360" w:before="0" w:after="0"/>
        <w:contextualSpacing/>
        <w:jc w:val="both"/>
        <w:rPr>
          <w:rFonts w:ascii="Arial" w:hAnsi="Arial" w:cs="Arial"/>
        </w:rPr>
      </w:pPr>
      <w:r>
        <w:rPr>
          <w:rFonts w:cs="Arial"/>
        </w:rPr>
        <w:t>Aperfeiçoar políticas de gestão, capacitação, processos de avaliação para os servidores docentes e técnico-administrativos em Educação da UFVJM.</w:t>
      </w:r>
    </w:p>
    <w:p>
      <w:pPr>
        <w:pStyle w:val="ListParagraph"/>
        <w:numPr>
          <w:ilvl w:val="0"/>
          <w:numId w:val="46"/>
        </w:numPr>
        <w:spacing w:lineRule="auto" w:line="360" w:before="0" w:after="0"/>
        <w:contextualSpacing/>
        <w:jc w:val="both"/>
        <w:rPr>
          <w:rFonts w:ascii="Arial" w:hAnsi="Arial" w:cs="Arial"/>
        </w:rPr>
      </w:pPr>
      <w:r>
        <w:rPr>
          <w:rFonts w:cs="Arial"/>
        </w:rPr>
        <w:t>Acolher e acompanhar o servidor, prestando apoio desde seu ingresso até após o seu desligamento da UFVJM.</w:t>
      </w:r>
    </w:p>
    <w:p>
      <w:pPr>
        <w:pStyle w:val="Normal1"/>
        <w:spacing w:lineRule="auto" w:line="360"/>
        <w:jc w:val="both"/>
        <w:rPr>
          <w:rFonts w:ascii="Arial" w:hAnsi="Arial" w:cs="Arial"/>
        </w:rPr>
      </w:pPr>
      <w:r>
        <w:rPr>
          <w:rFonts w:cs="Arial"/>
        </w:rPr>
        <w:t> </w:t>
      </w:r>
    </w:p>
    <w:p>
      <w:pPr>
        <w:pStyle w:val="Normal1"/>
        <w:spacing w:lineRule="auto" w:line="360"/>
        <w:rPr>
          <w:rFonts w:ascii="Arial" w:hAnsi="Arial" w:cs="Arial"/>
          <w:b/>
          <w:b/>
        </w:rPr>
      </w:pPr>
      <w:r>
        <w:rPr>
          <w:rFonts w:cs="Arial"/>
          <w:b/>
        </w:rPr>
        <w:t>Metas</w:t>
      </w:r>
    </w:p>
    <w:p>
      <w:pPr>
        <w:pStyle w:val="Normal1"/>
        <w:spacing w:lineRule="auto" w:line="360"/>
        <w:rPr>
          <w:rFonts w:ascii="Arial" w:hAnsi="Arial" w:cs="Arial"/>
        </w:rPr>
      </w:pPr>
      <w:r>
        <w:rPr>
          <w:rFonts w:cs="Arial"/>
        </w:rPr>
      </w:r>
    </w:p>
    <w:p>
      <w:pPr>
        <w:pStyle w:val="ListParagraph"/>
        <w:numPr>
          <w:ilvl w:val="0"/>
          <w:numId w:val="47"/>
        </w:numPr>
        <w:spacing w:lineRule="auto" w:line="360" w:before="0" w:after="0"/>
        <w:contextualSpacing/>
        <w:jc w:val="both"/>
        <w:rPr>
          <w:rFonts w:ascii="Arial" w:hAnsi="Arial" w:cs="Arial"/>
        </w:rPr>
      </w:pPr>
      <w:r>
        <w:rPr>
          <w:rFonts w:cs="Arial"/>
        </w:rPr>
        <w:t>Valorização sobre a concessão do número de vagas de pessoal como instrumento propulsor, ou incentivador, do processo de democratização do acesso e expansão do ensino superior pela UFVJM.</w:t>
      </w:r>
    </w:p>
    <w:p>
      <w:pPr>
        <w:pStyle w:val="ListParagraph"/>
        <w:numPr>
          <w:ilvl w:val="0"/>
          <w:numId w:val="47"/>
        </w:numPr>
        <w:spacing w:lineRule="auto" w:line="360" w:before="0" w:after="0"/>
        <w:contextualSpacing/>
        <w:jc w:val="both"/>
        <w:rPr>
          <w:rFonts w:ascii="Arial" w:hAnsi="Arial" w:cs="Arial"/>
        </w:rPr>
      </w:pPr>
      <w:r>
        <w:rPr>
          <w:rFonts w:cs="Arial"/>
        </w:rPr>
        <w:t>Empenho no aumento do número de docentes qualificados, da produção técnico-científica e da inovação tecnológica na UFVJM.</w:t>
      </w:r>
    </w:p>
    <w:p>
      <w:pPr>
        <w:pStyle w:val="ListParagraph"/>
        <w:numPr>
          <w:ilvl w:val="0"/>
          <w:numId w:val="47"/>
        </w:numPr>
        <w:spacing w:lineRule="auto" w:line="360" w:before="0" w:after="0"/>
        <w:contextualSpacing/>
        <w:jc w:val="both"/>
        <w:rPr>
          <w:rFonts w:ascii="Arial" w:hAnsi="Arial" w:cs="Arial"/>
        </w:rPr>
      </w:pPr>
      <w:r>
        <w:rPr>
          <w:rFonts w:cs="Arial"/>
        </w:rPr>
        <w:t>Criar estímulo para o estabelecimento de políticas e diretrizes de formação permanente para os servidores docentes e técnico-administrativos na UFVJM.</w:t>
      </w:r>
    </w:p>
    <w:p>
      <w:pPr>
        <w:pStyle w:val="ListParagraph"/>
        <w:numPr>
          <w:ilvl w:val="0"/>
          <w:numId w:val="47"/>
        </w:numPr>
        <w:spacing w:lineRule="auto" w:line="360" w:before="0" w:after="0"/>
        <w:contextualSpacing/>
        <w:jc w:val="both"/>
        <w:rPr>
          <w:rFonts w:ascii="Arial" w:hAnsi="Arial" w:cs="Arial"/>
        </w:rPr>
      </w:pPr>
      <w:r>
        <w:rPr>
          <w:rFonts w:cs="Arial"/>
        </w:rPr>
        <w:t>Reavaliação dos parâmetros de alocação de vagas de pessoal na UFVJM e implantação de novos critérios para tanto.</w:t>
      </w:r>
    </w:p>
    <w:p>
      <w:pPr>
        <w:pStyle w:val="ListParagraph"/>
        <w:numPr>
          <w:ilvl w:val="0"/>
          <w:numId w:val="47"/>
        </w:numPr>
        <w:spacing w:lineRule="auto" w:line="360" w:before="0" w:after="0"/>
        <w:contextualSpacing/>
        <w:jc w:val="both"/>
        <w:rPr>
          <w:rFonts w:ascii="Arial" w:hAnsi="Arial" w:cs="Arial"/>
        </w:rPr>
      </w:pPr>
      <w:r>
        <w:rPr>
          <w:rFonts w:cs="Arial"/>
        </w:rPr>
        <w:t>Recomposição dos quadros de pessoal da UFVJM em atendimento às necessidades tanto de reposição de docentes e de servidores técnico-administrativos em Educação, quanto de expansão qualificada das atividades acadêmicas da Instituição.</w:t>
      </w:r>
    </w:p>
    <w:p>
      <w:pPr>
        <w:pStyle w:val="ListParagraph"/>
        <w:numPr>
          <w:ilvl w:val="0"/>
          <w:numId w:val="47"/>
        </w:numPr>
        <w:spacing w:lineRule="auto" w:line="360" w:before="0" w:after="0"/>
        <w:contextualSpacing/>
        <w:jc w:val="both"/>
        <w:rPr>
          <w:rFonts w:ascii="Arial" w:hAnsi="Arial" w:cs="Arial"/>
        </w:rPr>
      </w:pPr>
      <w:r>
        <w:rPr>
          <w:rFonts w:cs="Arial"/>
        </w:rPr>
        <w:t>Elaboração de políticas e diretrizes para a formação permanente docente, bem como da proposta da constituição do Núcleo de Estudos e Formação Permanente Docente da UFVJM.</w:t>
      </w:r>
    </w:p>
    <w:p>
      <w:pPr>
        <w:pStyle w:val="Normal1"/>
        <w:spacing w:lineRule="auto" w:line="360"/>
        <w:rPr>
          <w:rFonts w:ascii="Arial" w:hAnsi="Arial" w:cs="Arial"/>
        </w:rPr>
      </w:pPr>
      <w:r>
        <w:rPr>
          <w:rFonts w:cs="Arial"/>
        </w:rPr>
        <w:t> </w:t>
      </w:r>
    </w:p>
    <w:p>
      <w:pPr>
        <w:pStyle w:val="Normal1"/>
        <w:spacing w:lineRule="auto" w:line="360"/>
        <w:rPr>
          <w:rFonts w:ascii="Arial" w:hAnsi="Arial" w:cs="Arial"/>
          <w:b/>
          <w:b/>
        </w:rPr>
      </w:pPr>
      <w:r>
        <w:rPr>
          <w:rFonts w:cs="Arial"/>
          <w:b/>
        </w:rPr>
        <w:t>Ações</w:t>
      </w:r>
    </w:p>
    <w:p>
      <w:pPr>
        <w:pStyle w:val="Normal1"/>
        <w:spacing w:lineRule="auto" w:line="360"/>
        <w:rPr>
          <w:rFonts w:ascii="Arial" w:hAnsi="Arial" w:cs="Arial"/>
        </w:rPr>
      </w:pPr>
      <w:r>
        <w:rPr>
          <w:rFonts w:cs="Arial"/>
        </w:rPr>
      </w:r>
    </w:p>
    <w:p>
      <w:pPr>
        <w:pStyle w:val="ListParagraph"/>
        <w:numPr>
          <w:ilvl w:val="0"/>
          <w:numId w:val="48"/>
        </w:numPr>
        <w:spacing w:lineRule="auto" w:line="360" w:before="0" w:after="0"/>
        <w:contextualSpacing/>
        <w:jc w:val="both"/>
        <w:rPr>
          <w:rFonts w:ascii="Arial" w:hAnsi="Arial" w:cs="Arial"/>
        </w:rPr>
      </w:pPr>
      <w:r>
        <w:rPr>
          <w:rFonts w:cs="Arial"/>
        </w:rPr>
        <w:t>Realizar anualmente ações do FORPED - Formação Pedagógica Docente na UFVJM.</w:t>
      </w:r>
    </w:p>
    <w:p>
      <w:pPr>
        <w:pStyle w:val="ListParagraph"/>
        <w:numPr>
          <w:ilvl w:val="0"/>
          <w:numId w:val="48"/>
        </w:numPr>
        <w:spacing w:lineRule="auto" w:line="360" w:before="0" w:after="0"/>
        <w:contextualSpacing/>
        <w:jc w:val="both"/>
        <w:rPr>
          <w:rFonts w:ascii="Arial" w:hAnsi="Arial" w:cs="Arial"/>
        </w:rPr>
      </w:pPr>
      <w:r>
        <w:rPr>
          <w:rFonts w:cs="Arial"/>
        </w:rPr>
        <w:t>Consolida,r no âmbito da UFVJM, programas de qualificação de pessoal, inclusive com provisão de incentivos à participação do quadro de pessoal em projetos de gestão e capacitação.</w:t>
      </w:r>
    </w:p>
    <w:p>
      <w:pPr>
        <w:pStyle w:val="NormalWeb"/>
        <w:spacing w:lineRule="auto" w:line="360" w:before="0" w:after="0"/>
        <w:ind w:left="720" w:hanging="0"/>
        <w:jc w:val="both"/>
        <w:rPr>
          <w:rFonts w:ascii="Arial" w:hAnsi="Arial" w:cs="Arial"/>
          <w:color w:val="000000" w:themeColor="text1"/>
        </w:rPr>
      </w:pPr>
      <w:r>
        <w:rPr>
          <w:rFonts w:cs="Arial"/>
          <w:color w:val="000000" w:themeColor="text1"/>
          <w:highlight w:val="cyan"/>
        </w:rPr>
        <w:t>(SOLICITANTE: TAs CAMPUS JANAÚBA)</w:t>
      </w:r>
    </w:p>
    <w:p>
      <w:pPr>
        <w:pStyle w:val="ListParagraph"/>
        <w:numPr>
          <w:ilvl w:val="0"/>
          <w:numId w:val="48"/>
        </w:numPr>
        <w:spacing w:lineRule="auto" w:line="360" w:before="0" w:after="0"/>
        <w:contextualSpacing/>
        <w:jc w:val="both"/>
        <w:rPr>
          <w:rFonts w:ascii="Arial" w:hAnsi="Arial" w:cs="Arial"/>
          <w:color w:val="0070C0"/>
        </w:rPr>
      </w:pPr>
      <w:r>
        <w:rPr>
          <w:rFonts w:cs="Arial"/>
          <w:color w:val="0070C0"/>
        </w:rPr>
        <w:t>Aperfeiçoar no âmbito da UFVJM, programas de qualificação de pessoal, inclusive com provisão de incentivos à participação do quadro de pessoal em projetos de gestão e capacitação.</w:t>
      </w:r>
    </w:p>
    <w:p>
      <w:pPr>
        <w:pStyle w:val="ListParagraph"/>
        <w:numPr>
          <w:ilvl w:val="0"/>
          <w:numId w:val="48"/>
        </w:numPr>
        <w:spacing w:lineRule="auto" w:line="360" w:before="0" w:after="0"/>
        <w:contextualSpacing/>
        <w:jc w:val="both"/>
        <w:rPr>
          <w:rFonts w:ascii="Arial" w:hAnsi="Arial" w:cs="Arial"/>
        </w:rPr>
      </w:pPr>
      <w:r>
        <w:rPr>
          <w:rFonts w:cs="Arial"/>
        </w:rPr>
        <w:t>Realizar diagnósticos permanentes do quadro de pessoal, buscando, de forma mais intensa, sua integração à vida institucional na UFVJM.</w:t>
      </w:r>
    </w:p>
    <w:p>
      <w:pPr>
        <w:pStyle w:val="ListParagraph"/>
        <w:numPr>
          <w:ilvl w:val="0"/>
          <w:numId w:val="48"/>
        </w:numPr>
        <w:spacing w:lineRule="auto" w:line="360" w:before="0" w:after="0"/>
        <w:contextualSpacing/>
        <w:jc w:val="both"/>
        <w:rPr>
          <w:rFonts w:ascii="Arial" w:hAnsi="Arial" w:cs="Arial"/>
        </w:rPr>
      </w:pPr>
      <w:r>
        <w:rPr>
          <w:rFonts w:cs="Arial"/>
        </w:rPr>
        <w:t>Manter uma avaliação constante do Serviço de Assistência ao Trabalhador e promover o desenvolvimento de programas de promoção da saúde e de prevenção de doenças ocupacionais, bem como de prevenção de acidentes do trabalho e de readaptação de trabalhadores após gozo de licença médica na UFVJM.</w:t>
      </w:r>
    </w:p>
    <w:p>
      <w:pPr>
        <w:pStyle w:val="ListParagraph"/>
        <w:numPr>
          <w:ilvl w:val="0"/>
          <w:numId w:val="48"/>
        </w:numPr>
        <w:spacing w:lineRule="auto" w:line="360" w:before="0" w:after="0"/>
        <w:contextualSpacing/>
        <w:jc w:val="both"/>
        <w:rPr>
          <w:rFonts w:ascii="Arial" w:hAnsi="Arial" w:cs="Arial"/>
        </w:rPr>
      </w:pPr>
      <w:r>
        <w:rPr>
          <w:rFonts w:cs="Arial"/>
        </w:rPr>
        <w:t>Possibilitar o acesso dos servidores técnico-administrativos em Educação às atividades de pesquisa em desenvolvimento na UFVJM.</w:t>
      </w:r>
    </w:p>
    <w:p>
      <w:pPr>
        <w:pStyle w:val="Normal1"/>
        <w:spacing w:lineRule="auto" w:line="360"/>
        <w:jc w:val="both"/>
        <w:rPr>
          <w:rFonts w:ascii="Arial" w:hAnsi="Arial" w:cs="Arial"/>
          <w:b/>
          <w:b/>
          <w:bCs/>
          <w:color w:val="FF0000"/>
        </w:rPr>
      </w:pPr>
      <w:r>
        <w:rPr>
          <w:rFonts w:cs="Arial"/>
          <w:b/>
          <w:bCs/>
          <w:color w:val="FF0000"/>
        </w:rPr>
      </w:r>
    </w:p>
    <w:p>
      <w:pPr>
        <w:pStyle w:val="ListParagraph"/>
        <w:numPr>
          <w:ilvl w:val="0"/>
          <w:numId w:val="52"/>
        </w:numPr>
        <w:spacing w:lineRule="auto" w:line="360" w:before="0" w:after="0"/>
        <w:contextualSpacing/>
        <w:jc w:val="both"/>
        <w:rPr>
          <w:rFonts w:ascii="Arial" w:hAnsi="Arial" w:cs="Arial"/>
          <w:vanish/>
          <w:color w:val="000000" w:themeColor="text1"/>
        </w:rPr>
      </w:pPr>
      <w:r>
        <w:rPr>
          <w:rFonts w:cs="Arial"/>
          <w:vanish/>
          <w:color w:val="000000" w:themeColor="text1"/>
        </w:rPr>
      </w:r>
    </w:p>
    <w:p>
      <w:pPr>
        <w:pStyle w:val="ListParagraph"/>
        <w:numPr>
          <w:ilvl w:val="1"/>
          <w:numId w:val="53"/>
        </w:numPr>
        <w:spacing w:lineRule="auto" w:line="360" w:before="0" w:after="0"/>
        <w:contextualSpacing/>
        <w:jc w:val="both"/>
        <w:rPr>
          <w:rFonts w:ascii="Arial" w:hAnsi="Arial" w:cs="Arial"/>
          <w:b/>
          <w:b/>
          <w:color w:val="000000" w:themeColor="text1"/>
        </w:rPr>
      </w:pPr>
      <w:r>
        <w:rPr>
          <w:rFonts w:cs="Arial"/>
          <w:b/>
          <w:color w:val="000000" w:themeColor="text1"/>
        </w:rPr>
        <w:t>Política de Atenção à Saúde</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ind w:firstLine="567"/>
        <w:jc w:val="both"/>
        <w:rPr>
          <w:rFonts w:ascii="Arial" w:hAnsi="Arial" w:cs="Arial"/>
          <w:color w:val="000000" w:themeColor="text1"/>
        </w:rPr>
      </w:pPr>
      <w:r>
        <w:rPr>
          <w:rFonts w:cs="Arial"/>
          <w:color w:val="000000" w:themeColor="text1"/>
        </w:rPr>
        <w:t>A Pró-Reitoria de Assuntos Comunitários e Estudantis – PROACE, integrante da Reitoria da UFVJM, tem por finalidade promover o bem-estar, a qualidade de vida e o desenvolvimento da comunidade acadêmica, por meio da proposição, planejamento e execução de ações de promoção e atenção à saúde, segurança do trabalho e higiêne ocupacional. Nesse âmbito, todas as ações são coordenadas, fomentadas e/ou executadas pela Diretoria de Atenção à Saúde e Acessibilidade – DASA, por meio do serviço de odontologia, serviço de perícia oficial em saúde, serviço de Psicologia e serviço especializado em segurança do trabalho.</w:t>
      </w:r>
    </w:p>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numPr>
          <w:ilvl w:val="2"/>
          <w:numId w:val="53"/>
        </w:numPr>
        <w:spacing w:lineRule="auto" w:line="360" w:before="0" w:after="0"/>
        <w:ind w:left="567" w:hanging="567"/>
        <w:contextualSpacing/>
        <w:jc w:val="both"/>
        <w:rPr>
          <w:rFonts w:ascii="Arial" w:hAnsi="Arial" w:cs="Arial"/>
          <w:b/>
          <w:b/>
          <w:color w:val="000000" w:themeColor="text1"/>
        </w:rPr>
      </w:pPr>
      <w:r>
        <w:rPr>
          <w:rFonts w:cs="Arial"/>
          <w:b/>
          <w:color w:val="000000" w:themeColor="text1"/>
        </w:rPr>
        <w:t>Política de Atenção à Saúde e Segurança do Trabalho</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ind w:firstLine="567"/>
        <w:jc w:val="both"/>
        <w:rPr>
          <w:rFonts w:ascii="Arial" w:hAnsi="Arial" w:cs="Arial"/>
          <w:color w:val="000000" w:themeColor="text1"/>
        </w:rPr>
      </w:pPr>
      <w:r>
        <w:rPr>
          <w:rFonts w:cs="Arial"/>
          <w:color w:val="000000" w:themeColor="text1"/>
        </w:rPr>
        <w:t xml:space="preserve">As ações de promoção e atenção à saúde dos servidores da UFVJM desenvolvidas na Instituição estão em consonância com as propostas e diretrizes estabelecidas pela Política de Atenção à Saúde e Segurança do Servidor Público Federal - PASS. Desde 03 de dezembro de 2010, a UFVJM sedia uma unidade de referência do Subsistema de Atenção à Saúde do Servidor – SIASS, constituindo uma grande conquista para os servidores da UFVJM e demais órgãos federais da região de Diamantina e Teófilo Otoni. A unidade SIASS/UFVJM possui acordos de cooperação com órgãos como INSS e CEFET-MG, mas estabelece parceria com dezenas de outras instituições públicas federais. Desde 2017, está prevista a realização anual dos exames médicos periódicos, os quais têm como foco principal a prevenção de doenças e agravos à saúde dos servidores da UFVJM. </w:t>
      </w:r>
    </w:p>
    <w:p>
      <w:pPr>
        <w:pStyle w:val="Normal1"/>
        <w:spacing w:lineRule="auto" w:line="360"/>
        <w:ind w:firstLine="567"/>
        <w:jc w:val="both"/>
        <w:rPr>
          <w:rFonts w:ascii="Arial" w:hAnsi="Arial" w:cs="Arial"/>
          <w:color w:val="000000" w:themeColor="text1"/>
        </w:rPr>
      </w:pPr>
      <w:r>
        <w:rPr>
          <w:rFonts w:cs="Arial"/>
          <w:color w:val="000000" w:themeColor="text1"/>
        </w:rPr>
        <w:t xml:space="preserve">O serviço de odontologia funciona atualmente no </w:t>
      </w:r>
      <w:r>
        <w:rPr>
          <w:rFonts w:cs="Arial"/>
          <w:i/>
          <w:color w:val="000000" w:themeColor="text1"/>
        </w:rPr>
        <w:t>campus</w:t>
      </w:r>
      <w:r>
        <w:rPr>
          <w:rFonts w:cs="Arial"/>
          <w:color w:val="000000" w:themeColor="text1"/>
        </w:rPr>
        <w:t xml:space="preserve"> I, constituindo-se como um campo de estágio para os estudantes do curso de Odontologia da UFVJM. São oferecidos atendimentos odontológicos envolvendo tratamentos de baixa complexidade, com vagas prioritárias para os estudantes beneficiários do Programa de Assistência Estudantil da PROACE, funcionários terceirizados e servidores da UFVJM. No </w:t>
      </w:r>
      <w:r>
        <w:rPr>
          <w:rFonts w:cs="Arial"/>
          <w:i/>
          <w:color w:val="000000" w:themeColor="text1"/>
        </w:rPr>
        <w:t>campus</w:t>
      </w:r>
      <w:r>
        <w:rPr>
          <w:rFonts w:cs="Arial"/>
          <w:color w:val="000000" w:themeColor="text1"/>
        </w:rPr>
        <w:t xml:space="preserve"> do Mucuri os atendimentos odontológicos ainda não são oferecidos até o momento, pois a estrutura para a montagem do consultório odontológico ainda não foi disponibilizada.</w:t>
      </w:r>
    </w:p>
    <w:p>
      <w:pPr>
        <w:pStyle w:val="Normal1"/>
        <w:spacing w:lineRule="auto" w:line="360"/>
        <w:ind w:firstLine="567"/>
        <w:jc w:val="both"/>
        <w:rPr>
          <w:rFonts w:ascii="Arial" w:hAnsi="Arial" w:cs="Arial"/>
          <w:color w:val="000000" w:themeColor="text1"/>
        </w:rPr>
      </w:pPr>
      <w:r>
        <w:rPr>
          <w:rFonts w:cs="Arial"/>
          <w:color w:val="000000" w:themeColor="text1"/>
        </w:rPr>
        <w:t xml:space="preserve">O Serviço de Perícia Oficial em Saúde funciona atualmente nos </w:t>
      </w:r>
      <w:r>
        <w:rPr>
          <w:rFonts w:cs="Arial"/>
          <w:i/>
          <w:color w:val="000000" w:themeColor="text1"/>
        </w:rPr>
        <w:t>campi</w:t>
      </w:r>
      <w:r>
        <w:rPr>
          <w:rFonts w:cs="Arial"/>
          <w:color w:val="000000" w:themeColor="text1"/>
        </w:rPr>
        <w:t xml:space="preserve"> JK e do Mucuri. Desde a sua criação, a unidade SIASS/UFVJM já realizou mais de 2700 perícias médicas e odontológicas, mesmo com um quadro de peritos reduzido – dois médicos e uma cirurgiã-dentista em Diamantina e um médico e um cirurgião dentista em Teófilo Otoni. Os </w:t>
      </w:r>
      <w:r>
        <w:rPr>
          <w:rFonts w:cs="Arial"/>
          <w:i/>
          <w:color w:val="000000" w:themeColor="text1"/>
        </w:rPr>
        <w:t>campi</w:t>
      </w:r>
      <w:r>
        <w:rPr>
          <w:rFonts w:cs="Arial"/>
          <w:color w:val="000000" w:themeColor="text1"/>
        </w:rPr>
        <w:t xml:space="preserve"> de Janaúba e Unaí ainda não dispõem de peritos e nem de outros profissionais de saúde, com exceção dos técnicos de enfermagem, os quais garantem o funcionamento da Unidade SIASS/UFVJM nessas localidades.</w:t>
      </w:r>
    </w:p>
    <w:p>
      <w:pPr>
        <w:pStyle w:val="Normal1"/>
        <w:spacing w:lineRule="auto" w:line="360"/>
        <w:ind w:firstLine="567"/>
        <w:jc w:val="both"/>
        <w:rPr>
          <w:rFonts w:ascii="Arial" w:hAnsi="Arial" w:cs="Arial"/>
          <w:color w:val="000000" w:themeColor="text1"/>
        </w:rPr>
      </w:pPr>
      <w:r>
        <w:rPr>
          <w:rFonts w:cs="Arial"/>
          <w:color w:val="000000" w:themeColor="text1"/>
        </w:rPr>
        <w:t xml:space="preserve">O Serviço de Psicologia funciona atualmente no </w:t>
      </w:r>
      <w:r>
        <w:rPr>
          <w:rFonts w:cs="Arial"/>
          <w:i/>
          <w:color w:val="000000" w:themeColor="text1"/>
        </w:rPr>
        <w:t>campus</w:t>
      </w:r>
      <w:r>
        <w:rPr>
          <w:rFonts w:cs="Arial"/>
          <w:color w:val="000000" w:themeColor="text1"/>
        </w:rPr>
        <w:t xml:space="preserve"> JK com três psicólogos e no campus do Mucuri com uma psicóloga. Como os campi de Janaúba e Unaí não possuem psicólogo, até o momento, os psicólogos do</w:t>
      </w:r>
      <w:r>
        <w:rPr>
          <w:rFonts w:cs="Arial"/>
          <w:i/>
          <w:color w:val="000000" w:themeColor="text1"/>
        </w:rPr>
        <w:t xml:space="preserve"> campus</w:t>
      </w:r>
      <w:r>
        <w:rPr>
          <w:rFonts w:cs="Arial"/>
          <w:color w:val="000000" w:themeColor="text1"/>
        </w:rPr>
        <w:t xml:space="preserve"> JK têm buscado atender as demandas dessas localidades, dentro do possível.  São oferecidos atendimentos psicológicos a toda comunidade acadêmica, os quais têm como foco as demandas emergenciais, objetivando auxiliar a pessoa a ter uma visão mais clara de si e de suas possibilidades, de modo que consiga estabelecer uma forma pessoal de enfrentar as questões. São oferecidos também programas de desenvolvimento interpessoal e qualidade de vida no trabalho.</w:t>
      </w:r>
    </w:p>
    <w:p>
      <w:pPr>
        <w:pStyle w:val="Normal1"/>
        <w:spacing w:lineRule="auto" w:line="360"/>
        <w:ind w:firstLine="567"/>
        <w:jc w:val="both"/>
        <w:rPr>
          <w:rFonts w:ascii="Arial" w:hAnsi="Arial" w:cs="Arial"/>
          <w:color w:val="000000" w:themeColor="text1"/>
        </w:rPr>
      </w:pPr>
      <w:r>
        <w:rPr>
          <w:rFonts w:cs="Arial"/>
          <w:color w:val="000000" w:themeColor="text1"/>
        </w:rPr>
        <w:t xml:space="preserve">O Serviço Especializado em Segurança do Trabalho funciona atualmente no </w:t>
      </w:r>
      <w:r>
        <w:rPr>
          <w:rFonts w:cs="Arial"/>
          <w:i/>
          <w:color w:val="000000" w:themeColor="text1"/>
        </w:rPr>
        <w:t>campus</w:t>
      </w:r>
      <w:r>
        <w:rPr>
          <w:rFonts w:cs="Arial"/>
          <w:color w:val="000000" w:themeColor="text1"/>
        </w:rPr>
        <w:t xml:space="preserve"> JK e conta com um engenheiro de segurança do trabalho e uma técnica em segurança do trabalho. O serviço é responsável pelas ações de vigilância, segurança do trabalho e higiene ocupacional, propondo medidas de prevenção e de correção nos ambientes e processos de trabalho. De modo mais específico, o serviço tem como atribuições elaborar laudos técnicos de condições ambientais; analisar e investigar os acidentes de trabalho, inclusive os de trajeto; especificar Equipamentos de Proteção Individual e Coletiva - EPIs e EPCs; ministrar treinamentos de segurança do trabalho; sob demanda, realizar inspeções nos locais de trabalho, visando identificar e avaliar os riscos existentes; avaliar, o processo e as condições de trabalho; avaliar os processos de concessão de adicionais ocupacionais, conforme a legislação vigente; e elaborar pareceres especializados na área de Engenharia de Segurança do Trabalho. </w:t>
      </w:r>
    </w:p>
    <w:p>
      <w:pPr>
        <w:pStyle w:val="Normal1"/>
        <w:spacing w:lineRule="auto" w:line="360"/>
        <w:ind w:firstLine="567"/>
        <w:jc w:val="both"/>
        <w:rPr>
          <w:rFonts w:ascii="Arial" w:hAnsi="Arial" w:cs="Arial"/>
          <w:color w:val="000000" w:themeColor="text1"/>
        </w:rPr>
      </w:pPr>
      <w:r>
        <w:rPr>
          <w:rFonts w:cs="Arial"/>
          <w:color w:val="000000" w:themeColor="text1"/>
        </w:rPr>
        <w:t>Em 2016, foi dado início ao processo de revisão dos processos de concessão do adicional de insalubridade na UFVJM, visando à atualização dos Laudos Técnicos em relação à legislação vigente.</w:t>
      </w:r>
    </w:p>
    <w:p>
      <w:pPr>
        <w:pStyle w:val="Normal1"/>
        <w:spacing w:lineRule="auto" w:line="360"/>
        <w:ind w:firstLine="567"/>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PLANO DE DESENVOLVIMENTO INSTITUCIONAL – 2017-2021</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Metas</w:t>
      </w:r>
    </w:p>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numPr>
          <w:ilvl w:val="0"/>
          <w:numId w:val="30"/>
        </w:numPr>
        <w:spacing w:lineRule="auto" w:line="360" w:before="0" w:after="0"/>
        <w:contextualSpacing/>
        <w:jc w:val="both"/>
        <w:rPr>
          <w:rFonts w:ascii="Arial" w:hAnsi="Arial" w:cs="Arial"/>
          <w:color w:val="000000" w:themeColor="text1"/>
        </w:rPr>
      </w:pPr>
      <w:r>
        <w:rPr>
          <w:rFonts w:cs="Arial"/>
          <w:color w:val="000000" w:themeColor="text1"/>
        </w:rPr>
        <w:t>Elaborar e implementar a Política de Atenção à Saúde e Segurança do Trabalho dos servidores da UFVJM.</w:t>
      </w:r>
    </w:p>
    <w:p>
      <w:pPr>
        <w:pStyle w:val="ListParagraph"/>
        <w:numPr>
          <w:ilvl w:val="0"/>
          <w:numId w:val="30"/>
        </w:numPr>
        <w:spacing w:lineRule="auto" w:line="360" w:before="0" w:after="0"/>
        <w:contextualSpacing/>
        <w:jc w:val="both"/>
        <w:rPr>
          <w:rFonts w:ascii="Arial" w:hAnsi="Arial" w:cs="Arial"/>
          <w:color w:val="000000" w:themeColor="text1"/>
        </w:rPr>
      </w:pPr>
      <w:r>
        <w:rPr>
          <w:rFonts w:cs="Arial"/>
          <w:color w:val="000000" w:themeColor="text1"/>
        </w:rPr>
        <w:t>Aumentar o quadro funcional da PROACE com profissionais com formação técnica, principalmente enfermeiros, técnicos em enfermagem, psicólogos, engenheiros em segurança do trabalho, técnicos em segurança do trabalho e médicos, de modo a possibilitar a estruturação de novos serviços e a melhoria na oferta dos já disponibilizados.</w:t>
      </w:r>
    </w:p>
    <w:p>
      <w:pPr>
        <w:pStyle w:val="ListParagraph"/>
        <w:spacing w:lineRule="auto" w:line="360" w:before="0" w:after="0"/>
        <w:contextualSpacing/>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Ações</w:t>
      </w:r>
    </w:p>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numPr>
          <w:ilvl w:val="0"/>
          <w:numId w:val="31"/>
        </w:numPr>
        <w:spacing w:lineRule="auto" w:line="360" w:before="0" w:after="0"/>
        <w:contextualSpacing/>
        <w:jc w:val="both"/>
        <w:rPr>
          <w:rFonts w:ascii="Arial" w:hAnsi="Arial" w:cs="Arial"/>
          <w:color w:val="000000" w:themeColor="text1"/>
        </w:rPr>
      </w:pPr>
      <w:r>
        <w:rPr>
          <w:rFonts w:cs="Arial"/>
          <w:color w:val="000000" w:themeColor="text1"/>
        </w:rPr>
        <w:t>Estabelecer outros acordos de cooperação com os demais órgãos federais para ampliar a rede de atendimento e melhorar a estrutura da unidade SIASS/UFVJM.</w:t>
      </w:r>
    </w:p>
    <w:p>
      <w:pPr>
        <w:pStyle w:val="ListParagraph"/>
        <w:numPr>
          <w:ilvl w:val="0"/>
          <w:numId w:val="31"/>
        </w:numPr>
        <w:spacing w:lineRule="auto" w:line="360" w:before="0" w:after="0"/>
        <w:contextualSpacing/>
        <w:jc w:val="both"/>
        <w:rPr>
          <w:rFonts w:ascii="Arial" w:hAnsi="Arial" w:cs="Arial"/>
          <w:color w:val="000000" w:themeColor="text1"/>
        </w:rPr>
      </w:pPr>
      <w:r>
        <w:rPr>
          <w:rFonts w:cs="Arial"/>
          <w:color w:val="000000" w:themeColor="text1"/>
        </w:rPr>
        <w:t>Promover a realização anual dos exames médicos periódicos.</w:t>
      </w:r>
    </w:p>
    <w:p>
      <w:pPr>
        <w:pStyle w:val="ListParagraph"/>
        <w:numPr>
          <w:ilvl w:val="0"/>
          <w:numId w:val="31"/>
        </w:numPr>
        <w:spacing w:lineRule="auto" w:line="360" w:before="0" w:after="0"/>
        <w:contextualSpacing/>
        <w:jc w:val="both"/>
        <w:rPr>
          <w:rFonts w:ascii="Arial" w:hAnsi="Arial" w:cs="Arial"/>
          <w:color w:val="000000" w:themeColor="text1"/>
        </w:rPr>
      </w:pPr>
      <w:r>
        <w:rPr>
          <w:rFonts w:cs="Arial"/>
          <w:color w:val="000000" w:themeColor="text1"/>
        </w:rPr>
        <w:t xml:space="preserve">Realizar ações de promoção à saúde e à prevenção de doenças e agravos, buscando minimizar o adoecimento e melhorar a qualidade de vida dos servidores. </w:t>
      </w:r>
    </w:p>
    <w:p>
      <w:pPr>
        <w:pStyle w:val="ListParagraph"/>
        <w:numPr>
          <w:ilvl w:val="0"/>
          <w:numId w:val="31"/>
        </w:numPr>
        <w:spacing w:lineRule="auto" w:line="360" w:before="0" w:after="0"/>
        <w:contextualSpacing/>
        <w:jc w:val="both"/>
        <w:rPr>
          <w:rFonts w:ascii="Arial" w:hAnsi="Arial" w:cs="Arial"/>
          <w:color w:val="000000" w:themeColor="text1"/>
        </w:rPr>
      </w:pPr>
      <w:r>
        <w:rPr>
          <w:rFonts w:cs="Arial"/>
          <w:color w:val="000000" w:themeColor="text1"/>
        </w:rPr>
        <w:t>Possibilitar a avaliação quantitativa de riscos químicos a que os servidores podem estar expostos, por meio da contratação de serviços ou aquisição de equipamentos de medição.</w:t>
      </w:r>
    </w:p>
    <w:p>
      <w:pPr>
        <w:pStyle w:val="ListParagraph"/>
        <w:numPr>
          <w:ilvl w:val="0"/>
          <w:numId w:val="31"/>
        </w:numPr>
        <w:spacing w:lineRule="auto" w:line="360" w:before="0" w:after="0"/>
        <w:contextualSpacing/>
        <w:jc w:val="both"/>
        <w:rPr>
          <w:rFonts w:ascii="Arial" w:hAnsi="Arial" w:cs="Arial"/>
          <w:color w:val="000000" w:themeColor="text1"/>
        </w:rPr>
      </w:pPr>
      <w:r>
        <w:rPr>
          <w:rFonts w:cs="Arial"/>
          <w:color w:val="000000" w:themeColor="text1"/>
        </w:rPr>
        <w:t>Realizar estudos de ergonomia, visando à melhoria dos postos de trabalho da UFVJM considerando os aspectos físicos e cognitivos envolvidos nas atividades laborais dos servidores.</w:t>
      </w:r>
    </w:p>
    <w:p>
      <w:pPr>
        <w:pStyle w:val="Normal1"/>
        <w:spacing w:lineRule="auto" w:line="360"/>
        <w:jc w:val="both"/>
        <w:rPr>
          <w:rFonts w:ascii="Arial" w:hAnsi="Arial" w:cs="Arial"/>
          <w:color w:val="000000" w:themeColor="text1"/>
        </w:rPr>
      </w:pPr>
      <w:r>
        <w:rPr>
          <w:rFonts w:cs="Arial"/>
          <w:color w:val="000000" w:themeColor="text1"/>
        </w:rPr>
      </w:r>
    </w:p>
    <w:p>
      <w:pPr>
        <w:pStyle w:val="ListParagraph"/>
        <w:numPr>
          <w:ilvl w:val="2"/>
          <w:numId w:val="53"/>
        </w:numPr>
        <w:spacing w:lineRule="auto" w:line="360" w:before="0" w:after="0"/>
        <w:ind w:left="426" w:hanging="426"/>
        <w:contextualSpacing/>
        <w:jc w:val="both"/>
        <w:rPr>
          <w:rFonts w:ascii="Arial" w:hAnsi="Arial" w:cs="Arial"/>
          <w:b/>
          <w:b/>
          <w:color w:val="000000" w:themeColor="text1"/>
        </w:rPr>
      </w:pPr>
      <w:r>
        <w:rPr>
          <w:rFonts w:cs="Arial"/>
          <w:b/>
          <w:color w:val="000000" w:themeColor="text1"/>
        </w:rPr>
        <w:t>Atenção à Saúde dos Estudantes</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426"/>
        <w:jc w:val="both"/>
        <w:rPr>
          <w:rFonts w:ascii="Arial" w:hAnsi="Arial" w:cs="Arial"/>
          <w:color w:val="000000" w:themeColor="text1"/>
        </w:rPr>
      </w:pPr>
      <w:r>
        <w:rPr>
          <w:rFonts w:cs="Arial"/>
          <w:color w:val="000000" w:themeColor="text1"/>
        </w:rPr>
        <w:t>A Pró-Reitoria de Assuntos Comunitários e Estudantis – PROACE - mantém à disposição dos seus estudantes o Serviço de Odontologia, o Serviço de Psicologia e o Serviço de Perícia Oficial em Saúde.</w:t>
      </w:r>
    </w:p>
    <w:p>
      <w:pPr>
        <w:pStyle w:val="Normal1"/>
        <w:spacing w:lineRule="auto" w:line="360"/>
        <w:ind w:firstLine="426"/>
        <w:jc w:val="both"/>
        <w:rPr>
          <w:rFonts w:ascii="Arial" w:hAnsi="Arial" w:cs="Arial"/>
          <w:color w:val="000000" w:themeColor="text1"/>
        </w:rPr>
      </w:pPr>
      <w:r>
        <w:rPr>
          <w:rFonts w:cs="Arial"/>
          <w:color w:val="000000" w:themeColor="text1"/>
        </w:rPr>
        <w:t xml:space="preserve">Os atendimentos odontológicos são oferecidos para os estudantes beneficiários do Programa de Assistência Estudantil da PROACE prioritariamente, mas os demais estudantes também podem solicitar o atendimento. </w:t>
      </w:r>
    </w:p>
    <w:p>
      <w:pPr>
        <w:pStyle w:val="Normal1"/>
        <w:spacing w:lineRule="auto" w:line="360"/>
        <w:ind w:firstLine="426"/>
        <w:jc w:val="both"/>
        <w:rPr>
          <w:rFonts w:ascii="Arial" w:hAnsi="Arial" w:cs="Arial"/>
          <w:color w:val="000000" w:themeColor="text1"/>
        </w:rPr>
      </w:pPr>
      <w:r>
        <w:rPr>
          <w:rFonts w:cs="Arial"/>
          <w:color w:val="000000" w:themeColor="text1"/>
        </w:rPr>
        <w:t xml:space="preserve">O Serviço de Psicologia, por sua vez, oferece aos discentes oficinas, cursos de desenvolvimento pessoal, treinamentos e capacitações, além dos atendimentos psicológicos. Desde o início do funcionamento desse Serviço nos </w:t>
      </w:r>
      <w:r>
        <w:rPr>
          <w:rFonts w:cs="Arial"/>
          <w:i/>
          <w:color w:val="000000" w:themeColor="text1"/>
        </w:rPr>
        <w:t>campi</w:t>
      </w:r>
      <w:r>
        <w:rPr>
          <w:rFonts w:cs="Arial"/>
          <w:color w:val="000000" w:themeColor="text1"/>
        </w:rPr>
        <w:t xml:space="preserve"> JK e do Mucuri foram realizados milhares de atendimentos psicológicos. </w:t>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tab/>
        <w:t xml:space="preserve">O Serviço de Perícia Oficial em Saúde é buscado pelos discentes quando estes necessitam de perícia médica ou odontológica para que possam ter seus pedidos de enquadramento em regime especial, trancamento de matrícula por motivo de saúde ou afastamento especial avaliado pela UFVJM. No caso de estudantes ingressando em estágio remunerado dentro da própria UFVJM, o Serviço de Perícia também tem realizado as avaliações médicas necessárias para a emissão do atestado de sanidade física e mental. </w:t>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r>
    </w:p>
    <w:p>
      <w:pPr>
        <w:pStyle w:val="ListParagraph"/>
        <w:numPr>
          <w:ilvl w:val="3"/>
          <w:numId w:val="53"/>
        </w:numPr>
        <w:spacing w:lineRule="auto" w:line="360" w:before="0" w:after="0"/>
        <w:ind w:left="426" w:hanging="426"/>
        <w:contextualSpacing/>
        <w:jc w:val="both"/>
        <w:rPr>
          <w:rFonts w:ascii="Arial" w:hAnsi="Arial" w:cs="Arial"/>
          <w:b/>
          <w:b/>
          <w:color w:val="000000" w:themeColor="text1"/>
        </w:rPr>
      </w:pPr>
      <w:r>
        <w:rPr>
          <w:rFonts w:cs="Arial"/>
          <w:b/>
          <w:color w:val="000000" w:themeColor="text1"/>
        </w:rPr>
        <w:t>PLANO DE DESENVOLVIMENTO INSTITUCIONAL – 2017-2021</w:t>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t>Objetivos</w:t>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r>
    </w:p>
    <w:p>
      <w:pPr>
        <w:pStyle w:val="ListParagraph"/>
        <w:numPr>
          <w:ilvl w:val="0"/>
          <w:numId w:val="32"/>
        </w:numPr>
        <w:tabs>
          <w:tab w:val="left" w:pos="284" w:leader="none"/>
        </w:tabs>
        <w:spacing w:lineRule="auto" w:line="360" w:before="0" w:after="0"/>
        <w:contextualSpacing/>
        <w:jc w:val="both"/>
        <w:rPr>
          <w:rFonts w:ascii="Arial" w:hAnsi="Arial" w:cs="Arial"/>
          <w:color w:val="000000" w:themeColor="text1"/>
        </w:rPr>
      </w:pPr>
      <w:r>
        <w:rPr>
          <w:rFonts w:cs="Arial"/>
          <w:color w:val="000000" w:themeColor="text1"/>
        </w:rPr>
        <w:t>Planejar e desenvolver ações de promoção à saúde, voltadas para os discentes, principalmente os beneficiários do Programa de Assistência Estudantil da PROACE, buscando minimizar o adoecimento e melhorar a qualidade de vida dos estudantes.</w:t>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t>Metas</w:t>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tab/>
        <w:tab/>
        <w:t>Fomentar a criação de uma rede de referência entre os serviços de saúde da PROACE, a rede pública de saúde e profissionais autônomos, nas cidades onde estão localizados os</w:t>
      </w:r>
      <w:r>
        <w:rPr>
          <w:rFonts w:cs="Arial"/>
          <w:i/>
          <w:color w:val="000000" w:themeColor="text1"/>
        </w:rPr>
        <w:t xml:space="preserve"> campi</w:t>
      </w:r>
      <w:r>
        <w:rPr>
          <w:rFonts w:cs="Arial"/>
          <w:color w:val="000000" w:themeColor="text1"/>
        </w:rPr>
        <w:t xml:space="preserve"> da UFVJM.  </w:t>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t>Ações</w:t>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tab/>
        <w:tab/>
        <w:t>Manter o oferecimento dos serviços já disponibilizados, promovendo melhorias nos fluxos de atendimento e nas informações disponibilizadas ao público, por meio da reformulação das informações presentes no site da UFVJM e da elaboração de cartilhas informativas.</w:t>
      </w:r>
    </w:p>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numPr>
          <w:ilvl w:val="2"/>
          <w:numId w:val="53"/>
        </w:numPr>
        <w:tabs>
          <w:tab w:val="left" w:pos="284" w:leader="none"/>
          <w:tab w:val="left" w:pos="426" w:leader="none"/>
        </w:tabs>
        <w:spacing w:lineRule="auto" w:line="360" w:before="0" w:after="0"/>
        <w:ind w:left="284" w:hanging="284"/>
        <w:contextualSpacing/>
        <w:jc w:val="both"/>
        <w:rPr>
          <w:rFonts w:ascii="Arial" w:hAnsi="Arial" w:cs="Arial"/>
          <w:b/>
          <w:b/>
          <w:color w:val="000000" w:themeColor="text1"/>
        </w:rPr>
      </w:pPr>
      <w:r>
        <w:rPr>
          <w:rFonts w:cs="Arial"/>
          <w:b/>
          <w:color w:val="000000" w:themeColor="text1"/>
        </w:rPr>
        <w:t xml:space="preserve">Programa Socorrer – Atendimento às Urgências e Emergências nos </w:t>
      </w:r>
      <w:r>
        <w:rPr>
          <w:rFonts w:cs="Arial"/>
          <w:b/>
          <w:i/>
          <w:color w:val="000000" w:themeColor="text1"/>
        </w:rPr>
        <w:t xml:space="preserve">campi </w:t>
      </w:r>
      <w:r>
        <w:rPr>
          <w:rFonts w:cs="Arial"/>
          <w:b/>
          <w:color w:val="000000" w:themeColor="text1"/>
        </w:rPr>
        <w:t>da UFVJM</w:t>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tab/>
        <w:tab/>
        <w:t>A Diretoria de Atenção à Saúde e Acessibilidade – DASA, da Pró-Reitoria de Assuntos Comunitários e Estudantis – PROACE, é responsável pelo Programa Socorrer.</w:t>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r>
    </w:p>
    <w:p>
      <w:pPr>
        <w:pStyle w:val="ListParagraph"/>
        <w:numPr>
          <w:ilvl w:val="3"/>
          <w:numId w:val="53"/>
        </w:numPr>
        <w:tabs>
          <w:tab w:val="left" w:pos="284" w:leader="none"/>
        </w:tabs>
        <w:spacing w:lineRule="auto" w:line="360" w:before="0" w:after="0"/>
        <w:ind w:left="567" w:hanging="567"/>
        <w:contextualSpacing/>
        <w:jc w:val="both"/>
        <w:rPr>
          <w:rFonts w:ascii="Arial" w:hAnsi="Arial" w:cs="Arial"/>
          <w:b/>
          <w:b/>
          <w:color w:val="000000" w:themeColor="text1"/>
        </w:rPr>
      </w:pPr>
      <w:r>
        <w:rPr>
          <w:rFonts w:cs="Arial"/>
          <w:b/>
          <w:color w:val="000000" w:themeColor="text1"/>
        </w:rPr>
        <w:t>PLANO DE DESENVOLVIMENTO INSTITUCIONAL – 2017-2021</w:t>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t>Objetivo</w:t>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tab/>
        <w:tab/>
        <w:t>O objetivo principal do Programa é estabelecer e tornar público o fluxo de procedimentos recomendados em situações de urgência e emergência médicas nos</w:t>
      </w:r>
      <w:r>
        <w:rPr>
          <w:rFonts w:cs="Arial"/>
          <w:i/>
          <w:color w:val="000000" w:themeColor="text1"/>
        </w:rPr>
        <w:t xml:space="preserve"> campi </w:t>
      </w:r>
      <w:r>
        <w:rPr>
          <w:rFonts w:cs="Arial"/>
          <w:color w:val="000000" w:themeColor="text1"/>
        </w:rPr>
        <w:t>da UFVJM, visando um atendimento pré-hospitalar rápido e efetivo para toda nossa comunidade acadêmica.</w:t>
      </w:r>
    </w:p>
    <w:p>
      <w:pPr>
        <w:pStyle w:val="Normal1"/>
        <w:tabs>
          <w:tab w:val="left" w:pos="284" w:leader="none"/>
        </w:tabs>
        <w:spacing w:lineRule="auto" w:line="360"/>
        <w:jc w:val="both"/>
        <w:rPr>
          <w:rFonts w:ascii="Arial" w:hAnsi="Arial" w:cs="Arial"/>
          <w:color w:val="000000" w:themeColor="text1"/>
        </w:rPr>
      </w:pPr>
      <w:r>
        <w:rPr>
          <w:rFonts w:cs="Arial"/>
          <w:color w:val="000000" w:themeColor="text1"/>
        </w:rPr>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t>Ações</w:t>
      </w:r>
    </w:p>
    <w:p>
      <w:pPr>
        <w:pStyle w:val="Normal1"/>
        <w:tabs>
          <w:tab w:val="left" w:pos="284" w:leader="none"/>
        </w:tabs>
        <w:spacing w:lineRule="auto" w:line="360"/>
        <w:jc w:val="both"/>
        <w:rPr>
          <w:rFonts w:ascii="Arial" w:hAnsi="Arial" w:cs="Arial"/>
          <w:b/>
          <w:b/>
          <w:color w:val="000000" w:themeColor="text1"/>
        </w:rPr>
      </w:pPr>
      <w:r>
        <w:rPr>
          <w:rFonts w:cs="Arial"/>
          <w:b/>
          <w:color w:val="000000" w:themeColor="text1"/>
        </w:rPr>
      </w:r>
    </w:p>
    <w:p>
      <w:pPr>
        <w:pStyle w:val="ListParagraph"/>
        <w:numPr>
          <w:ilvl w:val="0"/>
          <w:numId w:val="32"/>
        </w:numPr>
        <w:tabs>
          <w:tab w:val="left" w:pos="284" w:leader="none"/>
        </w:tabs>
        <w:spacing w:lineRule="auto" w:line="360" w:before="0" w:after="0"/>
        <w:contextualSpacing/>
        <w:jc w:val="both"/>
        <w:rPr>
          <w:rFonts w:ascii="Arial" w:hAnsi="Arial" w:cs="Arial"/>
          <w:color w:val="000000" w:themeColor="text1"/>
        </w:rPr>
      </w:pPr>
      <w:r>
        <w:rPr>
          <w:rFonts w:cs="Arial"/>
          <w:color w:val="000000" w:themeColor="text1"/>
        </w:rPr>
        <w:t>Estabelecer um fluxo de atendimento a urgências e emergências e sua ampla divulgação para a comunidade acadêmica da UFVJM.</w:t>
      </w:r>
    </w:p>
    <w:p>
      <w:pPr>
        <w:pStyle w:val="ListParagraph"/>
        <w:numPr>
          <w:ilvl w:val="0"/>
          <w:numId w:val="32"/>
        </w:numPr>
        <w:tabs>
          <w:tab w:val="left" w:pos="284" w:leader="none"/>
        </w:tabs>
        <w:spacing w:lineRule="auto" w:line="360" w:before="0" w:after="0"/>
        <w:contextualSpacing/>
        <w:jc w:val="both"/>
        <w:rPr>
          <w:rFonts w:ascii="Arial" w:hAnsi="Arial" w:cs="Arial"/>
          <w:color w:val="000000" w:themeColor="text1"/>
        </w:rPr>
      </w:pPr>
      <w:r>
        <w:rPr>
          <w:rFonts w:cs="Arial"/>
          <w:color w:val="000000" w:themeColor="text1"/>
        </w:rPr>
        <w:t>Cadastrar no SIGA de contatos de emergência de toda a comunidade acadêmica.</w:t>
      </w:r>
    </w:p>
    <w:p>
      <w:pPr>
        <w:pStyle w:val="ListParagraph"/>
        <w:numPr>
          <w:ilvl w:val="0"/>
          <w:numId w:val="32"/>
        </w:numPr>
        <w:tabs>
          <w:tab w:val="left" w:pos="284" w:leader="none"/>
        </w:tabs>
        <w:spacing w:lineRule="auto" w:line="360" w:before="0" w:after="0"/>
        <w:contextualSpacing/>
        <w:jc w:val="both"/>
        <w:rPr>
          <w:rFonts w:ascii="Arial" w:hAnsi="Arial" w:cs="Arial"/>
          <w:b/>
          <w:b/>
          <w:color w:val="000000" w:themeColor="text1"/>
        </w:rPr>
      </w:pPr>
      <w:r>
        <w:rPr>
          <w:rFonts w:cs="Arial"/>
          <w:color w:val="000000" w:themeColor="text1"/>
        </w:rPr>
        <w:t xml:space="preserve">Disponibilizar um sistema de notificação compulsória de urgências, emergências e acidentes dentro dos </w:t>
      </w:r>
      <w:r>
        <w:rPr>
          <w:rFonts w:cs="Arial"/>
          <w:i/>
          <w:color w:val="000000" w:themeColor="text1"/>
        </w:rPr>
        <w:t>campi</w:t>
      </w:r>
      <w:r>
        <w:rPr>
          <w:rFonts w:cs="Arial"/>
          <w:color w:val="000000" w:themeColor="text1"/>
        </w:rPr>
        <w:t xml:space="preserve"> da UFVJM.</w:t>
      </w:r>
    </w:p>
    <w:p>
      <w:pPr>
        <w:pStyle w:val="ListParagraph"/>
        <w:numPr>
          <w:ilvl w:val="0"/>
          <w:numId w:val="32"/>
        </w:numPr>
        <w:tabs>
          <w:tab w:val="left" w:pos="284" w:leader="none"/>
        </w:tabs>
        <w:spacing w:lineRule="auto" w:line="360" w:before="0" w:after="0"/>
        <w:contextualSpacing/>
        <w:jc w:val="both"/>
        <w:rPr>
          <w:rFonts w:ascii="Arial" w:hAnsi="Arial" w:cs="Arial"/>
          <w:color w:val="000000" w:themeColor="text1"/>
        </w:rPr>
      </w:pPr>
      <w:r>
        <w:rPr>
          <w:rFonts w:cs="Arial"/>
          <w:color w:val="000000" w:themeColor="text1"/>
        </w:rPr>
        <w:t>Elaborar material informativo sobre primeiros socorros e suporte básico de vida para ser divulgado entre a comunidade acadêmica.</w:t>
      </w:r>
    </w:p>
    <w:p>
      <w:pPr>
        <w:pStyle w:val="ListParagraph"/>
        <w:numPr>
          <w:ilvl w:val="0"/>
          <w:numId w:val="32"/>
        </w:numPr>
        <w:tabs>
          <w:tab w:val="left" w:pos="284" w:leader="none"/>
        </w:tabs>
        <w:spacing w:lineRule="auto" w:line="360" w:before="0" w:after="0"/>
        <w:contextualSpacing/>
        <w:jc w:val="both"/>
        <w:rPr>
          <w:rFonts w:ascii="Arial" w:hAnsi="Arial" w:cs="Arial"/>
          <w:color w:val="000000" w:themeColor="text1"/>
        </w:rPr>
      </w:pPr>
      <w:bookmarkStart w:id="138" w:name="_gjdgxs"/>
      <w:bookmarkEnd w:id="138"/>
      <w:r>
        <w:rPr>
          <w:rFonts w:cs="Arial"/>
          <w:color w:val="000000" w:themeColor="text1"/>
        </w:rPr>
        <w:t>Oferecer cursos de primeiros socorros e suporte básico de vida para estudantes, servidores e terceirizados, com a colaboração do Corpo de Bombeiros, SAMU e Departamentos da UFVJM.</w:t>
      </w:r>
    </w:p>
    <w:p>
      <w:pPr>
        <w:pStyle w:val="ListParagraph"/>
        <w:numPr>
          <w:ilvl w:val="0"/>
          <w:numId w:val="32"/>
        </w:numPr>
        <w:tabs>
          <w:tab w:val="left" w:pos="284" w:leader="none"/>
        </w:tabs>
        <w:spacing w:lineRule="auto" w:line="360" w:before="0" w:after="0"/>
        <w:contextualSpacing/>
        <w:jc w:val="both"/>
        <w:rPr>
          <w:rFonts w:ascii="Arial" w:hAnsi="Arial" w:cs="Arial"/>
          <w:color w:val="000000" w:themeColor="text1"/>
        </w:rPr>
      </w:pPr>
      <w:r>
        <w:rPr>
          <w:rFonts w:cs="Arial"/>
          <w:color w:val="000000" w:themeColor="text1"/>
        </w:rPr>
        <w:t>Identificar todas as pessoas e setores da UFVJM que possuem capacitação em primeiros socorros e/ou em suporte básico de vida para que sejam acionados pela comunidade acadêmica em caso de necessidade.</w:t>
      </w:r>
    </w:p>
    <w:p>
      <w:pPr>
        <w:pStyle w:val="ListParagraph"/>
        <w:tabs>
          <w:tab w:val="left" w:pos="284" w:leader="none"/>
        </w:tabs>
        <w:spacing w:lineRule="auto" w:line="360" w:before="0" w:after="0"/>
        <w:contextualSpacing/>
        <w:jc w:val="both"/>
        <w:rPr>
          <w:rFonts w:ascii="Arial" w:hAnsi="Arial" w:cs="Arial"/>
          <w:color w:val="000000" w:themeColor="text1"/>
        </w:rPr>
      </w:pPr>
      <w:r>
        <w:rPr>
          <w:rFonts w:cs="Arial"/>
          <w:color w:val="000000" w:themeColor="text1"/>
        </w:rPr>
      </w:r>
    </w:p>
    <w:p>
      <w:pPr>
        <w:pStyle w:val="ListParagraph"/>
        <w:numPr>
          <w:ilvl w:val="1"/>
          <w:numId w:val="53"/>
        </w:numPr>
        <w:spacing w:lineRule="auto" w:line="360" w:before="0" w:after="0"/>
        <w:ind w:left="426" w:hanging="426"/>
        <w:contextualSpacing/>
        <w:jc w:val="both"/>
        <w:rPr>
          <w:rFonts w:ascii="Arial" w:hAnsi="Arial" w:cs="Arial"/>
          <w:b/>
          <w:b/>
          <w:bCs/>
          <w:color w:val="000000" w:themeColor="text1"/>
        </w:rPr>
      </w:pPr>
      <w:r>
        <w:rPr>
          <w:rFonts w:cs="Arial"/>
          <w:b/>
          <w:bCs/>
          <w:color w:val="000000" w:themeColor="text1"/>
        </w:rPr>
        <w:t xml:space="preserve">Infraestrutura Física e Instalações Prediais </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ind w:firstLine="708"/>
        <w:jc w:val="both"/>
        <w:rPr>
          <w:rFonts w:ascii="Arial" w:hAnsi="Arial" w:cs="Arial"/>
          <w:color w:val="000000" w:themeColor="text1"/>
        </w:rPr>
      </w:pPr>
      <w:r>
        <w:rPr>
          <w:rFonts w:cs="Arial"/>
          <w:color w:val="000000" w:themeColor="text1"/>
        </w:rPr>
        <w:t xml:space="preserve">A UFVJM desenvolve suas atividades em cinco </w:t>
      </w:r>
      <w:r>
        <w:rPr>
          <w:rFonts w:cs="Arial"/>
          <w:i/>
          <w:color w:val="000000" w:themeColor="text1"/>
        </w:rPr>
        <w:t>campi</w:t>
      </w:r>
      <w:r>
        <w:rPr>
          <w:rFonts w:cs="Arial"/>
          <w:color w:val="000000" w:themeColor="text1"/>
        </w:rPr>
        <w:t xml:space="preserve"> universitários: o</w:t>
      </w:r>
      <w:r>
        <w:rPr>
          <w:rFonts w:cs="Arial"/>
          <w:i/>
          <w:color w:val="000000" w:themeColor="text1"/>
        </w:rPr>
        <w:t xml:space="preserve"> campus</w:t>
      </w:r>
      <w:r>
        <w:rPr>
          <w:rFonts w:cs="Arial"/>
          <w:color w:val="000000" w:themeColor="text1"/>
        </w:rPr>
        <w:t xml:space="preserve"> I que abriga o curso de Odontologia, e está localizado no Centro Histórico da cidade de Diamantina MG; o Campus JK, que está situado na margem da rodovia MGT-367, no local denominado Serra dos Cristais, a sete quilômetros do centro de Diamantina; o Campus do Mucuri que está situado em Teófilo Otoni MG; o Campus de Janaúba e o Campus de Unaí. </w:t>
      </w:r>
    </w:p>
    <w:p>
      <w:pPr>
        <w:pStyle w:val="Normal1"/>
        <w:spacing w:lineRule="auto" w:line="360"/>
        <w:ind w:firstLine="708"/>
        <w:jc w:val="both"/>
        <w:rPr>
          <w:rFonts w:ascii="Arial" w:hAnsi="Arial" w:cs="Arial"/>
          <w:color w:val="000000" w:themeColor="text1"/>
        </w:rPr>
      </w:pPr>
      <w:r>
        <w:rPr>
          <w:rFonts w:cs="Arial"/>
          <w:color w:val="000000" w:themeColor="text1"/>
        </w:rPr>
        <w:t xml:space="preserve">Na Tabela 1 e 1ª é mostrado de forma mais detalhada, o patrimônio imobiliário que dá suporte físico ao desenvolvimento das atividades da UFVJM. </w:t>
      </w:r>
    </w:p>
    <w:p>
      <w:pPr>
        <w:pStyle w:val="Normal1"/>
        <w:spacing w:lineRule="auto" w:line="360"/>
        <w:ind w:firstLine="708"/>
        <w:jc w:val="both"/>
        <w:rPr>
          <w:rFonts w:ascii="Arial" w:hAnsi="Arial" w:cs="Arial"/>
          <w:color w:val="000000" w:themeColor="text1"/>
        </w:rPr>
      </w:pPr>
      <w:r>
        <w:rPr>
          <w:rFonts w:cs="Arial"/>
          <w:color w:val="000000" w:themeColor="text1"/>
        </w:rPr>
        <w:t xml:space="preserve">No </w:t>
      </w:r>
      <w:r>
        <w:rPr>
          <w:rFonts w:cs="Arial"/>
          <w:i/>
          <w:color w:val="000000" w:themeColor="text1"/>
        </w:rPr>
        <w:t>campus</w:t>
      </w:r>
      <w:r>
        <w:rPr>
          <w:rFonts w:cs="Arial"/>
          <w:color w:val="000000" w:themeColor="text1"/>
        </w:rPr>
        <w:t xml:space="preserve"> JK, estão em andamento as obras da Faculdade de Farmácia e o EAD que perfazem 5.119,26 m2 no C</w:t>
      </w:r>
      <w:r>
        <w:rPr>
          <w:rFonts w:cs="Arial"/>
          <w:i/>
          <w:color w:val="000000" w:themeColor="text1"/>
        </w:rPr>
        <w:t>ampus</w:t>
      </w:r>
      <w:r>
        <w:rPr>
          <w:rFonts w:cs="Arial"/>
          <w:color w:val="000000" w:themeColor="text1"/>
        </w:rPr>
        <w:t xml:space="preserve"> JK, em Diamantina. </w:t>
      </w:r>
    </w:p>
    <w:p>
      <w:pPr>
        <w:pStyle w:val="Normal1"/>
        <w:spacing w:lineRule="auto" w:line="360"/>
        <w:ind w:firstLine="708"/>
        <w:jc w:val="both"/>
        <w:rPr>
          <w:rFonts w:ascii="Arial" w:hAnsi="Arial" w:cs="Arial"/>
          <w:color w:val="000000" w:themeColor="text1"/>
        </w:rPr>
      </w:pPr>
      <w:r>
        <w:rPr>
          <w:rFonts w:cs="Arial"/>
          <w:color w:val="000000" w:themeColor="text1"/>
        </w:rPr>
        <w:t xml:space="preserve">No </w:t>
      </w:r>
      <w:r>
        <w:rPr>
          <w:rFonts w:cs="Arial"/>
          <w:i/>
          <w:color w:val="000000" w:themeColor="text1"/>
        </w:rPr>
        <w:t xml:space="preserve">campus </w:t>
      </w:r>
      <w:r>
        <w:rPr>
          <w:rFonts w:cs="Arial"/>
          <w:color w:val="000000" w:themeColor="text1"/>
        </w:rPr>
        <w:t xml:space="preserve">do Mucuri, localizado na cidade de Teófilo Otoni, sete prédios edificados dão suporte ao funcionamento dos cursos. São 15.764,47m2 de área construída contemplando salas de aula, laboratórios e demais dependências dos cursos de Administração, Bacharelado em Ciência e Tecnologia, Ciências Contábeis, Ciências Econômicas, Matemática e Serviço Social, além de espaços administrativos. Outras duas edificações, com área total de 5.573,74 m2 estão em fase de construção nesse </w:t>
      </w:r>
      <w:r>
        <w:rPr>
          <w:rFonts w:cs="Arial"/>
          <w:i/>
          <w:color w:val="000000" w:themeColor="text1"/>
        </w:rPr>
        <w:t>campus</w:t>
      </w:r>
      <w:r>
        <w:rPr>
          <w:rFonts w:cs="Arial"/>
          <w:color w:val="000000" w:themeColor="text1"/>
        </w:rPr>
        <w:t>, a saber, restaurante universitário e praça de serviços e ginásio poliesportivo.</w:t>
      </w:r>
    </w:p>
    <w:p>
      <w:pPr>
        <w:pStyle w:val="Normal1"/>
        <w:spacing w:lineRule="auto" w:line="360"/>
        <w:ind w:firstLine="708"/>
        <w:jc w:val="both"/>
        <w:rPr>
          <w:rFonts w:ascii="Arial" w:hAnsi="Arial" w:cs="Arial"/>
          <w:color w:val="000000" w:themeColor="text1"/>
        </w:rPr>
      </w:pPr>
      <w:r>
        <w:rPr>
          <w:rFonts w:cs="Arial"/>
          <w:color w:val="000000" w:themeColor="text1"/>
        </w:rPr>
        <w:t xml:space="preserve">Nos </w:t>
      </w:r>
      <w:r>
        <w:rPr>
          <w:rFonts w:cs="Arial"/>
          <w:i/>
          <w:color w:val="000000" w:themeColor="text1"/>
        </w:rPr>
        <w:t>campi</w:t>
      </w:r>
      <w:r>
        <w:rPr>
          <w:rFonts w:cs="Arial"/>
          <w:color w:val="000000" w:themeColor="text1"/>
        </w:rPr>
        <w:t xml:space="preserve"> de Janaúba e Unaí as atividades estão sendo desenvolvidas em edificações cedidas provisoriamente. Em Janaúba estão em execução os prédios de sala de aulas e biblioteca, com áreas, respectivamente, de 5.641, 27m</w:t>
      </w:r>
      <w:r>
        <w:rPr>
          <w:rFonts w:cs="Arial"/>
          <w:color w:val="000000" w:themeColor="text1"/>
          <w:vertAlign w:val="superscript"/>
        </w:rPr>
        <w:t xml:space="preserve">2 </w:t>
      </w:r>
      <w:r>
        <w:rPr>
          <w:rFonts w:cs="Arial"/>
          <w:color w:val="000000" w:themeColor="text1"/>
        </w:rPr>
        <w:t>e 3.582,88m</w:t>
      </w:r>
      <w:r>
        <w:rPr>
          <w:rFonts w:cs="Arial"/>
          <w:color w:val="000000" w:themeColor="text1"/>
          <w:vertAlign w:val="superscript"/>
        </w:rPr>
        <w:t>2</w:t>
      </w:r>
      <w:r>
        <w:rPr>
          <w:rFonts w:cs="Arial"/>
          <w:color w:val="000000" w:themeColor="text1"/>
        </w:rPr>
        <w:t>.  Em Unaí, os prédios administrativo, de sala de aulas e biblioteca, com áreas, respectivamente, de 2.458,13 m</w:t>
      </w:r>
      <w:r>
        <w:rPr>
          <w:rFonts w:cs="Arial"/>
          <w:color w:val="000000" w:themeColor="text1"/>
          <w:vertAlign w:val="superscript"/>
        </w:rPr>
        <w:t>2</w:t>
      </w:r>
      <w:r>
        <w:rPr>
          <w:rFonts w:cs="Arial"/>
          <w:color w:val="000000" w:themeColor="text1"/>
        </w:rPr>
        <w:t>, de 5.641, 27m</w:t>
      </w:r>
      <w:r>
        <w:rPr>
          <w:rFonts w:cs="Arial"/>
          <w:color w:val="000000" w:themeColor="text1"/>
          <w:vertAlign w:val="superscript"/>
        </w:rPr>
        <w:t xml:space="preserve">2 </w:t>
      </w:r>
      <w:r>
        <w:rPr>
          <w:rFonts w:cs="Arial"/>
          <w:color w:val="000000" w:themeColor="text1"/>
        </w:rPr>
        <w:t>e 3.582,88 m</w:t>
      </w:r>
      <w:r>
        <w:rPr>
          <w:rFonts w:cs="Arial"/>
          <w:color w:val="000000" w:themeColor="text1"/>
          <w:vertAlign w:val="superscript"/>
        </w:rPr>
        <w:t>2</w:t>
      </w:r>
      <w:r>
        <w:rPr>
          <w:rFonts w:cs="Arial"/>
          <w:color w:val="000000" w:themeColor="text1"/>
        </w:rPr>
        <w:t xml:space="preserve">.  E está em planejamento prioritário para a execução em 2017, da Infraestrutura para atender estes dois campi. </w:t>
      </w:r>
    </w:p>
    <w:p>
      <w:pPr>
        <w:pStyle w:val="Normal1"/>
        <w:spacing w:lineRule="auto" w:line="360"/>
        <w:ind w:firstLine="708"/>
        <w:jc w:val="both"/>
        <w:rPr>
          <w:rFonts w:ascii="Arial" w:hAnsi="Arial" w:cs="Arial"/>
          <w:color w:val="000000" w:themeColor="text1"/>
        </w:rPr>
      </w:pPr>
      <w:r>
        <w:rPr>
          <w:rFonts w:cs="Arial"/>
          <w:color w:val="000000" w:themeColor="text1"/>
        </w:rPr>
        <w:t>A Fazenda Experimental do Moura, no município de Curvelo MG, a Fazenda Experimental de Rio Manso, localizada no município de Couto de Magalhães de Minas MG e a Fazenda Chácara no município de Serro MG, constituem outras disponibilidades patrimoniais da UFVJM.</w:t>
      </w:r>
    </w:p>
    <w:p>
      <w:pPr>
        <w:pStyle w:val="Normal1"/>
        <w:spacing w:lineRule="auto" w:line="360"/>
        <w:ind w:firstLine="708"/>
        <w:jc w:val="both"/>
        <w:rPr>
          <w:rFonts w:ascii="Arial" w:hAnsi="Arial" w:cs="Arial"/>
          <w:color w:val="000000" w:themeColor="text1"/>
        </w:rPr>
      </w:pPr>
      <w:r>
        <w:rPr>
          <w:rFonts w:cs="Arial"/>
          <w:color w:val="000000" w:themeColor="text1"/>
        </w:rPr>
      </w:r>
    </w:p>
    <w:p>
      <w:pPr>
        <w:pStyle w:val="Normal1"/>
        <w:spacing w:lineRule="auto" w:line="360"/>
        <w:ind w:firstLine="708"/>
        <w:jc w:val="both"/>
        <w:rPr>
          <w:rFonts w:ascii="Arial" w:hAnsi="Arial" w:cs="Arial"/>
          <w:color w:val="000000" w:themeColor="text1"/>
        </w:rPr>
      </w:pPr>
      <w:r>
        <w:rPr>
          <w:rFonts w:cs="Arial"/>
          <w:b/>
          <w:color w:val="000000" w:themeColor="text1"/>
        </w:rPr>
        <w:t xml:space="preserve">Tabela 1 – </w:t>
      </w:r>
      <w:r>
        <w:rPr>
          <w:rFonts w:cs="Arial"/>
          <w:color w:val="000000" w:themeColor="text1"/>
        </w:rPr>
        <w:t>Edificações concluídas</w:t>
      </w:r>
    </w:p>
    <w:p>
      <w:pPr>
        <w:pStyle w:val="Normal1"/>
        <w:spacing w:lineRule="auto" w:line="360"/>
        <w:jc w:val="both"/>
        <w:rPr>
          <w:rFonts w:ascii="Arial" w:hAnsi="Arial" w:cs="Arial"/>
          <w:color w:val="000000" w:themeColor="text1"/>
        </w:rPr>
      </w:pPr>
      <w:r>
        <w:rPr>
          <w:rFonts w:cs="Arial"/>
          <w:color w:val="000000" w:themeColor="text1"/>
        </w:rPr>
      </w:r>
    </w:p>
    <w:tbl>
      <w:tblPr>
        <w:tblW w:w="8018"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0" w:type="dxa"/>
          <w:bottom w:w="0" w:type="dxa"/>
          <w:right w:w="70" w:type="dxa"/>
        </w:tblCellMar>
        <w:tblLook w:val="04a0"/>
      </w:tblPr>
      <w:tblGrid>
        <w:gridCol w:w="2108"/>
        <w:gridCol w:w="4348"/>
        <w:gridCol w:w="1562"/>
      </w:tblGrid>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Localização</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Edificação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9D9D9"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área (m²)</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Biblioteca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506,76</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COPESE/TV</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81,74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Praça de esportes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1.736,42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Quadra Poliesportiva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Almoxarifado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1.339,34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Coordenadoria Geral de Pós Graduação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308,49</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Enfermagem</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126,00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Clinicas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2.608,37</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Laboratórios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1.295,33</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Salas de Aula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360,75</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Salas de Apoio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100,00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Biotério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275,84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Auditório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1.097,92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Centro Cultural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128,01</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Clinicas Extramural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Administrativo FCBS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614,00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Agronomia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2.742,13</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Almoxarifado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629,30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Anatomia e Fisiologia Animal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552,10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Anexo das agrárias - PROACE</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216,75</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Apicultura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112,77</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Arquibancada e Área de Apoio da Pista de Atletismo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2.756,20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Biblioteca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822,00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Administrativo I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380,00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Administrativo II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380,00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Fisioterapia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600,00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Nutrição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530,00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Farmácia Básica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591,00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Farmácia Analise clinicas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591,00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Farmácia Industrial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591,00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Agrarias - prédio antigo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890,00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Sala de aula I</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910,00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Sala de aula II</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910,00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Sala de aula III</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910,00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Galpão de Horticultura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96,00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Galpão de Olericultura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84,00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Agrometeorologia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Galpão de Viveiro de Mudas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65,00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Galpão de Apoio à Produção de Grão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48,00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BibliotecaCentral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5.937,52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Biotério Central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212,80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Biotério da Nutrição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62,00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Bloco I / Eng. de Alimentos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641,84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Bloco II / Comum das Engenharias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641,84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Bloco III / Eng. Química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641,84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Centro de Comunicação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460,53</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Centro de Tecnologia da Informação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383,82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Ciências Básicas e da Saúde</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7.486,20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Compostagem</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1.964,45</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Educação Física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6.622,98</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Enfermagem</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2.450,30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Engenharia Florestal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2.491,07</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Engenharias JK</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4.708,38</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Estação de Tratamento de esgoto - ETE</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Faculdade de Ciências Humanas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3.023,72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FCBS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599,14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Fisioterapia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2.221,00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Frango de corte</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320,00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Fruticultura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142,00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Galinha caipira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214,35</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Galpão de Transportes JK</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1.578,00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Ginásio Poliesportivo JK</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2.115,00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Incubatório de ovos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77,90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LanchoneteJK</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55,42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LCE/Editora e Estúdio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454,92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Museu Engenharia Florestal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104,00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Nutrição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1.964,20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Olericultura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169,87</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Pavilhões de Salas de Aula II e III</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11.282,54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Ponto de Ônibus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44,52</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Praça de Serviços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842,41</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Quadra Poliesportiva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1.751,40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Reforma Prédio Engenharia Florestal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58,40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Reitoria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4.682,60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Restaurante</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158,40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Salas auditório JK</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5.441,20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Salas de Aula JK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4.728,14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Sistema de Combate ao Incêndio no Campus II</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Sistema de Informação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1.745,74</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Sistema de Proteção contra Descargas Atmosféricas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Suinocultura - Galpão de Crescimento e Terminação de Suínos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164,55</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Suinocultura - Galpão de Reprodução de Suínos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171,70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Terraplanagem</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154.371,79</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Urbanização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89.889,87</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Zootecnia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1.237,60</w:t>
            </w:r>
          </w:p>
        </w:tc>
      </w:tr>
      <w:tr>
        <w:trPr>
          <w:trHeight w:val="315"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Prédio Amarelo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1.325,60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Instalação elétrica Campus Mucuri</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Urbanização Campus Mucuri</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Casa de Apoio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479,70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Administrativo/Biblioteca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3.526,20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Salas Auditório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1.706,71</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FCSAE</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2.337,13</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Engenharias TO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4.708,38</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Galpão de Transportes TO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675,45</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Portal de Entrada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407,00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Sistema de Proteção contra Descargas Atmosféricas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1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FINEP - Campus TO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598,30</w:t>
            </w:r>
          </w:p>
        </w:tc>
      </w:tr>
      <w:tr>
        <w:trPr>
          <w:trHeight w:val="300" w:hRule="atLeast"/>
        </w:trPr>
        <w:tc>
          <w:tcPr>
            <w:tcW w:w="6456" w:type="dxa"/>
            <w:gridSpan w:val="2"/>
            <w:tcBorders>
              <w:top w:val="single" w:sz="4" w:space="0" w:color="00000A"/>
              <w:left w:val="single" w:sz="4" w:space="0" w:color="00000A"/>
              <w:bottom w:val="single" w:sz="4" w:space="0" w:color="00000A"/>
              <w:right w:val="single" w:sz="4" w:space="0" w:color="000001"/>
              <w:insideH w:val="single" w:sz="4" w:space="0" w:color="00000A"/>
              <w:insideV w:val="single" w:sz="4" w:space="0" w:color="000001"/>
            </w:tcBorders>
            <w:shd w:color="000000" w:fill="DAEEF3" w:val="clear"/>
            <w:vAlign w:val="center"/>
          </w:tcPr>
          <w:p>
            <w:pPr>
              <w:pStyle w:val="Normal1"/>
              <w:spacing w:lineRule="auto" w:line="360" w:before="0" w:after="200"/>
              <w:jc w:val="right"/>
              <w:rPr>
                <w:rFonts w:ascii="Arial" w:hAnsi="Arial" w:cs="Arial"/>
                <w:b/>
                <w:b/>
                <w:bCs/>
                <w:color w:val="000000" w:themeColor="text1"/>
              </w:rPr>
            </w:pPr>
            <w:r>
              <w:rPr>
                <w:rFonts w:cs="Arial"/>
                <w:b/>
                <w:bCs/>
                <w:color w:val="000000" w:themeColor="text1"/>
              </w:rPr>
              <w:t> </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AEEF3"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366.196,64</w:t>
            </w:r>
          </w:p>
        </w:tc>
      </w:tr>
    </w:tbl>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color w:val="000000" w:themeColor="text1"/>
        </w:rPr>
      </w:pPr>
      <w:r>
        <w:rPr>
          <w:rFonts w:cs="Arial"/>
          <w:color w:val="000000" w:themeColor="text1"/>
          <w:highlight w:val="cyan"/>
        </w:rPr>
        <w:t>(SOLICITANTE: ICA-UNAÍ)</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color w:val="4F81BD" w:themeColor="accent1"/>
        </w:rPr>
      </w:pPr>
      <w:r>
        <w:rPr>
          <w:rFonts w:cs="Arial"/>
          <w:color w:val="4F81BD" w:themeColor="accent1"/>
        </w:rPr>
        <w:t>Inclusão dos itens descritos no documento “Memorando nº01/Comissão Infraestrutura”, de 13 de setembro de 2017, de Unaí.</w:t>
      </w:r>
    </w:p>
    <w:p>
      <w:pPr>
        <w:pStyle w:val="Normal1"/>
        <w:spacing w:lineRule="auto" w:line="360"/>
        <w:jc w:val="both"/>
        <w:rPr>
          <w:rFonts w:ascii="Arial" w:hAnsi="Arial" w:cs="Arial"/>
          <w:color w:val="000000" w:themeColor="text1"/>
        </w:rPr>
      </w:pPr>
      <w:r>
        <w:rPr>
          <w:rFonts w:cs="Arial"/>
          <w:color w:val="000000" w:themeColor="text1"/>
        </w:rPr>
      </w:r>
    </w:p>
    <w:p>
      <w:pPr>
        <w:pStyle w:val="ListParagraph"/>
        <w:numPr>
          <w:ilvl w:val="2"/>
          <w:numId w:val="53"/>
        </w:numPr>
        <w:spacing w:lineRule="auto" w:line="360" w:before="0" w:after="0"/>
        <w:ind w:left="567" w:hanging="567"/>
        <w:contextualSpacing/>
        <w:jc w:val="both"/>
        <w:rPr>
          <w:rFonts w:ascii="Arial" w:hAnsi="Arial" w:cs="Arial"/>
          <w:b/>
          <w:b/>
          <w:color w:val="000000" w:themeColor="text1"/>
        </w:rPr>
      </w:pPr>
      <w:r>
        <w:rPr>
          <w:rFonts w:cs="Arial"/>
          <w:b/>
          <w:color w:val="000000" w:themeColor="text1"/>
        </w:rPr>
        <w:t>Infraestrutura Física, Serviços de Apoio e de Logística.</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Diretoria de Infra Estrutura:</w:t>
      </w:r>
    </w:p>
    <w:p>
      <w:pPr>
        <w:pStyle w:val="Normal1"/>
        <w:spacing w:lineRule="auto" w:line="360"/>
        <w:jc w:val="both"/>
        <w:rPr>
          <w:rFonts w:ascii="Arial" w:hAnsi="Arial" w:cs="Arial"/>
          <w:b/>
          <w:b/>
          <w:color w:val="000000" w:themeColor="text1"/>
        </w:rPr>
      </w:pPr>
      <w:r>
        <w:rPr>
          <w:rFonts w:cs="Arial"/>
          <w:b/>
          <w:color w:val="000000" w:themeColor="text1"/>
        </w:rPr>
        <w:t>Metas</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Reestruturar os processos de organização dos arquivos físicos e digitais;</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Garantir, através da criação de estruturas organizacionais, a alimentação do SIMEC – Sistema Integrado de Monitoramento Execução e Controle do Ministério da Educação.</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Consolidar fluxograma de processos que possibilite avaliação dos projetos, junto aos professores e técnicos usuários do edifício projetado;</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Elaborar e implantar política de controle e avaliação de projetos;</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 xml:space="preserve">Consolidar rotina de fiscalização de obras, visando evitar o não cumprimento dos aspectos construtivos previstos em aditais e fora da normatização técnica exigida. </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 xml:space="preserve">Desenvolver um manual de Fiscalização de obras visando orientar a empresa contratada; </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Trabalhar, de forma mais incisiva, para a aprovação dos projetos junto a ANVISA;</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highlight w:val="cyan"/>
        </w:rPr>
        <w:t>(SOLICITANTE: DEPARTAMENTO DE NUTRIÇÃO)</w:t>
      </w:r>
    </w:p>
    <w:p>
      <w:pPr>
        <w:pStyle w:val="Normal1"/>
        <w:numPr>
          <w:ilvl w:val="0"/>
          <w:numId w:val="59"/>
        </w:numPr>
        <w:spacing w:lineRule="auto" w:line="360"/>
        <w:ind w:left="426" w:hanging="360"/>
        <w:jc w:val="both"/>
        <w:rPr>
          <w:rFonts w:ascii="Arial" w:hAnsi="Arial" w:cs="Arial"/>
          <w:color w:val="4F81BD" w:themeColor="accent1"/>
        </w:rPr>
      </w:pPr>
      <w:r>
        <w:rPr>
          <w:rFonts w:cs="Arial"/>
          <w:color w:val="4F81BD" w:themeColor="accent1"/>
        </w:rPr>
        <w:t>Adequações do projeto de construção do prédio do DNUT de forma a atender as exigências da Vigilância Sanitária e, consequentemente, obtenção do alvará de funcionamento do referido Departamento.</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Trabalhar, de forma mais efetiva, para a aprovação dos projetos junto ao Corpo de Bombeiros;</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 xml:space="preserve">Acompanhar a implantação dos Planos Diretores para os novos Campi – Janaúba e Unaí; </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Revisar o Plano Diretor dos Campi JK e Mucuri;</w:t>
      </w:r>
    </w:p>
    <w:p>
      <w:pPr>
        <w:pStyle w:val="Normal1"/>
        <w:numPr>
          <w:ilvl w:val="0"/>
          <w:numId w:val="59"/>
        </w:numPr>
        <w:spacing w:lineRule="auto" w:line="360"/>
        <w:ind w:left="426" w:hanging="360"/>
        <w:jc w:val="both"/>
        <w:rPr>
          <w:rFonts w:ascii="Arial" w:hAnsi="Arial" w:cs="Arial"/>
          <w:color w:val="000000" w:themeColor="text1"/>
        </w:rPr>
      </w:pPr>
      <w:r>
        <w:rPr>
          <w:rFonts w:cs="Arial"/>
          <w:color w:val="000000" w:themeColor="text1"/>
        </w:rPr>
        <w:t>Implantar um cronograma coordenado de projetos, planilhas, licitação e execução de obras visando atender a demanda da Instituição de forma programada e eficiente, conforme o planejamento da administração.</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color w:val="000000" w:themeColor="text1"/>
        </w:rPr>
      </w:pPr>
      <w:r>
        <w:rPr>
          <w:rFonts w:cs="Arial"/>
          <w:b/>
          <w:color w:val="000000" w:themeColor="text1"/>
        </w:rPr>
        <w:t>Tabela 1A</w:t>
      </w:r>
      <w:r>
        <w:rPr>
          <w:rFonts w:cs="Arial"/>
          <w:color w:val="000000" w:themeColor="text1"/>
        </w:rPr>
        <w:t xml:space="preserve"> - Obras em planejamento</w:t>
      </w:r>
    </w:p>
    <w:p>
      <w:pPr>
        <w:pStyle w:val="Normal1"/>
        <w:spacing w:lineRule="auto" w:line="360"/>
        <w:jc w:val="both"/>
        <w:rPr>
          <w:rFonts w:ascii="Arial" w:hAnsi="Arial" w:cs="Arial"/>
          <w:color w:val="000000" w:themeColor="text1"/>
        </w:rPr>
      </w:pPr>
      <w:r>
        <w:rPr>
          <w:rFonts w:cs="Arial"/>
          <w:color w:val="000000" w:themeColor="text1"/>
        </w:rPr>
      </w:r>
    </w:p>
    <w:tbl>
      <w:tblPr>
        <w:tblW w:w="845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0" w:type="dxa"/>
          <w:bottom w:w="0" w:type="dxa"/>
          <w:right w:w="70" w:type="dxa"/>
        </w:tblCellMar>
        <w:tblLook w:val="04a0"/>
      </w:tblPr>
      <w:tblGrid>
        <w:gridCol w:w="2496"/>
        <w:gridCol w:w="4394"/>
        <w:gridCol w:w="1560"/>
      </w:tblGrid>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Localização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BFBFBF" w:fill="D9D9D9"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Edificação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9D9D9"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área planejada</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Setor de Bovino de Leite</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1.000,00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Odontologia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9.071,01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Atendimento Comunitário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1.303,40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CITEC</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572,66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COPESE/TV</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463,71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Abrigo de resíduos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658,20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Agronomia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1.279,55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Base da Pista de Atletismo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Biocombustíveis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1.401,45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Bloco VII - Engenharia de Alimentos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890,00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Centro de Convenções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1.892,00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Centro de Idiomas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1.046,00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Cercamento JK</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Cobertura da Reitoria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2.188,64</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Cobertura das salas Auditório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715,28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Complexo Museu e Arquivo Histórico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2.066,37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Drenagem e pavimentação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Engenharia mecânica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1.450,00</w:t>
            </w:r>
          </w:p>
        </w:tc>
      </w:tr>
      <w:tr>
        <w:trPr>
          <w:trHeight w:val="9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Execução de serviços de cobertura em estrutura metálica e fibra de vidro p/ os prédios de Sist. de Informação, Engenhe Ciências Hum. da UFVJM - Campus JK - Dtna/MG.</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FACET</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4.326,00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FCA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599,14</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Iluminação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Incineração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279,13</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Laticínio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1.596,00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Lavanderia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678,00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 xml:space="preserve">Medicina JK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8.551,25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xml:space="preserve">Campus JK </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Museu e Arquivo Histórico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2.072,27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Núcleo de Geologia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Paisagismo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Parque Aquático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1.250,00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Piscina da Educação Física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437,50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Pista de atletismo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 xml:space="preserve">Química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1.689,00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Restaurante Universitário JK</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1.851,30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 xml:space="preserve">Restaurante Universitário JK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3.500,00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Subestação blocos I, II, III e eng. Mecânica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Subestação da Odontologia e Pavilhão de Salas de aula III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Tecnologia da Madeira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3.521,37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Urbanização - Etapa 2 - Pavimentação com pedra mão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37.870,00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JK</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Zootecnia - Adequação dos Laboratórios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Diamantina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Moradia Estudantil</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13.345,47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Diamantina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Moradias - Infraestrutura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PARTEC-Diamantina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Galpão de engenharia mecânica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xml:space="preserve">PARTEC-Diamantina </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Laboratório e Empresas Graduadas 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8.935,89</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xml:space="preserve">PARTEC-Diamantina </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Laboratório e Empresas Graduadas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8.935,89</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Prédio FINEP</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621,00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Biocombustíveis - Planta de destilação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1.775,10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Biocombustíveis - Prédio integrado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1.569,75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Caprinocultura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1.422,00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Laboratório de Biocombustíveis 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1.505,20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Couto Magalhães</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Laboratório de Biocombustíveis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1.505,20</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Reforma do Alojamento dos Professores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168,76</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Reforma do Alojamento dos Estudantes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90,45</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Reforma do Alojamento dos Funcionários</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90,45</w:t>
            </w:r>
          </w:p>
        </w:tc>
      </w:tr>
      <w:tr>
        <w:trPr>
          <w:trHeight w:val="315"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Faz. Moura - Curvelo</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Garagem</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63,31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Área de convívio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1.263,20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Galpão das Engenharias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3.554,00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 xml:space="preserve">Medicina TO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8.925,00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Observatório astronômico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1.444,00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Campus do Mucuri</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Pavilhão de Salas de Aula II TO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5.345,40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Administrativo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2.458,13</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Almoxarifado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1.432,22</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Engenharias Janaúba</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Galpão de Patrimônio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1.258,68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Galpão de Serviços Gerais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822,06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Galpão de Transportes Janaúba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1.302,00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 xml:space="preserve">Infraestrutura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Laboratório das engenharias I</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 </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Laboratório das Engenharias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6.113,03</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Lanchonete Janaúba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188,07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Restaurante Universitário Janaúba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3.500,00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Janaúba</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Abrigo de resíduos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658,20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Cercamento Unaí</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Abrigo de resíduos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658,20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Agrarias I</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5.176,45</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Almoxarifado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1.347,46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Centro de Convenções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6.291,71</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Galpão de Patrimônio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1.307,68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Galpão de Serviços Gerais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822,06</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Galpão de Transportes Unaí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1.302,00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Hospital veterinário</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5.000,00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b/>
                <w:b/>
                <w:bCs/>
                <w:color w:val="000000" w:themeColor="text1"/>
              </w:rPr>
            </w:pPr>
            <w:r>
              <w:rPr>
                <w:rFonts w:cs="Arial"/>
                <w:b/>
                <w:bCs/>
                <w:color w:val="000000" w:themeColor="text1"/>
              </w:rPr>
              <w:t xml:space="preserve">Infraestrutura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0,00</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Laboratório das Agrarias 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4.331,28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Laboratório das Agrarias III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4.331,28</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Lanchonete Unaí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188,07</w:t>
            </w:r>
          </w:p>
        </w:tc>
      </w:tr>
      <w:tr>
        <w:trPr>
          <w:trHeight w:val="300" w:hRule="atLeast"/>
        </w:trPr>
        <w:tc>
          <w:tcPr>
            <w:tcW w:w="24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0" w:type="dxa"/>
            </w:tcM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C. Unaí</w:t>
            </w:r>
          </w:p>
        </w:tc>
        <w:tc>
          <w:tcPr>
            <w:tcW w:w="4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rPr>
                <w:rFonts w:ascii="Arial" w:hAnsi="Arial" w:cs="Arial"/>
                <w:color w:val="000000" w:themeColor="text1"/>
              </w:rPr>
            </w:pPr>
            <w:r>
              <w:rPr>
                <w:rFonts w:cs="Arial"/>
                <w:color w:val="000000" w:themeColor="text1"/>
              </w:rPr>
              <w:t xml:space="preserve">Restaurante Universitário Unaí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1"/>
              <w:spacing w:lineRule="auto" w:line="360" w:before="0" w:after="200"/>
              <w:jc w:val="center"/>
              <w:rPr>
                <w:rFonts w:ascii="Arial" w:hAnsi="Arial" w:cs="Arial"/>
                <w:color w:val="000000" w:themeColor="text1"/>
              </w:rPr>
            </w:pPr>
            <w:r>
              <w:rPr>
                <w:rFonts w:cs="Arial"/>
                <w:color w:val="000000" w:themeColor="text1"/>
              </w:rPr>
              <w:t>3.510,00</w:t>
            </w:r>
          </w:p>
        </w:tc>
      </w:tr>
      <w:tr>
        <w:trPr>
          <w:trHeight w:val="300" w:hRule="atLeast"/>
        </w:trPr>
        <w:tc>
          <w:tcPr>
            <w:tcW w:w="6890" w:type="dxa"/>
            <w:gridSpan w:val="2"/>
            <w:tcBorders>
              <w:top w:val="single" w:sz="4" w:space="0" w:color="00000A"/>
              <w:left w:val="single" w:sz="4" w:space="0" w:color="00000A"/>
              <w:bottom w:val="single" w:sz="4" w:space="0" w:color="00000A"/>
              <w:right w:val="single" w:sz="4" w:space="0" w:color="000001"/>
              <w:insideH w:val="single" w:sz="4" w:space="0" w:color="00000A"/>
              <w:insideV w:val="single" w:sz="4" w:space="0" w:color="000001"/>
            </w:tcBorders>
            <w:shd w:color="000000" w:fill="DAEEF3" w:val="clear"/>
            <w:vAlign w:val="center"/>
          </w:tcPr>
          <w:p>
            <w:pPr>
              <w:pStyle w:val="Normal1"/>
              <w:spacing w:lineRule="auto" w:line="360" w:before="0" w:after="200"/>
              <w:jc w:val="right"/>
              <w:rPr>
                <w:rFonts w:ascii="Arial" w:hAnsi="Arial" w:cs="Arial"/>
                <w:b/>
                <w:b/>
                <w:bCs/>
                <w:color w:val="000000" w:themeColor="text1"/>
              </w:rPr>
            </w:pPr>
            <w:r>
              <w:rPr>
                <w:rFonts w:cs="Arial"/>
                <w:b/>
                <w:bCs/>
                <w:color w:val="000000" w:themeColor="text1"/>
              </w:rPr>
              <w:t> </w:t>
            </w:r>
          </w:p>
        </w:tc>
        <w:tc>
          <w:tcPr>
            <w:tcW w:w="15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DAEEF3" w:val="clear"/>
            <w:vAlign w:val="center"/>
          </w:tcPr>
          <w:p>
            <w:pPr>
              <w:pStyle w:val="Normal1"/>
              <w:spacing w:lineRule="auto" w:line="360" w:before="0" w:after="200"/>
              <w:jc w:val="center"/>
              <w:rPr>
                <w:rFonts w:ascii="Arial" w:hAnsi="Arial" w:cs="Arial"/>
                <w:b/>
                <w:b/>
                <w:bCs/>
                <w:color w:val="000000" w:themeColor="text1"/>
              </w:rPr>
            </w:pPr>
            <w:r>
              <w:rPr>
                <w:rFonts w:cs="Arial"/>
                <w:b/>
                <w:bCs/>
                <w:color w:val="000000" w:themeColor="text1"/>
              </w:rPr>
              <w:t>206.777,87</w:t>
            </w:r>
          </w:p>
        </w:tc>
      </w:tr>
    </w:tbl>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eastAsia="Calibri" w:cs="Arial"/>
          <w:b/>
          <w:b/>
          <w:color w:val="000000" w:themeColor="text1"/>
        </w:rPr>
      </w:pPr>
      <w:r>
        <w:rPr>
          <w:rFonts w:cs="Arial"/>
          <w:b/>
          <w:bCs/>
          <w:color w:val="000000" w:themeColor="text1"/>
        </w:rPr>
        <w:t xml:space="preserve">3.3.1. Infraestrutura Física, Serviços de Apoio e de Logística </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spacing w:lineRule="auto" w:line="360"/>
        <w:ind w:firstLine="644"/>
        <w:jc w:val="both"/>
        <w:rPr>
          <w:rFonts w:ascii="Arial" w:hAnsi="Arial" w:eastAsia="Calibri" w:cs="Arial"/>
          <w:color w:val="000000" w:themeColor="text1"/>
        </w:rPr>
      </w:pPr>
      <w:r>
        <w:rPr>
          <w:rFonts w:eastAsia="Calibri" w:cs="Arial"/>
          <w:color w:val="000000" w:themeColor="text1"/>
        </w:rPr>
        <w:t>Abaixo estão descritas as propostas apresentadas no PDI 2012-2016, acompanhadas de avaliaçõe:</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numPr>
          <w:ilvl w:val="0"/>
          <w:numId w:val="9"/>
        </w:numPr>
        <w:spacing w:lineRule="auto" w:line="360"/>
        <w:jc w:val="both"/>
        <w:rPr>
          <w:rFonts w:ascii="Arial" w:hAnsi="Arial" w:eastAsia="Calibri" w:cs="Arial"/>
          <w:b/>
          <w:b/>
          <w:color w:val="000000" w:themeColor="text1"/>
        </w:rPr>
      </w:pPr>
      <w:r>
        <w:rPr>
          <w:rFonts w:eastAsia="Calibri" w:cs="Arial"/>
          <w:b/>
          <w:color w:val="000000" w:themeColor="text1"/>
        </w:rPr>
        <w:t>Implantar um cronograma coordenado de compras e contratações visando atender a demanda da Instituição de forma programada e eficiente.</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spacing w:lineRule="auto" w:line="360"/>
        <w:ind w:firstLine="644"/>
        <w:jc w:val="both"/>
        <w:rPr>
          <w:rFonts w:ascii="Arial" w:hAnsi="Arial" w:eastAsia="Calibri" w:cs="Arial"/>
          <w:color w:val="000000" w:themeColor="text1"/>
        </w:rPr>
      </w:pPr>
      <w:r>
        <w:rPr>
          <w:rFonts w:eastAsia="Calibri" w:cs="Arial"/>
          <w:color w:val="000000" w:themeColor="text1"/>
        </w:rPr>
        <w:t>Esta proposta foi implantada. Desde 2012, a Diretoria de Logística trabalha com cronograma de aquisições e contratações onde define os prazos, no entanto, falta cumprimento destes prazos, por parte dos demandantes, o que contribui de forma efetiva para o insucesso no planejamento.</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numPr>
          <w:ilvl w:val="0"/>
          <w:numId w:val="9"/>
        </w:numPr>
        <w:spacing w:lineRule="auto" w:line="360"/>
        <w:jc w:val="both"/>
        <w:rPr>
          <w:rFonts w:ascii="Arial" w:hAnsi="Arial" w:eastAsia="Calibri" w:cs="Arial"/>
          <w:b/>
          <w:b/>
          <w:color w:val="000000" w:themeColor="text1"/>
        </w:rPr>
      </w:pPr>
      <w:r>
        <w:rPr>
          <w:rFonts w:eastAsia="Calibri" w:cs="Arial"/>
          <w:b/>
          <w:color w:val="000000" w:themeColor="text1"/>
        </w:rPr>
        <w:t>Trabalhar na formatação de compras e contratações sustentáveis sinalizando ao segmento fornecedor a necessidade de ajuste de seus processos produtivos aos padrões de proteção ambiental, tendo como referência a Instrução Normativa nº 1/2010 e a Portaria 2/2010, ambas da Secretaria de Logística e Tecnologia da Informação do Ministério do Planejamento, Orçamento e Gestão.</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spacing w:lineRule="auto" w:line="360"/>
        <w:ind w:firstLine="644"/>
        <w:jc w:val="both"/>
        <w:rPr>
          <w:rFonts w:ascii="Arial" w:hAnsi="Arial" w:eastAsia="Calibri" w:cs="Arial"/>
          <w:color w:val="000000" w:themeColor="text1"/>
        </w:rPr>
      </w:pPr>
      <w:r>
        <w:rPr>
          <w:rFonts w:eastAsia="Calibri" w:cs="Arial"/>
          <w:color w:val="000000" w:themeColor="text1"/>
        </w:rPr>
        <w:t xml:space="preserve">Esta proposta foi implementada no que se refere a inclusão de cláusulas de sustentabilidade ambiental nos editais de licitação. </w:t>
      </w:r>
    </w:p>
    <w:p>
      <w:pPr>
        <w:pStyle w:val="Normal1"/>
        <w:spacing w:lineRule="auto" w:line="360"/>
        <w:ind w:firstLine="644"/>
        <w:jc w:val="both"/>
        <w:rPr>
          <w:rFonts w:ascii="Arial" w:hAnsi="Arial" w:eastAsia="Calibri" w:cs="Arial"/>
          <w:color w:val="000000" w:themeColor="text1"/>
        </w:rPr>
      </w:pPr>
      <w:r>
        <w:rPr>
          <w:rFonts w:eastAsia="Calibri" w:cs="Arial"/>
          <w:color w:val="000000" w:themeColor="text1"/>
        </w:rPr>
        <w:t xml:space="preserve">No entanto, considerando que a atuação maior é da Divisão de Materiais, responsável pelas especificações dos itens de estoque que estão mais ligados ao tema (expediente, limpeza, cartuchos, toneres, químico, laboratorial e outros) e que no ano de 2013 as Divisões de Materiais e Patrimônio foram desvinculadas da Diretoria de Logística esta proposta deve ser avaliada pela Diretoria de Patrimônio e Materiais. </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numPr>
          <w:ilvl w:val="0"/>
          <w:numId w:val="9"/>
        </w:numPr>
        <w:spacing w:lineRule="auto" w:line="360"/>
        <w:jc w:val="both"/>
        <w:rPr>
          <w:rFonts w:ascii="Arial" w:hAnsi="Arial" w:eastAsia="Calibri" w:cs="Arial"/>
          <w:b/>
          <w:b/>
          <w:color w:val="000000" w:themeColor="text1"/>
        </w:rPr>
      </w:pPr>
      <w:r>
        <w:rPr>
          <w:rFonts w:eastAsia="Calibri" w:cs="Arial"/>
          <w:b/>
          <w:color w:val="000000" w:themeColor="text1"/>
        </w:rPr>
        <w:t>Criar uma rotina de abastecimento do Almoxarifado através dos Sistemas de Registro de Preços, centralizando a aquisição de materiais de uso comum, evitando grandes estoques e disponibilizando possibilidade de aquisições inteligentes para os materiais de uso contínuo.</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spacing w:lineRule="auto" w:line="360"/>
        <w:ind w:firstLine="644"/>
        <w:jc w:val="both"/>
        <w:rPr>
          <w:rFonts w:ascii="Arial" w:hAnsi="Arial" w:eastAsia="Calibri" w:cs="Arial"/>
          <w:color w:val="000000" w:themeColor="text1"/>
        </w:rPr>
      </w:pPr>
      <w:r>
        <w:rPr>
          <w:rFonts w:eastAsia="Calibri" w:cs="Arial"/>
          <w:color w:val="000000" w:themeColor="text1"/>
        </w:rPr>
        <w:t>Esta proposta foi implantada. Adotou-se as atas de registro de preços para aquisição dos itens de estoque. Para melhor funcionamento e para que não haja falta de itens de estoque, faz-se necessário que a Diretoria de Patrimônio e Materiais mantenha vigentes estas atas, apresentando às demandas à Diretoria de Logística em tempo exequível para realização das licitações.</w:t>
      </w:r>
    </w:p>
    <w:p>
      <w:pPr>
        <w:pStyle w:val="Normal1"/>
        <w:spacing w:lineRule="auto" w:line="360"/>
        <w:ind w:left="284" w:hanging="0"/>
        <w:jc w:val="both"/>
        <w:rPr>
          <w:rFonts w:ascii="Arial" w:hAnsi="Arial" w:eastAsia="Calibri" w:cs="Arial"/>
          <w:color w:val="000000" w:themeColor="text1"/>
        </w:rPr>
      </w:pPr>
      <w:r>
        <w:rPr>
          <w:rFonts w:eastAsia="Calibri" w:cs="Arial"/>
          <w:color w:val="000000" w:themeColor="text1"/>
        </w:rPr>
      </w:r>
    </w:p>
    <w:p>
      <w:pPr>
        <w:pStyle w:val="Normal1"/>
        <w:numPr>
          <w:ilvl w:val="0"/>
          <w:numId w:val="9"/>
        </w:numPr>
        <w:spacing w:lineRule="auto" w:line="360"/>
        <w:jc w:val="both"/>
        <w:rPr>
          <w:rFonts w:ascii="Arial" w:hAnsi="Arial" w:eastAsia="Calibri" w:cs="Arial"/>
          <w:b/>
          <w:b/>
          <w:color w:val="000000" w:themeColor="text1"/>
        </w:rPr>
      </w:pPr>
      <w:r>
        <w:rPr>
          <w:rFonts w:eastAsia="Calibri" w:cs="Arial"/>
          <w:b/>
          <w:color w:val="000000" w:themeColor="text1"/>
        </w:rPr>
        <w:t>Elaborar uma política de controle e fiscalização dos bens móveis e desenvolver normas e orientações de gestão patrimonial.</w:t>
      </w:r>
    </w:p>
    <w:p>
      <w:pPr>
        <w:pStyle w:val="Normal1"/>
        <w:numPr>
          <w:ilvl w:val="0"/>
          <w:numId w:val="9"/>
        </w:numPr>
        <w:spacing w:lineRule="auto" w:line="360"/>
        <w:jc w:val="both"/>
        <w:rPr>
          <w:rFonts w:ascii="Arial" w:hAnsi="Arial" w:eastAsia="Calibri" w:cs="Arial"/>
          <w:b/>
          <w:b/>
          <w:color w:val="000000" w:themeColor="text1"/>
        </w:rPr>
      </w:pPr>
      <w:r>
        <w:rPr>
          <w:rFonts w:eastAsia="Calibri" w:cs="Arial"/>
          <w:b/>
          <w:color w:val="000000" w:themeColor="text1"/>
        </w:rPr>
        <w:t>Desenvolver um manual de patrimônio visando orientar as Unidades Gestoras na aplicação de procedimentos para controle patrimonial.</w:t>
      </w:r>
    </w:p>
    <w:p>
      <w:pPr>
        <w:pStyle w:val="Normal1"/>
        <w:numPr>
          <w:ilvl w:val="0"/>
          <w:numId w:val="9"/>
        </w:numPr>
        <w:spacing w:lineRule="auto" w:line="360"/>
        <w:jc w:val="both"/>
        <w:rPr>
          <w:rFonts w:ascii="Arial" w:hAnsi="Arial" w:eastAsia="Calibri" w:cs="Arial"/>
          <w:b/>
          <w:b/>
          <w:color w:val="000000" w:themeColor="text1"/>
        </w:rPr>
      </w:pPr>
      <w:r>
        <w:rPr>
          <w:rFonts w:eastAsia="Calibri" w:cs="Arial"/>
          <w:b/>
          <w:color w:val="000000" w:themeColor="text1"/>
        </w:rPr>
        <w:t>Disseminar a responsabilidade de controle patrimonial, bem como as rotinas e procedimentos operacionais permitindo um melhor gerenciamento e planejamento do patrimônio público.</w:t>
      </w:r>
    </w:p>
    <w:p>
      <w:pPr>
        <w:pStyle w:val="Normal1"/>
        <w:spacing w:lineRule="auto" w:line="360"/>
        <w:jc w:val="both"/>
        <w:rPr>
          <w:rFonts w:ascii="Arial" w:hAnsi="Arial" w:eastAsia="Calibri" w:cs="Arial"/>
          <w:color w:val="000000" w:themeColor="text1"/>
        </w:rPr>
      </w:pPr>
      <w:r>
        <w:rPr>
          <w:rFonts w:eastAsia="Calibri" w:cs="Arial"/>
          <w:color w:val="000000" w:themeColor="text1"/>
        </w:rPr>
      </w:r>
    </w:p>
    <w:p>
      <w:pPr>
        <w:pStyle w:val="Normal1"/>
        <w:spacing w:lineRule="auto" w:line="360"/>
        <w:ind w:firstLine="644"/>
        <w:jc w:val="both"/>
        <w:rPr>
          <w:rFonts w:ascii="Arial" w:hAnsi="Arial" w:eastAsia="Calibri" w:cs="Arial"/>
          <w:color w:val="000000" w:themeColor="text1"/>
        </w:rPr>
      </w:pPr>
      <w:r>
        <w:rPr>
          <w:rFonts w:eastAsia="Calibri" w:cs="Arial"/>
          <w:color w:val="000000" w:themeColor="text1"/>
        </w:rPr>
        <w:t>Estas propostas referem-se à Divisão de Patrimônio, que no ano de 2013 foi desvinculada, juntamente com a Divisão de Materiais da Diretoria de Logística, foi então criada a Diretoria de Patrimônio e Materiais. Não nos compete a avaliação.</w:t>
      </w:r>
    </w:p>
    <w:p>
      <w:pPr>
        <w:pStyle w:val="Normal1"/>
        <w:spacing w:lineRule="auto" w:line="360"/>
        <w:jc w:val="both"/>
        <w:rPr>
          <w:rFonts w:ascii="Arial" w:hAnsi="Arial" w:eastAsia="Calibri" w:cs="Arial"/>
          <w:color w:val="000000" w:themeColor="text1"/>
        </w:rPr>
      </w:pPr>
      <w:r>
        <w:rPr>
          <w:rFonts w:eastAsia="Calibri" w:cs="Arial"/>
          <w:color w:val="000000" w:themeColor="text1"/>
        </w:rPr>
      </w:r>
    </w:p>
    <w:p>
      <w:pPr>
        <w:pStyle w:val="Normal1"/>
        <w:numPr>
          <w:ilvl w:val="0"/>
          <w:numId w:val="10"/>
        </w:numPr>
        <w:tabs>
          <w:tab w:val="left" w:pos="993" w:leader="none"/>
        </w:tabs>
        <w:spacing w:lineRule="auto" w:line="360"/>
        <w:ind w:left="993" w:hanging="284"/>
        <w:jc w:val="both"/>
        <w:rPr>
          <w:rFonts w:ascii="Arial" w:hAnsi="Arial" w:eastAsia="Calibri" w:cs="Arial"/>
          <w:b/>
          <w:b/>
          <w:color w:val="000000" w:themeColor="text1"/>
        </w:rPr>
      </w:pPr>
      <w:r>
        <w:rPr>
          <w:rFonts w:eastAsia="Calibri" w:cs="Arial"/>
          <w:b/>
          <w:color w:val="000000" w:themeColor="text1"/>
        </w:rPr>
        <w:t>Desenvolver procedimentos rigorosos na gestão e fiscalização de contratos administrativos buscando o alcance dos melhores resultados das contratações públicas.</w:t>
      </w:r>
    </w:p>
    <w:p>
      <w:pPr>
        <w:pStyle w:val="Normal1"/>
        <w:tabs>
          <w:tab w:val="left" w:pos="993" w:leader="none"/>
        </w:tabs>
        <w:spacing w:lineRule="auto" w:line="360"/>
        <w:jc w:val="both"/>
        <w:rPr>
          <w:rFonts w:ascii="Arial" w:hAnsi="Arial" w:eastAsia="Calibri" w:cs="Arial"/>
          <w:color w:val="000000" w:themeColor="text1"/>
        </w:rPr>
      </w:pPr>
      <w:r>
        <w:rPr>
          <w:rFonts w:eastAsia="Calibri" w:cs="Arial"/>
          <w:color w:val="000000" w:themeColor="text1"/>
        </w:rPr>
      </w:r>
    </w:p>
    <w:p>
      <w:pPr>
        <w:pStyle w:val="Normal1"/>
        <w:tabs>
          <w:tab w:val="left" w:pos="993" w:leader="none"/>
        </w:tabs>
        <w:spacing w:lineRule="auto" w:line="360"/>
        <w:jc w:val="both"/>
        <w:rPr>
          <w:rFonts w:ascii="Arial" w:hAnsi="Arial" w:eastAsia="Calibri" w:cs="Arial"/>
          <w:color w:val="000000" w:themeColor="text1"/>
        </w:rPr>
      </w:pPr>
      <w:r>
        <w:rPr>
          <w:rFonts w:eastAsia="Calibri" w:cs="Arial"/>
          <w:color w:val="000000" w:themeColor="text1"/>
        </w:rPr>
        <w:tab/>
        <w:t xml:space="preserve">Está sendo finalizada uma Instrução Normativa que regula os trâmites administrativos dos contratos no âmbito da UFVJM o que trará melhor controle no acompanhamento dos contratos. Falta investimento em treinamento dos servidores designados como fiscais de contrato. </w:t>
      </w:r>
    </w:p>
    <w:p>
      <w:pPr>
        <w:pStyle w:val="Normal1"/>
        <w:tabs>
          <w:tab w:val="left" w:pos="993" w:leader="none"/>
        </w:tabs>
        <w:spacing w:lineRule="auto" w:line="360"/>
        <w:jc w:val="both"/>
        <w:rPr>
          <w:rFonts w:ascii="Arial" w:hAnsi="Arial" w:eastAsia="Calibri" w:cs="Arial"/>
          <w:color w:val="000000" w:themeColor="text1"/>
        </w:rPr>
      </w:pPr>
      <w:r>
        <w:rPr>
          <w:rFonts w:eastAsia="Calibri" w:cs="Arial"/>
          <w:color w:val="000000" w:themeColor="text1"/>
        </w:rPr>
      </w:r>
    </w:p>
    <w:p>
      <w:pPr>
        <w:pStyle w:val="Normal1"/>
        <w:numPr>
          <w:ilvl w:val="0"/>
          <w:numId w:val="10"/>
        </w:numPr>
        <w:tabs>
          <w:tab w:val="left" w:pos="993" w:leader="none"/>
        </w:tabs>
        <w:spacing w:lineRule="auto" w:line="360"/>
        <w:ind w:left="993" w:hanging="284"/>
        <w:jc w:val="both"/>
        <w:rPr>
          <w:rFonts w:ascii="Arial" w:hAnsi="Arial" w:eastAsia="Calibri" w:cs="Arial"/>
          <w:b/>
          <w:b/>
          <w:color w:val="000000" w:themeColor="text1"/>
        </w:rPr>
      </w:pPr>
      <w:r>
        <w:rPr>
          <w:rFonts w:eastAsia="Calibri" w:cs="Arial"/>
          <w:b/>
          <w:color w:val="000000" w:themeColor="text1"/>
        </w:rPr>
        <w:t>Priorizar o treinamento dos servidores envolvidos nos processos de compras e gestão de contratos, buscando o conhecimento preciso das regras jurídicas e procedimentos que regulam a legislação pertinente, bem como a clareza sobre as suas responsabilidades e competências.</w:t>
      </w:r>
    </w:p>
    <w:p>
      <w:pPr>
        <w:pStyle w:val="Normal1"/>
        <w:tabs>
          <w:tab w:val="left" w:pos="993" w:leader="none"/>
        </w:tabs>
        <w:spacing w:lineRule="auto" w:line="360"/>
        <w:jc w:val="both"/>
        <w:rPr>
          <w:rFonts w:ascii="Arial" w:hAnsi="Arial" w:eastAsia="Calibri" w:cs="Arial"/>
          <w:color w:val="000000" w:themeColor="text1"/>
        </w:rPr>
      </w:pPr>
      <w:r>
        <w:rPr>
          <w:rFonts w:eastAsia="Calibri" w:cs="Arial"/>
          <w:color w:val="000000" w:themeColor="text1"/>
        </w:rPr>
      </w:r>
    </w:p>
    <w:p>
      <w:pPr>
        <w:pStyle w:val="Normal1"/>
        <w:spacing w:lineRule="auto" w:line="360"/>
        <w:ind w:firstLine="708"/>
        <w:jc w:val="both"/>
        <w:rPr>
          <w:rFonts w:ascii="Arial" w:hAnsi="Arial" w:eastAsia="Calibri" w:cs="Arial"/>
          <w:color w:val="000000" w:themeColor="text1"/>
        </w:rPr>
      </w:pPr>
      <w:r>
        <w:rPr>
          <w:rFonts w:eastAsia="Calibri" w:cs="Arial"/>
          <w:color w:val="000000" w:themeColor="text1"/>
        </w:rPr>
        <w:t>Os recursos destinados ao treinamento dos servidores, por parte da UFVJM, ainda é insuficiente e necessita de aportes para que a proposta seja alcançada.</w:t>
      </w:r>
    </w:p>
    <w:p>
      <w:pPr>
        <w:pStyle w:val="Normal1"/>
        <w:spacing w:lineRule="auto" w:line="360"/>
        <w:jc w:val="both"/>
        <w:rPr>
          <w:rFonts w:ascii="Arial" w:hAnsi="Arial" w:eastAsia="Calibri" w:cs="Arial"/>
          <w:color w:val="000000" w:themeColor="text1"/>
        </w:rPr>
      </w:pPr>
      <w:r>
        <w:rPr>
          <w:rFonts w:eastAsia="Calibri" w:cs="Arial"/>
          <w:color w:val="000000" w:themeColor="text1"/>
        </w:rPr>
      </w:r>
    </w:p>
    <w:p>
      <w:pPr>
        <w:pStyle w:val="Normal1"/>
        <w:spacing w:lineRule="auto" w:line="360"/>
        <w:jc w:val="both"/>
        <w:rPr>
          <w:rFonts w:ascii="Arial" w:hAnsi="Arial" w:eastAsia="Calibri" w:cs="Arial"/>
          <w:b/>
          <w:b/>
          <w:color w:val="000000" w:themeColor="text1"/>
        </w:rPr>
      </w:pPr>
      <w:r>
        <w:rPr>
          <w:rFonts w:eastAsia="Calibri" w:cs="Arial"/>
          <w:b/>
          <w:color w:val="000000" w:themeColor="text1"/>
        </w:rPr>
      </w:r>
    </w:p>
    <w:p>
      <w:pPr>
        <w:pStyle w:val="Normal1"/>
        <w:spacing w:lineRule="auto" w:line="360"/>
        <w:ind w:firstLine="708"/>
        <w:jc w:val="both"/>
        <w:rPr>
          <w:rFonts w:ascii="Arial" w:hAnsi="Arial" w:eastAsia="Calibri" w:cs="Arial"/>
          <w:b/>
          <w:b/>
          <w:color w:val="000000" w:themeColor="text1"/>
        </w:rPr>
      </w:pPr>
      <w:r>
        <w:rPr>
          <w:rFonts w:eastAsia="Calibri" w:cs="Arial"/>
          <w:color w:val="000000" w:themeColor="text1"/>
        </w:rPr>
        <w:t>Abaixo estão descritas as propostas apresentadas no PDI 2012-2016 que permanecerão para este plano:</w:t>
      </w:r>
    </w:p>
    <w:p>
      <w:pPr>
        <w:pStyle w:val="Normal1"/>
        <w:spacing w:lineRule="auto" w:line="360"/>
        <w:jc w:val="both"/>
        <w:rPr>
          <w:rFonts w:ascii="Arial" w:hAnsi="Arial" w:eastAsia="Calibri" w:cs="Arial"/>
          <w:color w:val="000000" w:themeColor="text1"/>
        </w:rPr>
      </w:pPr>
      <w:r>
        <w:rPr>
          <w:rFonts w:eastAsia="Calibri" w:cs="Arial"/>
          <w:color w:val="000000" w:themeColor="text1"/>
        </w:rPr>
      </w:r>
    </w:p>
    <w:p>
      <w:pPr>
        <w:pStyle w:val="Normal1"/>
        <w:numPr>
          <w:ilvl w:val="0"/>
          <w:numId w:val="10"/>
        </w:numPr>
        <w:tabs>
          <w:tab w:val="left" w:pos="993" w:leader="none"/>
        </w:tabs>
        <w:spacing w:lineRule="auto" w:line="360"/>
        <w:ind w:left="993" w:hanging="284"/>
        <w:jc w:val="both"/>
        <w:rPr>
          <w:rFonts w:ascii="Arial" w:hAnsi="Arial" w:eastAsia="Calibri" w:cs="Arial"/>
          <w:color w:val="000000" w:themeColor="text1"/>
        </w:rPr>
      </w:pPr>
      <w:r>
        <w:rPr>
          <w:rFonts w:eastAsia="Calibri" w:cs="Arial"/>
          <w:color w:val="000000" w:themeColor="text1"/>
        </w:rPr>
        <w:t>Desenvolver procedimentos rigorosos na gestão e fiscalização de contratos administrativos buscando o alcance dos melhores resultados das contratações públicas.</w:t>
      </w:r>
    </w:p>
    <w:p>
      <w:pPr>
        <w:pStyle w:val="Normal1"/>
        <w:numPr>
          <w:ilvl w:val="0"/>
          <w:numId w:val="10"/>
        </w:numPr>
        <w:tabs>
          <w:tab w:val="left" w:pos="993" w:leader="none"/>
        </w:tabs>
        <w:spacing w:lineRule="auto" w:line="360"/>
        <w:ind w:left="993" w:hanging="284"/>
        <w:jc w:val="both"/>
        <w:rPr>
          <w:rFonts w:ascii="Arial" w:hAnsi="Arial" w:eastAsia="Calibri" w:cs="Arial"/>
          <w:color w:val="000000" w:themeColor="text1"/>
        </w:rPr>
      </w:pPr>
      <w:r>
        <w:rPr>
          <w:rFonts w:eastAsia="Calibri" w:cs="Arial"/>
          <w:color w:val="000000" w:themeColor="text1"/>
        </w:rPr>
        <w:t>Priorizar o treinamento dos servidores envolvidos nos processos de compras e gestão de contratos, buscando o conhecimento preciso das regras jurídicas e procedimentos que regulam a legislação pertinente, bem como a clareza sobre as suas responsabilidades e competências.</w:t>
      </w:r>
    </w:p>
    <w:p>
      <w:pPr>
        <w:pStyle w:val="Normal1"/>
        <w:tabs>
          <w:tab w:val="left" w:pos="993" w:leader="none"/>
        </w:tabs>
        <w:spacing w:lineRule="auto" w:line="360"/>
        <w:jc w:val="both"/>
        <w:rPr>
          <w:rFonts w:ascii="Arial" w:hAnsi="Arial" w:eastAsia="Calibri" w:cs="Arial"/>
          <w:color w:val="000000" w:themeColor="text1"/>
        </w:rPr>
      </w:pPr>
      <w:r>
        <w:rPr>
          <w:rFonts w:eastAsia="Calibri" w:cs="Arial"/>
          <w:color w:val="000000" w:themeColor="text1"/>
        </w:rPr>
      </w:r>
    </w:p>
    <w:p>
      <w:pPr>
        <w:pStyle w:val="Normal1"/>
        <w:tabs>
          <w:tab w:val="left" w:pos="993" w:leader="none"/>
        </w:tabs>
        <w:spacing w:lineRule="auto" w:line="360"/>
        <w:jc w:val="both"/>
        <w:rPr>
          <w:rFonts w:ascii="Arial" w:hAnsi="Arial" w:eastAsia="Calibri" w:cs="Arial"/>
          <w:color w:val="000000" w:themeColor="text1"/>
        </w:rPr>
      </w:pPr>
      <w:r>
        <w:rPr>
          <w:rFonts w:eastAsia="Calibri" w:cs="Arial"/>
          <w:color w:val="000000" w:themeColor="text1"/>
        </w:rPr>
      </w:r>
    </w:p>
    <w:p>
      <w:pPr>
        <w:pStyle w:val="Normal1"/>
        <w:spacing w:lineRule="auto" w:line="360"/>
        <w:ind w:firstLine="708"/>
        <w:jc w:val="both"/>
        <w:rPr>
          <w:rFonts w:ascii="Arial" w:hAnsi="Arial" w:eastAsia="Calibri" w:cs="Arial"/>
          <w:b/>
          <w:b/>
          <w:color w:val="000000" w:themeColor="text1"/>
        </w:rPr>
      </w:pPr>
      <w:r>
        <w:rPr>
          <w:rFonts w:eastAsia="Calibri" w:cs="Arial"/>
          <w:color w:val="000000" w:themeColor="text1"/>
        </w:rPr>
        <w:t>Abaixo estão descritas as novas propostas para o PDI 2017-2021:</w:t>
      </w:r>
    </w:p>
    <w:p>
      <w:pPr>
        <w:pStyle w:val="Normal1"/>
        <w:tabs>
          <w:tab w:val="left" w:pos="993" w:leader="none"/>
        </w:tabs>
        <w:spacing w:lineRule="auto" w:line="360"/>
        <w:jc w:val="both"/>
        <w:rPr>
          <w:rFonts w:ascii="Arial" w:hAnsi="Arial" w:eastAsia="Calibri" w:cs="Arial"/>
          <w:color w:val="000000" w:themeColor="text1"/>
        </w:rPr>
      </w:pPr>
      <w:r>
        <w:rPr>
          <w:rFonts w:eastAsia="Calibri" w:cs="Arial"/>
          <w:color w:val="000000" w:themeColor="text1"/>
        </w:rPr>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Criar um núcleo de pregoeiros, buscando capacitar os servidores que desempenharão esta função na UFVJM;</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Oferecer, anualmente, capacitações aos servidores da UFVJM, para esclarecimento acerca dos procedimentos e rotinas a serem observadas nos processos de requisições de compras;</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Oferecer, periodicamente, aos pregoeiros e membros de comissão de licitação, treinamento e orientações visando a melhoria dos processos que conduzem;</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Adotar critérios de seleção de fiscais de contratos, pregoeiros e membros de comissão de licitação;</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Implantar instruções normativas na Divisão de Contratos, procedimentando ações e prazos relativos à matéria;</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Submeter ao CONSU, as Instruções Normativas dos setores que compõem a Diretoria de Logística: Divisão de Compras, Divisão de Licitações e Divisão de Contratos;</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Rever o banco de dados, referente ao cadastro de materiais, do SIGA e criar uma equipe de apoio ao cadastro destes materiais visando a classificação correta e coordenada dos subelementos de despesa;</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Definir parâmetros para pesquisas de preços, no âmbito da UFVJM, com base na legislação aplicável;</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Pleitear a criação de um núcleo de assessoria jurídica e outro de assessoria contábil às aquisições e contratações;</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Promover ações de conscientização de cumprimento do cronograma de aquisições e contratações;</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Criar um setor de acompanhamento de atas de registro de preços referente à prestação de serviços;</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Estudar e propor alterações do regimento da PROAD, relativo à Diretoria de Logística, visando adequá-lo à realidade atual;</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Trabalhar na busca da implantação do processo eletrônico;</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Buscar o aumento da equipe de servidores da Diretoria de Logística;</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Estudar mecanismo de criação de um incentivo à função de pregoeiros e membros de comissão de licitação;</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 xml:space="preserve">Estruturar núcleos administrativos avançados nos </w:t>
      </w:r>
      <w:r>
        <w:rPr>
          <w:rFonts w:eastAsia="Calibri" w:cs="Arial"/>
          <w:i/>
          <w:color w:val="000000" w:themeColor="text1"/>
        </w:rPr>
        <w:t>campi</w:t>
      </w:r>
      <w:r>
        <w:rPr>
          <w:rFonts w:eastAsia="Calibri" w:cs="Arial"/>
          <w:color w:val="000000" w:themeColor="text1"/>
        </w:rPr>
        <w:t xml:space="preserve"> de Unaí e Janaúba nas áreas de licitações e contratos;</w:t>
      </w:r>
    </w:p>
    <w:p>
      <w:pPr>
        <w:pStyle w:val="Normal1"/>
        <w:numPr>
          <w:ilvl w:val="0"/>
          <w:numId w:val="11"/>
        </w:numPr>
        <w:tabs>
          <w:tab w:val="left" w:pos="993" w:leader="none"/>
        </w:tabs>
        <w:spacing w:lineRule="auto" w:line="360"/>
        <w:ind w:left="1004" w:hanging="295"/>
        <w:jc w:val="both"/>
        <w:rPr>
          <w:rFonts w:ascii="Arial" w:hAnsi="Arial" w:eastAsia="Calibri" w:cs="Arial"/>
          <w:color w:val="000000" w:themeColor="text1"/>
        </w:rPr>
      </w:pPr>
      <w:r>
        <w:rPr>
          <w:rFonts w:eastAsia="Calibri" w:cs="Arial"/>
          <w:color w:val="000000" w:themeColor="text1"/>
        </w:rPr>
        <w:t>Criar um setor de importação.</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Diretoria de Administração</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color w:val="000000" w:themeColor="text1"/>
        </w:rPr>
      </w:pPr>
      <w:r>
        <w:rPr>
          <w:rFonts w:cs="Arial"/>
          <w:color w:val="000000" w:themeColor="text1"/>
          <w:highlight w:val="cyan"/>
        </w:rPr>
        <w:t>(SOLICITANTE: TAs JANAÚBA)</w:t>
      </w:r>
    </w:p>
    <w:p>
      <w:pPr>
        <w:pStyle w:val="Normal1"/>
        <w:spacing w:lineRule="auto" w:line="360"/>
        <w:jc w:val="both"/>
        <w:rPr>
          <w:rFonts w:ascii="Arial" w:hAnsi="Arial" w:cs="Arial"/>
          <w:color w:val="0070C0"/>
        </w:rPr>
      </w:pPr>
      <w:r>
        <w:rPr>
          <w:rFonts w:cs="Arial"/>
          <w:color w:val="0070C0"/>
        </w:rPr>
        <w:t>Na parte  da  Diretoria  de  Administração  não  foi  mencionado  as  Divisões  de  Administração,  Orçamento  e Planejamento de Janaúba e Unaí, que foram criadas recentemente. Sugiro a inclusão desta divisão no PDI com suas ações específicas</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ind w:firstLine="708"/>
        <w:jc w:val="both"/>
        <w:rPr>
          <w:rFonts w:ascii="Arial" w:hAnsi="Arial" w:cs="Arial"/>
          <w:color w:val="000000" w:themeColor="text1"/>
        </w:rPr>
      </w:pPr>
      <w:r>
        <w:rPr>
          <w:rFonts w:cs="Arial"/>
          <w:color w:val="000000" w:themeColor="text1"/>
        </w:rPr>
        <w:t>No decorrer da execução do PDI 2012/2016 da UFVJM, aos objetivos atribuídos pela Diretoria de Administração a serem alcançados, foram encaminhadas diversas ações, sendo algumas redirecionadas em razão da reestruturação orgânica implantada na Pró-reitoria de Administração.</w:t>
      </w:r>
    </w:p>
    <w:p>
      <w:pPr>
        <w:pStyle w:val="Normal1"/>
        <w:spacing w:lineRule="auto" w:line="360"/>
        <w:ind w:firstLine="708"/>
        <w:jc w:val="both"/>
        <w:rPr>
          <w:rFonts w:ascii="Arial" w:hAnsi="Arial" w:cs="Arial"/>
          <w:color w:val="000000" w:themeColor="text1"/>
        </w:rPr>
      </w:pPr>
      <w:r>
        <w:rPr>
          <w:rFonts w:cs="Arial"/>
          <w:color w:val="000000" w:themeColor="text1"/>
        </w:rPr>
        <w:t>Este documento está composto de três grandes eixos temáticos, sendo que o primeiro aborda o PDI 2012/2016 em suas proposições e os encaminhamentos realizados em razão desta estratégia. No segundo eixo, está apresentada a reestruturação orgânica da Diretoria de Administração, aprovado pela Resolução Consu nº 9 de 10 de junho de 2015 e as atribuições que podem ser estabelecidas como o principal objeto da existência desta diretoria. Já no último eixo, estão expostas as novas propostas definidas pela Diretoria de Administração em seu planejamento para o período entre 2017/2021.</w:t>
      </w:r>
    </w:p>
    <w:p>
      <w:pPr>
        <w:pStyle w:val="Normal1"/>
        <w:spacing w:lineRule="auto" w:line="360"/>
        <w:ind w:firstLine="708"/>
        <w:jc w:val="both"/>
        <w:rPr>
          <w:rFonts w:ascii="Arial" w:hAnsi="Arial" w:cs="Arial"/>
          <w:color w:val="000000" w:themeColor="text1"/>
        </w:rPr>
      </w:pPr>
      <w:r>
        <w:rPr>
          <w:rFonts w:cs="Arial"/>
          <w:color w:val="000000" w:themeColor="text1"/>
        </w:rPr>
        <w:t xml:space="preserve">Desta forma, foram estabelecidos na Diretoria de Administração, para o PDI 2012/2016 os temas abaixo e serão apresentados os temas e os encaminhamentos realizados. </w:t>
      </w:r>
    </w:p>
    <w:p>
      <w:pPr>
        <w:pStyle w:val="Normal1"/>
        <w:spacing w:lineRule="auto" w:line="360"/>
        <w:ind w:firstLine="708"/>
        <w:jc w:val="both"/>
        <w:rPr>
          <w:rFonts w:ascii="Arial" w:hAnsi="Arial" w:cs="Arial"/>
          <w:color w:val="000000" w:themeColor="text1"/>
        </w:rPr>
      </w:pPr>
      <w:r>
        <w:rPr>
          <w:rFonts w:cs="Arial"/>
          <w:color w:val="000000" w:themeColor="text1"/>
        </w:rPr>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Construir Galpão para a Manutenção e Serviços Gerais, para instalação das oficinas e almoxarifado do setor.</w:t>
      </w:r>
    </w:p>
    <w:p>
      <w:pPr>
        <w:pStyle w:val="Normal1"/>
        <w:spacing w:lineRule="auto" w:line="360"/>
        <w:jc w:val="both"/>
        <w:rPr>
          <w:rFonts w:ascii="Arial" w:hAnsi="Arial" w:cs="Arial"/>
          <w:color w:val="000000" w:themeColor="text1"/>
        </w:rPr>
      </w:pPr>
      <w:r>
        <w:rPr>
          <w:rFonts w:cs="Arial"/>
          <w:color w:val="000000" w:themeColor="text1"/>
        </w:rPr>
        <w:t>Para esta demanda, foram realizados estudos e avaliações que resultaram na elaboração dos projetos que visam à construção do Galpão do Patrimônio no Campus JK, prédio que atenderá as demandas de oficinas e almoxarifados dos setores de manutenção e serviços gerais da UFVJM no Campus JK.</w:t>
      </w:r>
    </w:p>
    <w:p>
      <w:pPr>
        <w:pStyle w:val="Normal1"/>
        <w:spacing w:lineRule="auto" w:line="360"/>
        <w:jc w:val="both"/>
        <w:rPr>
          <w:rFonts w:ascii="Arial" w:hAnsi="Arial" w:cs="Arial"/>
          <w:color w:val="000000" w:themeColor="text1"/>
        </w:rPr>
      </w:pPr>
      <w:r>
        <w:rPr>
          <w:rFonts w:cs="Arial"/>
          <w:color w:val="000000" w:themeColor="text1"/>
        </w:rPr>
        <w:t>O estudo do projeto foi concluído e está no aguardo de disponibilidade orçamentária para a atualização da planilha e licitação da obra.</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Consolidar uma rotina para aquisição anual de itens para suprir as atividades de manutenção e serviços gerais, através de licitação na modalidade de Sistema de registro de Preços e desta forma possibilitar maior celeridade ao atendimento das demandas do setor.</w:t>
      </w:r>
    </w:p>
    <w:p>
      <w:pPr>
        <w:pStyle w:val="Normal1"/>
        <w:spacing w:lineRule="auto" w:line="360"/>
        <w:jc w:val="both"/>
        <w:rPr>
          <w:rFonts w:ascii="Arial" w:hAnsi="Arial" w:cs="Arial"/>
          <w:color w:val="000000" w:themeColor="text1"/>
        </w:rPr>
      </w:pPr>
      <w:r>
        <w:rPr>
          <w:rFonts w:cs="Arial"/>
          <w:color w:val="000000" w:themeColor="text1"/>
        </w:rPr>
        <w:t>A rotina proposta vem sendo desenvolvida pelas equipes da Diretoria de Administração em conjunto com a Diretoria de Patrimônio e Materiais nas aquisições para atendimento das demandas vinculadas às necessidades dessa Diretoria, como as aquisições de peças para manutenção da frota da UFVJM, combustíveis, contratação de serviços mecânicos entre outras demandas vinculadas às atividades da Diretoria de Administração.</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Sistematizar rotina que possibilite retorno e avaliação dos solicitantes quanto à execução das requisições de manutenção e serviços gerais.</w:t>
      </w:r>
    </w:p>
    <w:p>
      <w:pPr>
        <w:pStyle w:val="Normal1"/>
        <w:spacing w:lineRule="auto" w:line="360"/>
        <w:jc w:val="both"/>
        <w:rPr>
          <w:rFonts w:ascii="Arial" w:hAnsi="Arial" w:cs="Arial"/>
          <w:color w:val="000000" w:themeColor="text1"/>
        </w:rPr>
      </w:pPr>
      <w:r>
        <w:rPr>
          <w:rFonts w:cs="Arial"/>
          <w:color w:val="000000" w:themeColor="text1"/>
        </w:rPr>
        <w:t>A ação encontra-se implementada com o retorno em relação ao atendimento de demandas atendidas via Sistema Integrado de Gestão Acadêmica, entretanto a ferramenta de avaliação dos solicitantes deverá ser trabalhada para que sejam analisados os dados apresentados.</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Informatizar rotinas de Serviços Gerais e Manutenção visando maior segurança, celeridade e obtenção de relatórios gerenciais para acompanhamento das atividades do setor.</w:t>
      </w:r>
    </w:p>
    <w:p>
      <w:pPr>
        <w:pStyle w:val="Normal1"/>
        <w:spacing w:lineRule="auto" w:line="360"/>
        <w:jc w:val="both"/>
        <w:rPr>
          <w:rFonts w:ascii="Arial" w:hAnsi="Arial" w:cs="Arial"/>
          <w:color w:val="000000" w:themeColor="text1"/>
        </w:rPr>
      </w:pPr>
      <w:r>
        <w:rPr>
          <w:rFonts w:cs="Arial"/>
          <w:color w:val="000000" w:themeColor="text1"/>
        </w:rPr>
        <w:t>As demandas atendidas pelos serviços gerais e de manutenção, encontram-se informatizados, sendo que as informações gerenciais disponibilizadas necessitam de um refinamento para que possam ser produzidos os resultados almejados na gestão destas informações.</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Padronizar a manutenção de equipamentos específicos, através de contratação de prestação de serviços na modalidade de SRP.</w:t>
      </w:r>
    </w:p>
    <w:p>
      <w:pPr>
        <w:pStyle w:val="Normal1"/>
        <w:spacing w:lineRule="auto" w:line="360"/>
        <w:jc w:val="both"/>
        <w:rPr>
          <w:rFonts w:ascii="Arial" w:hAnsi="Arial" w:cs="Arial"/>
          <w:color w:val="000000" w:themeColor="text1"/>
        </w:rPr>
      </w:pPr>
      <w:r>
        <w:rPr>
          <w:rFonts w:cs="Arial"/>
          <w:color w:val="000000" w:themeColor="text1"/>
        </w:rPr>
        <w:t>Ação foi direcionada com a contratação de profissionais da área para atendimento destas demandas, como a manutenção eletroeletrônica e serviços de refrigeração.</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Transferir a Divisão de Máquinas e Transportes, tanto o administrativo quanto a oficina, para prédio próprio, com estrutura adequada para as atividades do setor.</w:t>
      </w:r>
    </w:p>
    <w:p>
      <w:pPr>
        <w:pStyle w:val="Normal1"/>
        <w:spacing w:lineRule="auto" w:line="360"/>
        <w:jc w:val="both"/>
        <w:rPr>
          <w:rFonts w:ascii="Arial" w:hAnsi="Arial" w:cs="Arial"/>
          <w:color w:val="000000" w:themeColor="text1"/>
        </w:rPr>
      </w:pPr>
      <w:r>
        <w:rPr>
          <w:rFonts w:cs="Arial"/>
          <w:color w:val="000000" w:themeColor="text1"/>
        </w:rPr>
        <w:t>Em 2015 foi realizada a transferência da estrutura da Divisão de Máquinas e Transportes para o novo prédio, disponibilizando o espaço anteriormente utilizado para outras demandas da Administração.</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Implantar um Sistema de Gestão de Frotas para melhor controle e gestão pela Divisão de Máquinas e Transportes.</w:t>
      </w:r>
    </w:p>
    <w:p>
      <w:pPr>
        <w:pStyle w:val="Normal1"/>
        <w:spacing w:lineRule="auto" w:line="360"/>
        <w:jc w:val="both"/>
        <w:rPr>
          <w:rFonts w:ascii="Arial" w:hAnsi="Arial" w:cs="Arial"/>
          <w:color w:val="000000" w:themeColor="text1"/>
        </w:rPr>
      </w:pPr>
      <w:r>
        <w:rPr>
          <w:rFonts w:cs="Arial"/>
          <w:color w:val="000000" w:themeColor="text1"/>
        </w:rPr>
        <w:t xml:space="preserve">Encontra-se em funcionamento o SIGA – módulo transportes, que possui ferramentas que propicia a gestão da frota da instituição. O módulo propicia informações que são de extrema importância para o gerenciamento do atendimento dos serviços de transportes na UFVJM.  </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 xml:space="preserve">Dar continuidade a organização do arquivo central da Divisão de Arquivo e Documentação, bem como implantar o setor de microfilmagem. </w:t>
      </w:r>
    </w:p>
    <w:p>
      <w:pPr>
        <w:pStyle w:val="Normal1"/>
        <w:spacing w:lineRule="auto" w:line="360"/>
        <w:jc w:val="both"/>
        <w:rPr>
          <w:rFonts w:ascii="Arial" w:hAnsi="Arial" w:cs="Arial"/>
          <w:color w:val="000000" w:themeColor="text1"/>
        </w:rPr>
      </w:pPr>
      <w:r>
        <w:rPr>
          <w:rFonts w:cs="Arial"/>
          <w:color w:val="000000" w:themeColor="text1"/>
        </w:rPr>
        <w:t>Os trabalhos de organização do arquivo vêm sendo desenvolvidos, para que seja implementado o setor de microfilmagem, em conjunto com as ações de desenvolvimento das atividades de protocolo, quais sejam: o recebimento, a classificação, o registro, a distribuição, o controle da tramitação, a expedição e a autuação de documentos avulsos para formação de processos, e os respectivos procedimentos legais decorrentes.</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Implantar um Sistema de vigilância monitorada por câmeras, em parceria com a DTI, para maior segurança de pessoas e do patrimônio da UFVJM.</w:t>
      </w:r>
    </w:p>
    <w:p>
      <w:pPr>
        <w:pStyle w:val="Normal1"/>
        <w:spacing w:lineRule="auto" w:line="360"/>
        <w:jc w:val="both"/>
        <w:rPr>
          <w:rFonts w:ascii="Arial" w:hAnsi="Arial" w:cs="Arial"/>
          <w:color w:val="000000" w:themeColor="text1"/>
        </w:rPr>
      </w:pPr>
      <w:r>
        <w:rPr>
          <w:rFonts w:cs="Arial"/>
          <w:color w:val="000000" w:themeColor="text1"/>
        </w:rPr>
        <w:t xml:space="preserve">Em fase preliminar, estão os estudos para a elaboração de projetos para a implantação do sistema de vigilância monitorada por câmeras o </w:t>
      </w:r>
      <w:r>
        <w:rPr>
          <w:rFonts w:cs="Arial"/>
          <w:i/>
          <w:color w:val="000000" w:themeColor="text1"/>
        </w:rPr>
        <w:t>campus</w:t>
      </w:r>
      <w:r>
        <w:rPr>
          <w:rFonts w:cs="Arial"/>
          <w:color w:val="000000" w:themeColor="text1"/>
        </w:rPr>
        <w:t xml:space="preserve"> JK.  </w:t>
      </w:r>
    </w:p>
    <w:p>
      <w:pPr>
        <w:pStyle w:val="ListParagraph"/>
        <w:numPr>
          <w:ilvl w:val="0"/>
          <w:numId w:val="12"/>
        </w:numPr>
        <w:spacing w:lineRule="auto" w:line="360" w:before="0" w:after="0"/>
        <w:ind w:left="0" w:hanging="360"/>
        <w:contextualSpacing/>
        <w:jc w:val="both"/>
        <w:rPr>
          <w:rFonts w:ascii="Arial" w:hAnsi="Arial" w:cs="Arial"/>
          <w:b/>
          <w:b/>
          <w:color w:val="000000" w:themeColor="text1"/>
        </w:rPr>
      </w:pPr>
      <w:r>
        <w:rPr>
          <w:rFonts w:cs="Arial"/>
          <w:b/>
          <w:color w:val="000000" w:themeColor="text1"/>
        </w:rPr>
        <w:t>Desenvolver metodologia sistemática de qualificação dos servidores públicos e dos servidores que prestam serviços através de empresas terceirizadas.</w:t>
      </w:r>
    </w:p>
    <w:p>
      <w:pPr>
        <w:pStyle w:val="Normal1"/>
        <w:spacing w:lineRule="auto" w:line="360"/>
        <w:jc w:val="both"/>
        <w:rPr>
          <w:rFonts w:ascii="Arial" w:hAnsi="Arial" w:cs="Arial"/>
          <w:color w:val="000000" w:themeColor="text1"/>
        </w:rPr>
      </w:pPr>
      <w:r>
        <w:rPr>
          <w:rFonts w:cs="Arial"/>
          <w:color w:val="000000" w:themeColor="text1"/>
        </w:rPr>
        <w:t>Todos os servidores lotados na Diretoria de Administração são incentivados a se qualificarem, para que desempenhem suas atribuições com segurança, buscando desta forma a prestação de serviços cada vez mais eficientes à Comunidade Acadêmica.</w:t>
      </w:r>
    </w:p>
    <w:p>
      <w:pPr>
        <w:pStyle w:val="Normal1"/>
        <w:spacing w:lineRule="auto" w:line="360"/>
        <w:ind w:firstLine="708"/>
        <w:jc w:val="both"/>
        <w:rPr>
          <w:rFonts w:ascii="Arial" w:hAnsi="Arial" w:cs="Arial"/>
          <w:color w:val="000000" w:themeColor="text1"/>
        </w:rPr>
      </w:pPr>
      <w:r>
        <w:rPr>
          <w:rFonts w:cs="Arial"/>
          <w:color w:val="000000" w:themeColor="text1"/>
        </w:rPr>
        <w:t>Nos termos inicialmente apresentados, foram estabelecidas as metas acima, e apresentadas as situações destas proposições, considerando a sua evolução no decorrer da implementação do PDI 2012/2016, a seguir serão apresentadas as reestruturações orgânicas implementadas na Diretoria de Administração, que nortearam as suas atividades, passando desta forma a estabelecer sua missão.</w:t>
      </w:r>
    </w:p>
    <w:p>
      <w:pPr>
        <w:pStyle w:val="Normal1"/>
        <w:spacing w:lineRule="auto" w:line="360"/>
        <w:ind w:firstLine="708"/>
        <w:jc w:val="both"/>
        <w:rPr>
          <w:rFonts w:ascii="Arial" w:hAnsi="Arial" w:cs="Arial"/>
          <w:color w:val="000000" w:themeColor="text1"/>
        </w:rPr>
      </w:pPr>
      <w:r>
        <w:rPr>
          <w:rFonts w:cs="Arial"/>
          <w:color w:val="000000" w:themeColor="text1"/>
        </w:rPr>
        <w:t>Desta forma, considerando a reestruturação no organograma implementada naPró-reitoria de Administração – ProAd, foi alterada a estrutura da Diretoria de Administração, passando a ser composta pela Divisão de Gestão de Espaços e Terceiros, Divisão de Apoio Técnico e Fiscalização de Terceirizados, Divisão de Protocolo, Divisão de Serviços Gráficos, Divisão de Máquinas e Transportes e Divisão de Fazendas, sendo atribuídas a cada uma destas divisões atividades correlatas.</w:t>
      </w:r>
    </w:p>
    <w:p>
      <w:pPr>
        <w:pStyle w:val="Normal1"/>
        <w:spacing w:lineRule="auto" w:line="360"/>
        <w:ind w:firstLine="708"/>
        <w:jc w:val="both"/>
        <w:rPr>
          <w:rFonts w:ascii="Arial" w:hAnsi="Arial" w:cs="Arial"/>
          <w:color w:val="000000" w:themeColor="text1"/>
        </w:rPr>
      </w:pPr>
      <w:r>
        <w:rPr>
          <w:rFonts w:cs="Arial"/>
          <w:color w:val="000000" w:themeColor="text1"/>
        </w:rPr>
        <w:t>A seguir serão relacionadas as atribuições de cada divisão, nos termos estabelecidos no norma orgânica da Diretoria de Administração, conforme serão apresentadas, são atribuições inerentes a cada divisão.</w:t>
      </w:r>
    </w:p>
    <w:p>
      <w:pPr>
        <w:pStyle w:val="ListParagraph"/>
        <w:numPr>
          <w:ilvl w:val="0"/>
          <w:numId w:val="13"/>
        </w:numPr>
        <w:spacing w:lineRule="auto" w:line="360" w:before="0" w:after="0"/>
        <w:ind w:left="0" w:hanging="360"/>
        <w:contextualSpacing/>
        <w:jc w:val="both"/>
        <w:rPr>
          <w:rFonts w:ascii="Arial" w:hAnsi="Arial" w:cs="Arial"/>
          <w:color w:val="000000" w:themeColor="text1"/>
        </w:rPr>
      </w:pPr>
      <w:r>
        <w:rPr>
          <w:rFonts w:cs="Arial"/>
          <w:color w:val="000000" w:themeColor="text1"/>
        </w:rPr>
        <w:t xml:space="preserve">A Divisão de Gestão de Espaços coordena as atividades correlacionadas à gestão dos espaços nos </w:t>
      </w:r>
      <w:r>
        <w:rPr>
          <w:rFonts w:cs="Arial"/>
          <w:i/>
          <w:color w:val="000000" w:themeColor="text1"/>
        </w:rPr>
        <w:t>campi</w:t>
      </w:r>
      <w:r>
        <w:rPr>
          <w:rFonts w:cs="Arial"/>
          <w:color w:val="000000" w:themeColor="text1"/>
        </w:rPr>
        <w:t xml:space="preserve"> de Diamantina, partindo como premissa as competências de: </w:t>
      </w:r>
    </w:p>
    <w:p>
      <w:pPr>
        <w:pStyle w:val="Default"/>
        <w:spacing w:lineRule="auto" w:line="360"/>
        <w:jc w:val="both"/>
        <w:rPr>
          <w:color w:val="000000" w:themeColor="text1"/>
        </w:rPr>
      </w:pPr>
      <w:r>
        <w:rPr>
          <w:color w:val="000000" w:themeColor="text1"/>
        </w:rPr>
        <w:t>I. manter os espaços físicos internos e externos situados nas dependências da Universidade;</w:t>
      </w:r>
    </w:p>
    <w:p>
      <w:pPr>
        <w:pStyle w:val="Default"/>
        <w:spacing w:lineRule="auto" w:line="360"/>
        <w:jc w:val="both"/>
        <w:rPr>
          <w:color w:val="000000" w:themeColor="text1"/>
        </w:rPr>
      </w:pPr>
      <w:r>
        <w:rPr>
          <w:color w:val="000000" w:themeColor="text1"/>
        </w:rPr>
        <w:t>II. coordenar, avaliar e fiscalizar a utilização adequada dos espaços, garantindo a integridade e a manutenção dos mesmos;</w:t>
      </w:r>
    </w:p>
    <w:p>
      <w:pPr>
        <w:pStyle w:val="Default"/>
        <w:spacing w:lineRule="auto" w:line="360"/>
        <w:jc w:val="both"/>
        <w:rPr>
          <w:color w:val="000000" w:themeColor="text1"/>
        </w:rPr>
      </w:pPr>
      <w:r>
        <w:rPr>
          <w:color w:val="000000" w:themeColor="text1"/>
        </w:rPr>
        <w:t>III. acompanhar a prestação de serviços de limpeza e conservação da Universidade;</w:t>
      </w:r>
    </w:p>
    <w:p>
      <w:pPr>
        <w:pStyle w:val="Default"/>
        <w:spacing w:lineRule="auto" w:line="360"/>
        <w:jc w:val="both"/>
        <w:rPr>
          <w:color w:val="000000" w:themeColor="text1"/>
        </w:rPr>
      </w:pPr>
      <w:r>
        <w:rPr>
          <w:color w:val="000000" w:themeColor="text1"/>
        </w:rPr>
        <w:t>IV. planejar, coordenar e avaliar a manutenção de áreas verdes, podas e jardinagem;</w:t>
      </w:r>
    </w:p>
    <w:p>
      <w:pPr>
        <w:pStyle w:val="Default"/>
        <w:spacing w:lineRule="auto" w:line="360"/>
        <w:jc w:val="both"/>
        <w:rPr>
          <w:color w:val="000000" w:themeColor="text1"/>
        </w:rPr>
      </w:pPr>
      <w:r>
        <w:rPr>
          <w:color w:val="000000" w:themeColor="text1"/>
        </w:rPr>
        <w:t>V. normatizar e construir os fluxos das atividades do setor;</w:t>
      </w:r>
    </w:p>
    <w:p>
      <w:pPr>
        <w:pStyle w:val="Default"/>
        <w:spacing w:lineRule="auto" w:line="360"/>
        <w:jc w:val="both"/>
        <w:rPr>
          <w:color w:val="000000" w:themeColor="text1"/>
        </w:rPr>
      </w:pPr>
      <w:r>
        <w:rPr>
          <w:color w:val="000000" w:themeColor="text1"/>
        </w:rPr>
        <w:t>VI. acompanhar e zelar pelo bom funcionamento dos serviços prestados à comunidade;</w:t>
      </w:r>
    </w:p>
    <w:p>
      <w:pPr>
        <w:pStyle w:val="Default"/>
        <w:spacing w:lineRule="auto" w:line="360"/>
        <w:jc w:val="both"/>
        <w:rPr>
          <w:color w:val="000000" w:themeColor="text1"/>
        </w:rPr>
      </w:pPr>
      <w:r>
        <w:rPr>
          <w:color w:val="000000" w:themeColor="text1"/>
        </w:rPr>
        <w:t>VII. providenciar termos de referência e orçamentos para licitação dos serviços relacionados à manutenção dos espaços e eventos;</w:t>
      </w:r>
    </w:p>
    <w:p>
      <w:pPr>
        <w:pStyle w:val="Default"/>
        <w:spacing w:lineRule="auto" w:line="360"/>
        <w:jc w:val="both"/>
        <w:rPr>
          <w:color w:val="000000" w:themeColor="text1"/>
        </w:rPr>
      </w:pPr>
      <w:r>
        <w:rPr>
          <w:color w:val="000000" w:themeColor="text1"/>
        </w:rPr>
        <w:t>VIII. providenciar termos de referência e orçamentos para licitação de material permanente e de consumo relacionados à manutenção dos espaços e eventos;</w:t>
      </w:r>
    </w:p>
    <w:p>
      <w:pPr>
        <w:pStyle w:val="Default"/>
        <w:spacing w:lineRule="auto" w:line="360"/>
        <w:jc w:val="both"/>
        <w:rPr>
          <w:color w:val="000000" w:themeColor="text1"/>
        </w:rPr>
      </w:pPr>
      <w:r>
        <w:rPr>
          <w:color w:val="000000" w:themeColor="text1"/>
        </w:rPr>
        <w:t>IX. preparar espaços para eventos, providenciar e deslocar material permanente e de consumo, deslocar e coordenar pessoal de apoio e acompanhar o andamento de eventos;</w:t>
      </w:r>
    </w:p>
    <w:p>
      <w:pPr>
        <w:pStyle w:val="Default"/>
        <w:spacing w:lineRule="auto" w:line="360"/>
        <w:jc w:val="both"/>
        <w:rPr>
          <w:color w:val="000000" w:themeColor="text1"/>
        </w:rPr>
      </w:pPr>
      <w:r>
        <w:rPr>
          <w:color w:val="000000" w:themeColor="text1"/>
        </w:rPr>
        <w:t>X. acompanhar licitação e gerir os processos de aquisição de serviços e material relacionados ao setor;</w:t>
      </w:r>
    </w:p>
    <w:p>
      <w:pPr>
        <w:pStyle w:val="Default"/>
        <w:spacing w:lineRule="auto" w:line="360"/>
        <w:jc w:val="both"/>
        <w:rPr>
          <w:color w:val="000000" w:themeColor="text1"/>
        </w:rPr>
      </w:pPr>
      <w:r>
        <w:rPr>
          <w:color w:val="000000" w:themeColor="text1"/>
        </w:rPr>
        <w:t>XI. fiscalizar contratos de cessão de espaços e prestação de serviços de manutenção e a conservação;</w:t>
      </w:r>
    </w:p>
    <w:p>
      <w:pPr>
        <w:pStyle w:val="Default"/>
        <w:spacing w:lineRule="auto" w:line="360"/>
        <w:jc w:val="both"/>
        <w:rPr>
          <w:color w:val="000000" w:themeColor="text1"/>
        </w:rPr>
      </w:pPr>
      <w:r>
        <w:rPr>
          <w:color w:val="000000" w:themeColor="text1"/>
        </w:rPr>
        <w:t>XII. preparar contratos de cessão onerosa e não onerosa dos espaços da UFVJM, cedidos a terceiros para eventos, cursos, concursos;</w:t>
      </w:r>
    </w:p>
    <w:p>
      <w:pPr>
        <w:pStyle w:val="Default"/>
        <w:spacing w:lineRule="auto" w:line="360"/>
        <w:jc w:val="both"/>
        <w:rPr>
          <w:color w:val="000000" w:themeColor="text1"/>
        </w:rPr>
      </w:pPr>
      <w:r>
        <w:rPr>
          <w:color w:val="000000" w:themeColor="text1"/>
        </w:rPr>
        <w:t>XIII. informar à Diretoria de Administração as atividades realizadas e as em desenvolvimento;</w:t>
      </w:r>
    </w:p>
    <w:p>
      <w:pPr>
        <w:pStyle w:val="Default"/>
        <w:spacing w:lineRule="auto" w:line="360"/>
        <w:jc w:val="both"/>
        <w:rPr>
          <w:color w:val="000000" w:themeColor="text1"/>
        </w:rPr>
      </w:pPr>
      <w:r>
        <w:rPr>
          <w:color w:val="000000" w:themeColor="text1"/>
        </w:rPr>
        <w:t>XIV. propor a criação e revisão de instruções normativas de funcionamento da divisão.</w:t>
      </w:r>
    </w:p>
    <w:p>
      <w:pPr>
        <w:pStyle w:val="Default"/>
        <w:spacing w:lineRule="auto" w:line="360"/>
        <w:jc w:val="both"/>
        <w:rPr>
          <w:rFonts w:eastAsia="Calibri"/>
          <w:color w:val="000000" w:themeColor="text1"/>
        </w:rPr>
      </w:pPr>
      <w:r>
        <w:rPr>
          <w:rFonts w:eastAsia="Calibri"/>
          <w:color w:val="000000" w:themeColor="text1"/>
        </w:rPr>
      </w:r>
    </w:p>
    <w:p>
      <w:pPr>
        <w:pStyle w:val="ListParagraph"/>
        <w:numPr>
          <w:ilvl w:val="0"/>
          <w:numId w:val="13"/>
        </w:numPr>
        <w:spacing w:lineRule="auto" w:line="360" w:before="0" w:after="0"/>
        <w:ind w:left="0" w:hanging="360"/>
        <w:contextualSpacing/>
        <w:jc w:val="both"/>
        <w:rPr>
          <w:rFonts w:ascii="Arial" w:hAnsi="Arial" w:cs="Arial"/>
          <w:color w:val="000000" w:themeColor="text1"/>
        </w:rPr>
      </w:pPr>
      <w:r>
        <w:rPr>
          <w:rFonts w:cs="Arial"/>
          <w:color w:val="000000" w:themeColor="text1"/>
        </w:rPr>
        <w:t>Quanto à Divisão de Apoio Técnico e Fiscalização de Terceirizados, dentre suas competências está:</w:t>
      </w:r>
    </w:p>
    <w:p>
      <w:pPr>
        <w:pStyle w:val="Default"/>
        <w:spacing w:lineRule="auto" w:line="360"/>
        <w:jc w:val="both"/>
        <w:rPr>
          <w:color w:val="000000" w:themeColor="text1"/>
        </w:rPr>
      </w:pPr>
      <w:r>
        <w:rPr>
          <w:color w:val="000000" w:themeColor="text1"/>
        </w:rPr>
        <w:t>I. viabilizar a contratação de empresas de serviços terceirizados por meio de processo licitatório, de acordo com as necessidades identificadas pela Administração Superior da Universidade;</w:t>
      </w:r>
    </w:p>
    <w:p>
      <w:pPr>
        <w:pStyle w:val="Default"/>
        <w:spacing w:lineRule="auto" w:line="360"/>
        <w:jc w:val="both"/>
        <w:rPr>
          <w:color w:val="000000" w:themeColor="text1"/>
        </w:rPr>
      </w:pPr>
      <w:r>
        <w:rPr>
          <w:color w:val="000000" w:themeColor="text1"/>
        </w:rPr>
        <w:t>II. acompanhar os processos de contratação;</w:t>
      </w:r>
    </w:p>
    <w:p>
      <w:pPr>
        <w:pStyle w:val="Default"/>
        <w:spacing w:lineRule="auto" w:line="360"/>
        <w:jc w:val="both"/>
        <w:rPr>
          <w:color w:val="000000" w:themeColor="text1"/>
        </w:rPr>
      </w:pPr>
      <w:r>
        <w:rPr>
          <w:color w:val="000000" w:themeColor="text1"/>
        </w:rPr>
        <w:t>III. supervisionar, acompanhar e fiscalizar o cumprimento das obrigações contratuais das atividades desenvolvidas pelos prestadores de serviços das empresas terceirizadas;</w:t>
      </w:r>
    </w:p>
    <w:p>
      <w:pPr>
        <w:pStyle w:val="Default"/>
        <w:spacing w:lineRule="auto" w:line="360"/>
        <w:jc w:val="both"/>
        <w:rPr>
          <w:color w:val="000000" w:themeColor="text1"/>
        </w:rPr>
      </w:pPr>
      <w:r>
        <w:rPr>
          <w:color w:val="000000" w:themeColor="text1"/>
        </w:rPr>
        <w:t>IV. identificar necessidades, planejar, desenvolver e avaliar ações educacionais e realizar o acompanhamento da fiscalização dos serviços;</w:t>
      </w:r>
    </w:p>
    <w:p>
      <w:pPr>
        <w:pStyle w:val="Default"/>
        <w:spacing w:lineRule="auto" w:line="360"/>
        <w:jc w:val="both"/>
        <w:rPr>
          <w:color w:val="000000" w:themeColor="text1"/>
        </w:rPr>
      </w:pPr>
      <w:r>
        <w:rPr>
          <w:color w:val="000000" w:themeColor="text1"/>
        </w:rPr>
        <w:t>V. emitir pareceres técnicos relativos às planilhas de custos e formação de preços nos processos de contratação, repactuação ou reequilíbrio relativos à prestação de serviços terceirizados no âmbito da UFVJM;</w:t>
      </w:r>
    </w:p>
    <w:p>
      <w:pPr>
        <w:pStyle w:val="Default"/>
        <w:spacing w:lineRule="auto" w:line="360"/>
        <w:jc w:val="both"/>
        <w:rPr>
          <w:color w:val="000000" w:themeColor="text1"/>
        </w:rPr>
      </w:pPr>
      <w:r>
        <w:rPr>
          <w:color w:val="000000" w:themeColor="text1"/>
        </w:rPr>
        <w:t>VI. propor a criação e revisão de instruções normativas de funcionamento da divisão.</w:t>
      </w:r>
    </w:p>
    <w:p>
      <w:pPr>
        <w:pStyle w:val="Default"/>
        <w:spacing w:lineRule="auto" w:line="360"/>
        <w:jc w:val="both"/>
        <w:rPr>
          <w:rFonts w:eastAsia="Calibri"/>
          <w:color w:val="000000" w:themeColor="text1"/>
        </w:rPr>
      </w:pPr>
      <w:r>
        <w:rPr>
          <w:rFonts w:eastAsia="Calibri"/>
          <w:color w:val="000000" w:themeColor="text1"/>
        </w:rPr>
      </w:r>
    </w:p>
    <w:p>
      <w:pPr>
        <w:pStyle w:val="ListParagraph"/>
        <w:numPr>
          <w:ilvl w:val="0"/>
          <w:numId w:val="13"/>
        </w:numPr>
        <w:spacing w:lineRule="auto" w:line="360" w:before="0" w:after="0"/>
        <w:ind w:left="0" w:hanging="360"/>
        <w:contextualSpacing/>
        <w:jc w:val="both"/>
        <w:rPr>
          <w:rFonts w:ascii="Arial" w:hAnsi="Arial" w:cs="Arial"/>
          <w:color w:val="000000" w:themeColor="text1"/>
        </w:rPr>
      </w:pPr>
      <w:r>
        <w:rPr>
          <w:rFonts w:cs="Arial"/>
          <w:color w:val="000000" w:themeColor="text1"/>
        </w:rPr>
        <w:t>Na Divisão de Protocolo, são desenvolvidas atividades de apoio a UFVJM na gestão documental, com as seguintes competências:</w:t>
      </w:r>
    </w:p>
    <w:p>
      <w:pPr>
        <w:pStyle w:val="Default"/>
        <w:spacing w:lineRule="auto" w:line="360"/>
        <w:jc w:val="both"/>
        <w:rPr>
          <w:color w:val="000000" w:themeColor="text1"/>
        </w:rPr>
      </w:pPr>
      <w:r>
        <w:rPr>
          <w:color w:val="000000" w:themeColor="text1"/>
        </w:rPr>
        <w:t>I. gerenciar o registro de documentos, correspondências, autuação de processos e tramitação entre órgãos e unidades;</w:t>
      </w:r>
    </w:p>
    <w:p>
      <w:pPr>
        <w:pStyle w:val="Default"/>
        <w:spacing w:lineRule="auto" w:line="360"/>
        <w:jc w:val="both"/>
        <w:rPr>
          <w:color w:val="000000" w:themeColor="text1"/>
        </w:rPr>
      </w:pPr>
      <w:r>
        <w:rPr>
          <w:color w:val="000000" w:themeColor="text1"/>
        </w:rPr>
        <w:t>II. orientar as operações técnicas de protocolo a documentos recebidos e a formação e gerenciamento de processos, bem como o seu acesso;</w:t>
      </w:r>
    </w:p>
    <w:p>
      <w:pPr>
        <w:pStyle w:val="Default"/>
        <w:spacing w:lineRule="auto" w:line="360"/>
        <w:jc w:val="both"/>
        <w:rPr>
          <w:color w:val="000000" w:themeColor="text1"/>
        </w:rPr>
      </w:pPr>
      <w:r>
        <w:rPr>
          <w:color w:val="000000" w:themeColor="text1"/>
        </w:rPr>
        <w:t>III. promover a capacitação e o acesso às atividades dos serviços de protocolo aos servidores da UFVJM;</w:t>
      </w:r>
    </w:p>
    <w:p>
      <w:pPr>
        <w:pStyle w:val="Default"/>
        <w:spacing w:lineRule="auto" w:line="360"/>
        <w:jc w:val="both"/>
        <w:rPr>
          <w:color w:val="000000" w:themeColor="text1"/>
        </w:rPr>
      </w:pPr>
      <w:r>
        <w:rPr>
          <w:color w:val="000000" w:themeColor="text1"/>
        </w:rPr>
        <w:t>IV. monitorar o desenvolvimento dos serviços para garantir a qualidade e autenticidade dos processos autuados e dos documentos ou correspondências registrados pela UFVJM;</w:t>
      </w:r>
    </w:p>
    <w:p>
      <w:pPr>
        <w:pStyle w:val="Default"/>
        <w:spacing w:lineRule="auto" w:line="360"/>
        <w:jc w:val="both"/>
        <w:rPr>
          <w:color w:val="000000" w:themeColor="text1"/>
        </w:rPr>
      </w:pPr>
      <w:r>
        <w:rPr>
          <w:color w:val="000000" w:themeColor="text1"/>
        </w:rPr>
        <w:t>V. orientar as atividades exercidas pelos Protocolos Setoriais;</w:t>
      </w:r>
    </w:p>
    <w:p>
      <w:pPr>
        <w:pStyle w:val="Default"/>
        <w:spacing w:lineRule="auto" w:line="360"/>
        <w:jc w:val="both"/>
        <w:rPr>
          <w:color w:val="000000" w:themeColor="text1"/>
        </w:rPr>
      </w:pPr>
      <w:r>
        <w:rPr>
          <w:color w:val="000000" w:themeColor="text1"/>
        </w:rPr>
        <w:t>VI. receber, triar e distribuir as correspondências da UFVJM;</w:t>
      </w:r>
    </w:p>
    <w:p>
      <w:pPr>
        <w:pStyle w:val="Default"/>
        <w:spacing w:lineRule="auto" w:line="360"/>
        <w:jc w:val="both"/>
        <w:rPr>
          <w:color w:val="000000" w:themeColor="text1"/>
        </w:rPr>
      </w:pPr>
      <w:r>
        <w:rPr>
          <w:color w:val="000000" w:themeColor="text1"/>
        </w:rPr>
        <w:t>VII. implantar as diretrizes gerais e das instruções normativas de procedimentos relativos ao setor;</w:t>
      </w:r>
    </w:p>
    <w:p>
      <w:pPr>
        <w:pStyle w:val="Default"/>
        <w:spacing w:lineRule="auto" w:line="360"/>
        <w:jc w:val="both"/>
        <w:rPr>
          <w:color w:val="000000" w:themeColor="text1"/>
        </w:rPr>
      </w:pPr>
      <w:r>
        <w:rPr>
          <w:color w:val="000000" w:themeColor="text1"/>
        </w:rPr>
        <w:t>VIII. coordenar a operação de expedição de documentos por meio de malotes visando organizar e agilizar a entrega de documentos entre unidades e órgãos da UFVJM;</w:t>
      </w:r>
    </w:p>
    <w:p>
      <w:pPr>
        <w:pStyle w:val="Default"/>
        <w:spacing w:lineRule="auto" w:line="360"/>
        <w:jc w:val="both"/>
        <w:rPr>
          <w:color w:val="000000" w:themeColor="text1"/>
        </w:rPr>
      </w:pPr>
      <w:r>
        <w:rPr>
          <w:color w:val="000000" w:themeColor="text1"/>
        </w:rPr>
        <w:t>IX. propor a criação e revisão de instruções normativas de funcionamento da divisão.</w:t>
      </w:r>
    </w:p>
    <w:p>
      <w:pPr>
        <w:pStyle w:val="Default"/>
        <w:spacing w:lineRule="auto" w:line="360"/>
        <w:jc w:val="both"/>
        <w:rPr>
          <w:rFonts w:eastAsia="Calibri"/>
          <w:color w:val="000000" w:themeColor="text1"/>
        </w:rPr>
      </w:pPr>
      <w:r>
        <w:rPr>
          <w:rFonts w:eastAsia="Calibri"/>
          <w:color w:val="000000" w:themeColor="text1"/>
        </w:rPr>
      </w:r>
    </w:p>
    <w:p>
      <w:pPr>
        <w:pStyle w:val="ListParagraph"/>
        <w:spacing w:lineRule="auto" w:line="360" w:before="0" w:after="0"/>
        <w:ind w:left="0" w:hanging="0"/>
        <w:contextualSpacing/>
        <w:jc w:val="both"/>
        <w:rPr>
          <w:rFonts w:ascii="Arial" w:hAnsi="Arial" w:cs="Arial"/>
          <w:color w:val="000000" w:themeColor="text1"/>
        </w:rPr>
      </w:pPr>
      <w:r>
        <w:rPr>
          <w:rFonts w:cs="Arial"/>
          <w:color w:val="000000" w:themeColor="text1"/>
        </w:rPr>
        <w:t>Na estrutura da Divisão de Protocolo encontra-se a Seção de Arquivo Geral que possui em suas competências:</w:t>
      </w:r>
    </w:p>
    <w:p>
      <w:pPr>
        <w:pStyle w:val="Default"/>
        <w:spacing w:lineRule="auto" w:line="360"/>
        <w:jc w:val="both"/>
        <w:rPr>
          <w:color w:val="000000" w:themeColor="text1"/>
        </w:rPr>
      </w:pPr>
      <w:r>
        <w:rPr>
          <w:color w:val="000000" w:themeColor="text1"/>
        </w:rPr>
        <w:t>I. estabelecer diretrizes para o funcionamento do arquivo, visando à gestão, à preservação e o acesso aos documentos da UFVJM;</w:t>
      </w:r>
    </w:p>
    <w:p>
      <w:pPr>
        <w:pStyle w:val="Default"/>
        <w:spacing w:lineRule="auto" w:line="360"/>
        <w:jc w:val="both"/>
        <w:rPr>
          <w:color w:val="000000" w:themeColor="text1"/>
        </w:rPr>
      </w:pPr>
      <w:r>
        <w:rPr>
          <w:color w:val="000000" w:themeColor="text1"/>
        </w:rPr>
        <w:t>II. gerenciar, organizar, preservar e viabilizar o funcionamento do arquivo geral, garantindo a sua segurança e integridade;</w:t>
      </w:r>
    </w:p>
    <w:p>
      <w:pPr>
        <w:pStyle w:val="Default"/>
        <w:spacing w:lineRule="auto" w:line="360"/>
        <w:jc w:val="both"/>
        <w:rPr>
          <w:color w:val="000000" w:themeColor="text1"/>
        </w:rPr>
      </w:pPr>
      <w:r>
        <w:rPr>
          <w:color w:val="000000" w:themeColor="text1"/>
        </w:rPr>
        <w:t>III. gerenciar e responder pelos serviços de arquivo, guarda, custódia, acondicionamento, armazenamento, microfilmagem, digitalização e assinatura digital dos documentos a serem arquivados;</w:t>
      </w:r>
    </w:p>
    <w:p>
      <w:pPr>
        <w:pStyle w:val="Default"/>
        <w:spacing w:lineRule="auto" w:line="360"/>
        <w:jc w:val="both"/>
        <w:rPr>
          <w:color w:val="000000" w:themeColor="text1"/>
        </w:rPr>
      </w:pPr>
      <w:r>
        <w:rPr>
          <w:color w:val="000000" w:themeColor="text1"/>
        </w:rPr>
        <w:t>IV. orientar os arquivos das unidades quanto ao armazenamento, conservação e a recuperação de documentos vigentes, produzidos e/ou recebidos em cumprimento das ações das unidades e órgãos, incluindo a destinação;</w:t>
      </w:r>
    </w:p>
    <w:p>
      <w:pPr>
        <w:pStyle w:val="Default"/>
        <w:spacing w:lineRule="auto" w:line="360"/>
        <w:jc w:val="both"/>
        <w:rPr>
          <w:color w:val="000000" w:themeColor="text1"/>
        </w:rPr>
      </w:pPr>
      <w:r>
        <w:rPr>
          <w:color w:val="000000" w:themeColor="text1"/>
        </w:rPr>
        <w:t>V. dispor à pesquisa os documentos de valor histórico da Universidade, mediante autorização do órgão produtor;</w:t>
      </w:r>
    </w:p>
    <w:p>
      <w:pPr>
        <w:pStyle w:val="Default"/>
        <w:spacing w:lineRule="auto" w:line="360"/>
        <w:jc w:val="both"/>
        <w:rPr>
          <w:color w:val="000000" w:themeColor="text1"/>
        </w:rPr>
      </w:pPr>
      <w:r>
        <w:rPr>
          <w:color w:val="000000" w:themeColor="text1"/>
        </w:rPr>
        <w:t>VI. controlar empréstimos e devoluções de documentos responsabilizando-se pela integridade e conservação do acervo documental sob sua custódia;</w:t>
      </w:r>
    </w:p>
    <w:p>
      <w:pPr>
        <w:pStyle w:val="Default"/>
        <w:spacing w:lineRule="auto" w:line="360"/>
        <w:jc w:val="both"/>
        <w:rPr>
          <w:color w:val="000000" w:themeColor="text1"/>
        </w:rPr>
      </w:pPr>
      <w:r>
        <w:rPr>
          <w:color w:val="000000" w:themeColor="text1"/>
        </w:rPr>
        <w:t>VII. participar do processo de avaliação de documentos integrando-se a Comissão Permanente de Avaliação de Documentos, bem como acompanhar os trâmites de destinação final dos mesmos, sendo o descarte ou guarda permanente;</w:t>
      </w:r>
    </w:p>
    <w:p>
      <w:pPr>
        <w:pStyle w:val="Default"/>
        <w:spacing w:lineRule="auto" w:line="360"/>
        <w:jc w:val="both"/>
        <w:rPr>
          <w:color w:val="000000" w:themeColor="text1"/>
        </w:rPr>
      </w:pPr>
      <w:r>
        <w:rPr>
          <w:color w:val="000000" w:themeColor="text1"/>
        </w:rPr>
        <w:t>VIII. proceder e/ou acompanhar a aplicação de Tabelas de Temporalidade de Documentos, aprovadas por autoridades competentes, em todas as fases do arquivo;</w:t>
      </w:r>
    </w:p>
    <w:p>
      <w:pPr>
        <w:pStyle w:val="Default"/>
        <w:spacing w:lineRule="auto" w:line="360"/>
        <w:jc w:val="both"/>
        <w:rPr>
          <w:color w:val="000000" w:themeColor="text1"/>
        </w:rPr>
      </w:pPr>
      <w:r>
        <w:rPr>
          <w:color w:val="000000" w:themeColor="text1"/>
        </w:rPr>
        <w:t>IX. elaborar instrumentos de pesquisa com vistas a divulgação do acervo arquivístico e a disseminação da informação;</w:t>
      </w:r>
    </w:p>
    <w:p>
      <w:pPr>
        <w:pStyle w:val="Default"/>
        <w:spacing w:lineRule="auto" w:line="360"/>
        <w:jc w:val="both"/>
        <w:rPr>
          <w:color w:val="000000" w:themeColor="text1"/>
        </w:rPr>
      </w:pPr>
      <w:r>
        <w:rPr>
          <w:color w:val="000000" w:themeColor="text1"/>
        </w:rPr>
        <w:t>X. prestar informações e subsidiar a administração da Universidade com base nos documentos permanentes;</w:t>
      </w:r>
    </w:p>
    <w:p>
      <w:pPr>
        <w:pStyle w:val="Default"/>
        <w:spacing w:lineRule="auto" w:line="360"/>
        <w:jc w:val="both"/>
        <w:rPr>
          <w:color w:val="000000" w:themeColor="text1"/>
        </w:rPr>
      </w:pPr>
      <w:r>
        <w:rPr>
          <w:color w:val="000000" w:themeColor="text1"/>
        </w:rPr>
        <w:t>XI. atender a pesquisa pública, baseando-se na Lei de Acesso a Informação.</w:t>
      </w:r>
    </w:p>
    <w:p>
      <w:pPr>
        <w:pStyle w:val="Default"/>
        <w:spacing w:lineRule="auto" w:line="360"/>
        <w:jc w:val="both"/>
        <w:rPr>
          <w:rFonts w:eastAsia="Calibri"/>
          <w:color w:val="000000" w:themeColor="text1"/>
        </w:rPr>
      </w:pPr>
      <w:r>
        <w:rPr>
          <w:rFonts w:eastAsia="Calibri"/>
          <w:color w:val="000000" w:themeColor="text1"/>
        </w:rPr>
      </w:r>
    </w:p>
    <w:p>
      <w:pPr>
        <w:pStyle w:val="ListParagraph"/>
        <w:numPr>
          <w:ilvl w:val="0"/>
          <w:numId w:val="13"/>
        </w:numPr>
        <w:spacing w:lineRule="auto" w:line="360" w:before="0" w:after="0"/>
        <w:ind w:left="0" w:hanging="360"/>
        <w:contextualSpacing/>
        <w:jc w:val="both"/>
        <w:rPr>
          <w:rFonts w:ascii="Arial" w:hAnsi="Arial" w:cs="Arial"/>
          <w:bCs/>
          <w:color w:val="000000" w:themeColor="text1"/>
        </w:rPr>
      </w:pPr>
      <w:r>
        <w:rPr>
          <w:rFonts w:cs="Arial"/>
          <w:bCs/>
          <w:color w:val="000000" w:themeColor="text1"/>
        </w:rPr>
        <w:t>A Divisão de Serviços Gráficos, planeja, executa e controla diversas atividades dentro de suas competências que estão definidas no regimento, a saber:</w:t>
      </w:r>
    </w:p>
    <w:p>
      <w:pPr>
        <w:pStyle w:val="Default"/>
        <w:spacing w:lineRule="auto" w:line="360"/>
        <w:jc w:val="both"/>
        <w:rPr>
          <w:bCs/>
          <w:color w:val="000000" w:themeColor="text1"/>
        </w:rPr>
      </w:pPr>
      <w:r>
        <w:rPr>
          <w:bCs/>
          <w:color w:val="000000" w:themeColor="text1"/>
        </w:rPr>
        <w:t>I. acompanhar o processamento de cópias no âmbito da UFVJM e o contrato de locação e manutenção das copiadoras diretamente ligadas à Administração;</w:t>
      </w:r>
    </w:p>
    <w:p>
      <w:pPr>
        <w:pStyle w:val="Default"/>
        <w:spacing w:lineRule="auto" w:line="360"/>
        <w:jc w:val="both"/>
        <w:rPr>
          <w:bCs/>
          <w:color w:val="000000" w:themeColor="text1"/>
        </w:rPr>
      </w:pPr>
      <w:r>
        <w:rPr>
          <w:bCs/>
          <w:color w:val="000000" w:themeColor="text1"/>
        </w:rPr>
        <w:t>II. normatizar e construir os fluxos das atividades do setor;</w:t>
      </w:r>
    </w:p>
    <w:p>
      <w:pPr>
        <w:pStyle w:val="Default"/>
        <w:spacing w:lineRule="auto" w:line="360"/>
        <w:jc w:val="both"/>
        <w:rPr>
          <w:bCs/>
          <w:color w:val="000000" w:themeColor="text1"/>
        </w:rPr>
      </w:pPr>
      <w:r>
        <w:rPr>
          <w:bCs/>
          <w:color w:val="000000" w:themeColor="text1"/>
        </w:rPr>
        <w:t>III. dar suporte e prestar serviços na área gráfica, à Administração e a comunidade universitária na forma das normas internas e legislação vigente;</w:t>
      </w:r>
    </w:p>
    <w:p>
      <w:pPr>
        <w:pStyle w:val="Default"/>
        <w:spacing w:lineRule="auto" w:line="360"/>
        <w:jc w:val="both"/>
        <w:rPr>
          <w:bCs/>
          <w:color w:val="000000" w:themeColor="text1"/>
        </w:rPr>
      </w:pPr>
      <w:r>
        <w:rPr>
          <w:bCs/>
          <w:color w:val="000000" w:themeColor="text1"/>
        </w:rPr>
        <w:t>IV. planejar e orientar a confecção e a expedição de obras de trabalhos gráficos para todos os setores de atividades da Universidade;</w:t>
      </w:r>
    </w:p>
    <w:p>
      <w:pPr>
        <w:pStyle w:val="Default"/>
        <w:spacing w:lineRule="auto" w:line="360"/>
        <w:jc w:val="both"/>
        <w:rPr>
          <w:bCs/>
          <w:color w:val="000000" w:themeColor="text1"/>
        </w:rPr>
      </w:pPr>
      <w:r>
        <w:rPr>
          <w:bCs/>
          <w:color w:val="000000" w:themeColor="text1"/>
        </w:rPr>
        <w:t>V. prestar apoio à gráfica da UFVJM na impressão de livros, teses, dissertações, relatórios, revistas, cadernos, cartilhas, boletins, jornais, folders, cartazes, entre outras iniciativas, que viabilizam a difusão dos conhecimentos/atividades produzidos na universidade no âmbito acadêmico e ou administrativo;</w:t>
      </w:r>
    </w:p>
    <w:p>
      <w:pPr>
        <w:pStyle w:val="Default"/>
        <w:spacing w:lineRule="auto" w:line="360"/>
        <w:jc w:val="both"/>
        <w:rPr>
          <w:bCs/>
          <w:color w:val="000000" w:themeColor="text1"/>
        </w:rPr>
      </w:pPr>
      <w:r>
        <w:rPr>
          <w:bCs/>
          <w:color w:val="000000" w:themeColor="text1"/>
        </w:rPr>
        <w:t>VI. gerenciar as atas de Sistema de Registro de Preços dos pregões referentes a brindes e a serviços gráficos que não são produzidos na gráfica;</w:t>
      </w:r>
    </w:p>
    <w:p>
      <w:pPr>
        <w:pStyle w:val="Default"/>
        <w:spacing w:lineRule="auto" w:line="360"/>
        <w:jc w:val="both"/>
        <w:rPr>
          <w:bCs/>
          <w:color w:val="000000" w:themeColor="text1"/>
        </w:rPr>
      </w:pPr>
      <w:r>
        <w:rPr>
          <w:bCs/>
          <w:color w:val="000000" w:themeColor="text1"/>
        </w:rPr>
        <w:t>VII. propor a criação e revisão de instruções normativas de funcionamento da divisão.</w:t>
      </w:r>
    </w:p>
    <w:p>
      <w:pPr>
        <w:pStyle w:val="Default"/>
        <w:spacing w:lineRule="auto" w:line="360"/>
        <w:jc w:val="both"/>
        <w:rPr>
          <w:rFonts w:eastAsia="Calibri"/>
          <w:bCs/>
          <w:color w:val="000000" w:themeColor="text1"/>
        </w:rPr>
      </w:pPr>
      <w:r>
        <w:rPr>
          <w:rFonts w:eastAsia="Calibri"/>
          <w:bCs/>
          <w:color w:val="000000" w:themeColor="text1"/>
        </w:rPr>
      </w:r>
    </w:p>
    <w:p>
      <w:pPr>
        <w:pStyle w:val="ListParagraph"/>
        <w:numPr>
          <w:ilvl w:val="0"/>
          <w:numId w:val="13"/>
        </w:numPr>
        <w:spacing w:lineRule="auto" w:line="360" w:before="0" w:after="0"/>
        <w:ind w:left="0" w:hanging="360"/>
        <w:contextualSpacing/>
        <w:jc w:val="both"/>
        <w:rPr>
          <w:rFonts w:ascii="Arial" w:hAnsi="Arial" w:cs="Arial"/>
          <w:bCs/>
          <w:color w:val="000000" w:themeColor="text1"/>
        </w:rPr>
      </w:pPr>
      <w:r>
        <w:rPr>
          <w:rFonts w:cs="Arial"/>
          <w:bCs/>
          <w:color w:val="000000" w:themeColor="text1"/>
        </w:rPr>
        <w:t>A Divisão de Máquinas e Transportes presta os serviços correlacionadas às atividades de logística de pessoas e de cargas, em atendimento das demandas da UFVJM, sendo suas atribuições:</w:t>
      </w:r>
    </w:p>
    <w:p>
      <w:pPr>
        <w:pStyle w:val="Default"/>
        <w:spacing w:lineRule="auto" w:line="360"/>
        <w:jc w:val="both"/>
        <w:rPr>
          <w:bCs/>
          <w:color w:val="000000" w:themeColor="text1"/>
        </w:rPr>
      </w:pPr>
      <w:r>
        <w:rPr>
          <w:bCs/>
          <w:color w:val="000000" w:themeColor="text1"/>
        </w:rPr>
        <w:t>I. providenciar a renovação do licenciamento anual de veículos da Divisão em tempo hábil, obedecendo ao calendário estabelecido pelo Conselho Nacional de Transito – CONTRAN – ou pelo Departamento de Transito de Minas Gerais, bem como a quitação do Seguro Obrigatório de Danos Pessoais causados por veículos automotores de vias terrestres – DPVAT;</w:t>
      </w:r>
    </w:p>
    <w:p>
      <w:pPr>
        <w:pStyle w:val="Default"/>
        <w:spacing w:lineRule="auto" w:line="360"/>
        <w:jc w:val="both"/>
        <w:rPr>
          <w:bCs/>
          <w:color w:val="000000" w:themeColor="text1"/>
        </w:rPr>
      </w:pPr>
      <w:r>
        <w:rPr>
          <w:bCs/>
          <w:color w:val="000000" w:themeColor="text1"/>
        </w:rPr>
        <w:t>II. cumprir rotinas de acompanhamento e desembaraço, junto aos órgãos de trânsito, de todas as ocorrências envolvendo veículos oficiais da UFVJM e de obtenção do correspondente Boletim de Ocorrência junto a Delegacia de Polícia do local onde aconteceu o acidente;</w:t>
      </w:r>
    </w:p>
    <w:p>
      <w:pPr>
        <w:pStyle w:val="Default"/>
        <w:spacing w:lineRule="auto" w:line="360"/>
        <w:jc w:val="both"/>
        <w:rPr>
          <w:bCs/>
          <w:color w:val="000000" w:themeColor="text1"/>
        </w:rPr>
      </w:pPr>
      <w:r>
        <w:rPr>
          <w:bCs/>
          <w:color w:val="000000" w:themeColor="text1"/>
        </w:rPr>
        <w:t>III. promover, tão logo receba uma notificação de infração de trânsito, a identificação do correspondente infrator e providenciar a coleta de sua assinatura no auto da notificação, diretamente ou através do responsável pela unidade onde este estiver lotado, para a correspondente transferência de responsabilidade por seu pagamento;</w:t>
      </w:r>
    </w:p>
    <w:p>
      <w:pPr>
        <w:pStyle w:val="Default"/>
        <w:spacing w:lineRule="auto" w:line="360"/>
        <w:jc w:val="both"/>
        <w:rPr>
          <w:bCs/>
          <w:color w:val="000000" w:themeColor="text1"/>
        </w:rPr>
      </w:pPr>
      <w:r>
        <w:rPr>
          <w:bCs/>
          <w:color w:val="000000" w:themeColor="text1"/>
        </w:rPr>
        <w:t>IV. responsabilizar-se pelos encaminhamentos das identificações de infratores aos órgãos de transito competentes, das solicitações dos procedimentos necessários ao ressarcimento das infrações de transito cometidas;</w:t>
      </w:r>
    </w:p>
    <w:p>
      <w:pPr>
        <w:pStyle w:val="Default"/>
        <w:spacing w:lineRule="auto" w:line="360"/>
        <w:jc w:val="both"/>
        <w:rPr>
          <w:bCs/>
          <w:color w:val="000000" w:themeColor="text1"/>
        </w:rPr>
      </w:pPr>
      <w:r>
        <w:rPr>
          <w:bCs/>
          <w:color w:val="000000" w:themeColor="text1"/>
        </w:rPr>
        <w:t>V. encaminhar para pagamento a multa pela infração de trânsito após o seu vencimento, caso não receba do infrator identificado a comprovação do seu pagamento ou da interposição de recurso junto ao JARI – Junta Administrativa de Recursos e Infrações, e dar início ao processo de ressarcimento;</w:t>
      </w:r>
    </w:p>
    <w:p>
      <w:pPr>
        <w:pStyle w:val="Default"/>
        <w:spacing w:lineRule="auto" w:line="360"/>
        <w:jc w:val="both"/>
        <w:rPr>
          <w:bCs/>
          <w:color w:val="000000" w:themeColor="text1"/>
        </w:rPr>
      </w:pPr>
      <w:r>
        <w:rPr>
          <w:bCs/>
          <w:color w:val="000000" w:themeColor="text1"/>
        </w:rPr>
        <w:t>VI. nos casos de acidentes em que o sinistro provoque dano ao veículo oficial e que não haja assunção de responsabilidades, coletar no mínimo três orçamentos e demais documentações necessárias e tomar providências relativas a iniciar os trâmites para abertura de processo de dispensa de licitação para a reparação do veículo;</w:t>
      </w:r>
    </w:p>
    <w:p>
      <w:pPr>
        <w:pStyle w:val="Default"/>
        <w:spacing w:lineRule="auto" w:line="360"/>
        <w:jc w:val="both"/>
        <w:rPr>
          <w:bCs/>
          <w:color w:val="000000" w:themeColor="text1"/>
        </w:rPr>
      </w:pPr>
      <w:r>
        <w:rPr>
          <w:bCs/>
          <w:color w:val="000000" w:themeColor="text1"/>
        </w:rPr>
        <w:t>VII. concomitantemente às providências para reparação do veículo, coletar toda a documentação relativa ao sinistro junto aos órgãos e pessoas envolvidas e fazer os encaminhamentos com vistas a abertura de processo administrativo e com vistas a apuração das responsabilidades;</w:t>
      </w:r>
    </w:p>
    <w:p>
      <w:pPr>
        <w:pStyle w:val="Default"/>
        <w:spacing w:lineRule="auto" w:line="360"/>
        <w:jc w:val="both"/>
        <w:rPr>
          <w:bCs/>
          <w:color w:val="000000" w:themeColor="text1"/>
        </w:rPr>
      </w:pPr>
      <w:r>
        <w:rPr>
          <w:bCs/>
          <w:color w:val="000000" w:themeColor="text1"/>
        </w:rPr>
        <w:t>VIII. cumprir rotinas de abastecimento, lavagem e lubrificação dos veículos de propriedade da UFVJM;</w:t>
      </w:r>
    </w:p>
    <w:p>
      <w:pPr>
        <w:pStyle w:val="Default"/>
        <w:spacing w:lineRule="auto" w:line="360"/>
        <w:jc w:val="both"/>
        <w:rPr>
          <w:bCs/>
          <w:color w:val="000000" w:themeColor="text1"/>
        </w:rPr>
      </w:pPr>
      <w:r>
        <w:rPr>
          <w:bCs/>
          <w:color w:val="000000" w:themeColor="text1"/>
        </w:rPr>
        <w:t>IX. vistoriar os veículos no ato da entrega ao condutor para viagem, bem como na sua devolução, anotando na pauta de viagem todos os danos encontrados, sob pena de responsabilidade;</w:t>
      </w:r>
    </w:p>
    <w:p>
      <w:pPr>
        <w:pStyle w:val="Default"/>
        <w:spacing w:lineRule="auto" w:line="360"/>
        <w:jc w:val="both"/>
        <w:rPr>
          <w:bCs/>
          <w:color w:val="000000" w:themeColor="text1"/>
        </w:rPr>
      </w:pPr>
      <w:r>
        <w:rPr>
          <w:bCs/>
          <w:color w:val="000000" w:themeColor="text1"/>
        </w:rPr>
        <w:t>X. averiguar as condições gerais do veículo (equipamentos, acessórios obrigatórios e documentação) e conferir os níveis de água e óleo, promover sua regularização antes de entregá-lo a um novo condutor;</w:t>
      </w:r>
    </w:p>
    <w:p>
      <w:pPr>
        <w:pStyle w:val="Default"/>
        <w:spacing w:lineRule="auto" w:line="360"/>
        <w:jc w:val="both"/>
        <w:rPr>
          <w:bCs/>
          <w:color w:val="000000" w:themeColor="text1"/>
        </w:rPr>
      </w:pPr>
      <w:r>
        <w:rPr>
          <w:bCs/>
          <w:color w:val="000000" w:themeColor="text1"/>
        </w:rPr>
        <w:t>XI. observar as recomendações dos condutores e/ou usuários ao final de cada viagem e promover suas devidas verificações;</w:t>
      </w:r>
    </w:p>
    <w:p>
      <w:pPr>
        <w:pStyle w:val="Default"/>
        <w:spacing w:lineRule="auto" w:line="360"/>
        <w:jc w:val="both"/>
        <w:rPr>
          <w:bCs/>
          <w:color w:val="000000" w:themeColor="text1"/>
        </w:rPr>
      </w:pPr>
      <w:r>
        <w:rPr>
          <w:bCs/>
          <w:color w:val="000000" w:themeColor="text1"/>
        </w:rPr>
        <w:t>XII. realizar o agendamento de motoristas e veículos ao receber as requisições de veículos via SIGA; e</w:t>
      </w:r>
    </w:p>
    <w:p>
      <w:pPr>
        <w:pStyle w:val="Default"/>
        <w:spacing w:lineRule="auto" w:line="360"/>
        <w:jc w:val="both"/>
        <w:rPr>
          <w:bCs/>
          <w:color w:val="000000" w:themeColor="text1"/>
        </w:rPr>
      </w:pPr>
      <w:r>
        <w:rPr>
          <w:bCs/>
          <w:color w:val="000000" w:themeColor="text1"/>
        </w:rPr>
        <w:t>XIII. promover constante e criterioso controle de manutenção da frota;</w:t>
      </w:r>
    </w:p>
    <w:p>
      <w:pPr>
        <w:pStyle w:val="Default"/>
        <w:spacing w:lineRule="auto" w:line="360"/>
        <w:jc w:val="both"/>
        <w:rPr>
          <w:bCs/>
          <w:color w:val="000000" w:themeColor="text1"/>
        </w:rPr>
      </w:pPr>
      <w:r>
        <w:rPr>
          <w:bCs/>
          <w:color w:val="000000" w:themeColor="text1"/>
        </w:rPr>
        <w:t>XIV. propor a criação e revisão de instruções normativas de funcionamento da divisão.</w:t>
      </w:r>
    </w:p>
    <w:p>
      <w:pPr>
        <w:pStyle w:val="Default"/>
        <w:spacing w:lineRule="auto" w:line="360"/>
        <w:jc w:val="both"/>
        <w:rPr>
          <w:rFonts w:eastAsia="Calibri"/>
          <w:bCs/>
          <w:color w:val="000000" w:themeColor="text1"/>
        </w:rPr>
      </w:pPr>
      <w:r>
        <w:rPr>
          <w:rFonts w:eastAsia="Calibri"/>
          <w:bCs/>
          <w:color w:val="000000" w:themeColor="text1"/>
        </w:rPr>
      </w:r>
    </w:p>
    <w:p>
      <w:pPr>
        <w:pStyle w:val="ListParagraph"/>
        <w:numPr>
          <w:ilvl w:val="0"/>
          <w:numId w:val="13"/>
        </w:numPr>
        <w:spacing w:lineRule="auto" w:line="360" w:before="0" w:after="0"/>
        <w:ind w:left="0" w:hanging="360"/>
        <w:contextualSpacing/>
        <w:jc w:val="both"/>
        <w:rPr>
          <w:rFonts w:ascii="Arial" w:hAnsi="Arial" w:cs="Arial"/>
          <w:bCs/>
          <w:color w:val="000000" w:themeColor="text1"/>
        </w:rPr>
      </w:pPr>
      <w:r>
        <w:rPr>
          <w:rFonts w:cs="Arial"/>
          <w:bCs/>
          <w:color w:val="000000" w:themeColor="text1"/>
        </w:rPr>
        <w:t>Quanto a Divisão de Fazendas, esta possui sob sua supervisão as unidades experimentais da UFJVM , que dentro de suas competências regimentais estão:</w:t>
      </w:r>
    </w:p>
    <w:p>
      <w:pPr>
        <w:pStyle w:val="Default"/>
        <w:spacing w:lineRule="auto" w:line="360"/>
        <w:jc w:val="both"/>
        <w:rPr>
          <w:bCs/>
          <w:color w:val="000000" w:themeColor="text1"/>
        </w:rPr>
      </w:pPr>
      <w:r>
        <w:rPr>
          <w:bCs/>
          <w:color w:val="000000" w:themeColor="text1"/>
        </w:rPr>
        <w:t>I. executar a administração financeira, patrimonial, e do material no tocante as fazendas experimentais;</w:t>
      </w:r>
    </w:p>
    <w:p>
      <w:pPr>
        <w:pStyle w:val="Default"/>
        <w:spacing w:lineRule="auto" w:line="360"/>
        <w:jc w:val="both"/>
        <w:rPr>
          <w:bCs/>
          <w:color w:val="000000" w:themeColor="text1"/>
        </w:rPr>
      </w:pPr>
      <w:r>
        <w:rPr>
          <w:bCs/>
          <w:color w:val="000000" w:themeColor="text1"/>
        </w:rPr>
        <w:t>II. prestar apoio e acompanhar a aquisição de máquinas e equipamentos agrícolas necessários à operacionalização das atividades das fazendas experimentais;</w:t>
      </w:r>
    </w:p>
    <w:p>
      <w:pPr>
        <w:pStyle w:val="Default"/>
        <w:spacing w:lineRule="auto" w:line="360"/>
        <w:jc w:val="both"/>
        <w:rPr>
          <w:bCs/>
          <w:color w:val="000000" w:themeColor="text1"/>
        </w:rPr>
      </w:pPr>
      <w:r>
        <w:rPr>
          <w:bCs/>
          <w:color w:val="000000" w:themeColor="text1"/>
        </w:rPr>
        <w:t>III. prestar apoio e acompanhar a aquisição de mudas, sementes, adubos, rações, medicamentos, ferramentas, máquinas, sementes, dentre outros materiais para manutenção das fazendas;</w:t>
      </w:r>
    </w:p>
    <w:p>
      <w:pPr>
        <w:pStyle w:val="Default"/>
        <w:spacing w:lineRule="auto" w:line="360"/>
        <w:jc w:val="both"/>
        <w:rPr>
          <w:bCs/>
          <w:color w:val="000000" w:themeColor="text1"/>
        </w:rPr>
      </w:pPr>
      <w:r>
        <w:rPr>
          <w:bCs/>
          <w:color w:val="000000" w:themeColor="text1"/>
        </w:rPr>
        <w:t>IV. promover a divulgação e a comercialização dos produtos oriundos do excedente das fazendas;</w:t>
      </w:r>
    </w:p>
    <w:p>
      <w:pPr>
        <w:pStyle w:val="Default"/>
        <w:spacing w:lineRule="auto" w:line="360"/>
        <w:jc w:val="both"/>
        <w:rPr>
          <w:bCs/>
          <w:color w:val="000000" w:themeColor="text1"/>
        </w:rPr>
      </w:pPr>
      <w:r>
        <w:rPr>
          <w:bCs/>
          <w:color w:val="000000" w:themeColor="text1"/>
        </w:rPr>
        <w:t>V. analisar, avaliar, e estabelecer preços mínimos de venda de animais e produtos oriundos das fazendas;</w:t>
      </w:r>
    </w:p>
    <w:p>
      <w:pPr>
        <w:pStyle w:val="Default"/>
        <w:spacing w:lineRule="auto" w:line="360"/>
        <w:jc w:val="both"/>
        <w:rPr>
          <w:bCs/>
          <w:color w:val="000000" w:themeColor="text1"/>
        </w:rPr>
      </w:pPr>
      <w:r>
        <w:rPr>
          <w:bCs/>
          <w:color w:val="000000" w:themeColor="text1"/>
        </w:rPr>
        <w:t>VI. controlar os materiais permanentes e de consumo alocados nas fazendas;</w:t>
      </w:r>
    </w:p>
    <w:p>
      <w:pPr>
        <w:pStyle w:val="Default"/>
        <w:spacing w:lineRule="auto" w:line="360"/>
        <w:jc w:val="both"/>
        <w:rPr>
          <w:bCs/>
          <w:color w:val="000000" w:themeColor="text1"/>
        </w:rPr>
      </w:pPr>
      <w:r>
        <w:rPr>
          <w:bCs/>
          <w:color w:val="000000" w:themeColor="text1"/>
        </w:rPr>
        <w:t>VII. solicitar materiais e serviços para atender as necessidades das fazendas;</w:t>
      </w:r>
    </w:p>
    <w:p>
      <w:pPr>
        <w:pStyle w:val="Default"/>
        <w:spacing w:lineRule="auto" w:line="360"/>
        <w:jc w:val="both"/>
        <w:rPr>
          <w:bCs/>
          <w:color w:val="000000" w:themeColor="text1"/>
        </w:rPr>
      </w:pPr>
      <w:r>
        <w:rPr>
          <w:bCs/>
          <w:color w:val="000000" w:themeColor="text1"/>
        </w:rPr>
        <w:t>VIII. providenciar escala de plantão para os serviços essenciais;</w:t>
      </w:r>
    </w:p>
    <w:p>
      <w:pPr>
        <w:pStyle w:val="Default"/>
        <w:spacing w:lineRule="auto" w:line="360"/>
        <w:jc w:val="both"/>
        <w:rPr>
          <w:bCs/>
          <w:color w:val="000000" w:themeColor="text1"/>
        </w:rPr>
      </w:pPr>
      <w:r>
        <w:rPr>
          <w:bCs/>
          <w:color w:val="000000" w:themeColor="text1"/>
        </w:rPr>
        <w:t>IX. elaborar relatórios gerenciais;</w:t>
      </w:r>
    </w:p>
    <w:p>
      <w:pPr>
        <w:pStyle w:val="Default"/>
        <w:spacing w:lineRule="auto" w:line="360"/>
        <w:jc w:val="both"/>
        <w:rPr>
          <w:bCs/>
          <w:color w:val="000000" w:themeColor="text1"/>
        </w:rPr>
      </w:pPr>
      <w:r>
        <w:rPr>
          <w:bCs/>
          <w:color w:val="000000" w:themeColor="text1"/>
        </w:rPr>
        <w:t>X. designar um funcionário para exercer o cargo de gerente nas fazendas experimentais, ouvido o Diretor de Administração e o Pró-Reitor;</w:t>
      </w:r>
    </w:p>
    <w:p>
      <w:pPr>
        <w:pStyle w:val="Default"/>
        <w:spacing w:lineRule="auto" w:line="360"/>
        <w:jc w:val="both"/>
        <w:rPr>
          <w:bCs/>
          <w:color w:val="000000" w:themeColor="text1"/>
        </w:rPr>
      </w:pPr>
      <w:r>
        <w:rPr>
          <w:bCs/>
          <w:color w:val="000000" w:themeColor="text1"/>
        </w:rPr>
        <w:t>XI. desenvolver outras atividades dentro de sua área de atuação;</w:t>
      </w:r>
    </w:p>
    <w:p>
      <w:pPr>
        <w:pStyle w:val="Default"/>
        <w:spacing w:lineRule="auto" w:line="360"/>
        <w:jc w:val="both"/>
        <w:rPr>
          <w:bCs/>
          <w:color w:val="000000" w:themeColor="text1"/>
        </w:rPr>
      </w:pPr>
      <w:r>
        <w:rPr>
          <w:bCs/>
          <w:color w:val="000000" w:themeColor="text1"/>
        </w:rPr>
        <w:t>XII. propor a criação e revisão de instruções normativas de funcionamento da divisão.</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708"/>
        <w:jc w:val="both"/>
        <w:rPr>
          <w:rFonts w:ascii="Arial" w:hAnsi="Arial" w:cs="Arial"/>
          <w:color w:val="000000" w:themeColor="text1"/>
        </w:rPr>
      </w:pPr>
      <w:r>
        <w:rPr>
          <w:rFonts w:cs="Arial"/>
          <w:color w:val="000000" w:themeColor="text1"/>
        </w:rPr>
        <w:t>Desta forma, retomando a proposta inicial de apresentação destas informações na forma de três eixos, será explanado neste último, as propostas de contribuição para a constituição do PDI 2017/2021 da instituição, sendo inicialmente uma abordagem individualizada pra cada divisão que compõem a Diretoria de Administração, fechando com as abordagens gerais que abrangem toda a estrutura da Diretoria de Administração.</w:t>
      </w:r>
    </w:p>
    <w:p>
      <w:pPr>
        <w:pStyle w:val="Normal1"/>
        <w:spacing w:lineRule="auto" w:line="360"/>
        <w:ind w:firstLine="708"/>
        <w:jc w:val="both"/>
        <w:rPr>
          <w:rFonts w:ascii="Arial" w:hAnsi="Arial" w:cs="Arial"/>
          <w:color w:val="000000" w:themeColor="text1"/>
        </w:rPr>
      </w:pPr>
      <w:r>
        <w:rPr>
          <w:rFonts w:cs="Arial"/>
          <w:color w:val="000000" w:themeColor="text1"/>
        </w:rPr>
      </w:r>
    </w:p>
    <w:p>
      <w:pPr>
        <w:pStyle w:val="NormalWeb"/>
        <w:numPr>
          <w:ilvl w:val="0"/>
          <w:numId w:val="14"/>
        </w:numPr>
        <w:shd w:val="clear" w:color="auto" w:fill="FFFFFF"/>
        <w:spacing w:lineRule="auto" w:line="360" w:before="0" w:after="0"/>
        <w:ind w:left="0" w:hanging="360"/>
        <w:jc w:val="both"/>
        <w:rPr>
          <w:rFonts w:ascii="Arial" w:hAnsi="Arial" w:cs="Arial"/>
          <w:color w:val="000000" w:themeColor="text1"/>
        </w:rPr>
      </w:pPr>
      <w:r>
        <w:rPr>
          <w:rFonts w:cs="Arial"/>
          <w:b/>
          <w:bCs/>
          <w:color w:val="000000" w:themeColor="text1"/>
        </w:rPr>
        <w:t xml:space="preserve">Divisão de Gestão de Espaços </w:t>
      </w:r>
    </w:p>
    <w:p>
      <w:pPr>
        <w:pStyle w:val="NormalWeb"/>
        <w:shd w:val="clear" w:color="auto" w:fill="FFFFFF"/>
        <w:spacing w:lineRule="auto" w:line="360" w:before="0" w:after="0"/>
        <w:jc w:val="both"/>
        <w:rPr>
          <w:rFonts w:ascii="Arial" w:hAnsi="Arial" w:cs="Arial"/>
          <w:color w:val="000000" w:themeColor="text1"/>
        </w:rPr>
      </w:pPr>
      <w:r>
        <w:rPr>
          <w:rFonts w:cs="Arial"/>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A estrutura de pessoas da divisão é composta por dois servidores e um colaborador terceirizado, que gerenciam os processos mais variados desde limpeza, segurança, portaria, áudio e vídeo entre outras demandas, prestando desta forma os serviços básicos de apoio no funcionamento da instituição.</w:t>
      </w:r>
    </w:p>
    <w:p>
      <w:pPr>
        <w:pStyle w:val="NormalWeb"/>
        <w:shd w:val="clear" w:color="auto" w:fill="FFFFFF"/>
        <w:spacing w:lineRule="auto" w:line="360" w:before="0" w:after="0"/>
        <w:jc w:val="both"/>
        <w:rPr>
          <w:rFonts w:ascii="Arial" w:hAnsi="Arial" w:cs="Arial"/>
          <w:color w:val="000000" w:themeColor="text1"/>
        </w:rPr>
      </w:pPr>
      <w:r>
        <w:rPr>
          <w:rFonts w:cs="Arial"/>
          <w:color w:val="000000" w:themeColor="text1"/>
        </w:rPr>
        <w:t>Como estratégia de atuação da divisão, serão considerados, para que sejam atingidos os objetivos institucionais, os seguintes pontos:</w:t>
      </w:r>
    </w:p>
    <w:p>
      <w:pPr>
        <w:pStyle w:val="NormalWeb"/>
        <w:shd w:val="clear" w:color="auto" w:fill="FFFFFF"/>
        <w:spacing w:lineRule="auto" w:line="360" w:before="0" w:after="0"/>
        <w:jc w:val="both"/>
        <w:rPr>
          <w:rFonts w:ascii="Arial" w:hAnsi="Arial" w:cs="Arial"/>
          <w:color w:val="000000" w:themeColor="text1"/>
        </w:rPr>
      </w:pPr>
      <w:r>
        <w:rPr>
          <w:rFonts w:cs="Arial"/>
          <w:color w:val="000000" w:themeColor="text1"/>
        </w:rPr>
      </w:r>
    </w:p>
    <w:p>
      <w:pPr>
        <w:pStyle w:val="NormalWeb"/>
        <w:numPr>
          <w:ilvl w:val="0"/>
          <w:numId w:val="15"/>
        </w:numPr>
        <w:shd w:val="clear" w:color="auto" w:fill="FFFFFF"/>
        <w:spacing w:lineRule="auto" w:line="360" w:before="0" w:after="0"/>
        <w:jc w:val="both"/>
        <w:rPr>
          <w:rFonts w:ascii="Arial" w:hAnsi="Arial" w:cs="Arial"/>
          <w:color w:val="000000" w:themeColor="text1"/>
        </w:rPr>
      </w:pPr>
      <w:r>
        <w:rPr>
          <w:rFonts w:cs="Arial"/>
          <w:color w:val="000000" w:themeColor="text1"/>
        </w:rPr>
        <w:t>Aprimoramento dos procedimentos de controle e fiscalização das atividades executadas e supervisionadas pela equipe.</w:t>
      </w:r>
    </w:p>
    <w:p>
      <w:pPr>
        <w:pStyle w:val="NormalWeb"/>
        <w:numPr>
          <w:ilvl w:val="0"/>
          <w:numId w:val="15"/>
        </w:numPr>
        <w:shd w:val="clear" w:color="auto" w:fill="FFFFFF"/>
        <w:spacing w:lineRule="auto" w:line="360" w:before="0" w:after="0"/>
        <w:jc w:val="both"/>
        <w:rPr>
          <w:rFonts w:ascii="Arial" w:hAnsi="Arial" w:cs="Arial"/>
          <w:color w:val="000000" w:themeColor="text1"/>
        </w:rPr>
      </w:pPr>
      <w:r>
        <w:rPr>
          <w:rFonts w:cs="Arial"/>
          <w:color w:val="000000" w:themeColor="text1"/>
        </w:rPr>
        <w:t>Evolução na coordenação, avaliação e fiscalização da utilização adequada dos espaços, garantindo a integridade e a manutenção dos mesmos.</w:t>
      </w:r>
    </w:p>
    <w:p>
      <w:pPr>
        <w:pStyle w:val="NormalWeb"/>
        <w:numPr>
          <w:ilvl w:val="0"/>
          <w:numId w:val="15"/>
        </w:numPr>
        <w:shd w:val="clear" w:color="auto" w:fill="FFFFFF"/>
        <w:spacing w:lineRule="auto" w:line="360" w:before="0" w:after="0"/>
        <w:jc w:val="both"/>
        <w:rPr>
          <w:rFonts w:ascii="Arial" w:hAnsi="Arial" w:cs="Arial"/>
          <w:color w:val="000000" w:themeColor="text1"/>
        </w:rPr>
      </w:pPr>
      <w:r>
        <w:rPr>
          <w:rFonts w:cs="Arial"/>
          <w:color w:val="000000" w:themeColor="text1"/>
        </w:rPr>
        <w:t>Normatização e construção os fluxos das atividades do setor.</w:t>
      </w:r>
    </w:p>
    <w:p>
      <w:pPr>
        <w:pStyle w:val="NormalWeb"/>
        <w:numPr>
          <w:ilvl w:val="0"/>
          <w:numId w:val="15"/>
        </w:numPr>
        <w:shd w:val="clear" w:color="auto" w:fill="FFFFFF"/>
        <w:spacing w:lineRule="auto" w:line="360" w:before="0" w:after="0"/>
        <w:jc w:val="both"/>
        <w:rPr>
          <w:rFonts w:ascii="Arial" w:hAnsi="Arial" w:cs="Arial"/>
          <w:color w:val="000000" w:themeColor="text1"/>
        </w:rPr>
      </w:pPr>
      <w:r>
        <w:rPr>
          <w:rFonts w:cs="Arial"/>
          <w:color w:val="000000" w:themeColor="text1"/>
        </w:rPr>
        <w:t>Desenvolvimento em conjunto com os setores de intraestrutura, de patrimônio e de tecnologia de informação, de um sistema informatizado de gestão dos espaços, que propicie o efetivo monitoramento da utilização da estrutura da instituição.</w:t>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numPr>
          <w:ilvl w:val="0"/>
          <w:numId w:val="14"/>
        </w:numPr>
        <w:shd w:val="clear" w:color="auto" w:fill="FFFFFF"/>
        <w:spacing w:lineRule="auto" w:line="360" w:before="0" w:after="0"/>
        <w:ind w:left="0" w:hanging="360"/>
        <w:jc w:val="both"/>
        <w:rPr>
          <w:rFonts w:ascii="Arial" w:hAnsi="Arial" w:cs="Arial"/>
          <w:color w:val="000000" w:themeColor="text1"/>
        </w:rPr>
      </w:pPr>
      <w:r>
        <w:rPr>
          <w:rFonts w:cs="Arial"/>
          <w:b/>
          <w:bCs/>
          <w:color w:val="000000" w:themeColor="text1"/>
        </w:rPr>
        <w:t>Divisão de Apoio Técnico e Fiscalização de Terceirizados</w:t>
      </w:r>
    </w:p>
    <w:p>
      <w:pPr>
        <w:pStyle w:val="NormalWeb"/>
        <w:shd w:val="clear" w:color="auto" w:fill="FFFFFF"/>
        <w:spacing w:lineRule="auto" w:line="360" w:before="0" w:after="0"/>
        <w:jc w:val="both"/>
        <w:rPr>
          <w:rFonts w:ascii="Arial" w:hAnsi="Arial" w:cs="Arial"/>
          <w:color w:val="000000" w:themeColor="text1"/>
        </w:rPr>
      </w:pPr>
      <w:r>
        <w:rPr>
          <w:rFonts w:cs="Arial"/>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A composição do quadro de pessoal da divisão está estabelecida em quatro postos de trabalho, que desenvolvem as atividades de apoio técnico à fiscalização de terceirizados, serviços de extrema relevância para as atividades de fiscalização dos contratos, resguardando a Administração frente a futuros questionamentos legais.</w:t>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Na proposta de atuação divisão, serão considerados para que sejam alcançados os objetivos institucionais os seguintes pontos:</w:t>
      </w:r>
    </w:p>
    <w:p>
      <w:pPr>
        <w:pStyle w:val="NormalWeb"/>
        <w:shd w:val="clear" w:color="auto" w:fill="FFFFFF"/>
        <w:spacing w:lineRule="auto" w:line="360" w:before="0" w:after="0"/>
        <w:jc w:val="both"/>
        <w:rPr>
          <w:rFonts w:ascii="Arial" w:hAnsi="Arial" w:cs="Arial"/>
          <w:color w:val="000000" w:themeColor="text1"/>
        </w:rPr>
      </w:pPr>
      <w:r>
        <w:rPr>
          <w:rFonts w:cs="Arial"/>
          <w:color w:val="000000" w:themeColor="text1"/>
        </w:rPr>
      </w:r>
    </w:p>
    <w:p>
      <w:pPr>
        <w:pStyle w:val="NormalWeb"/>
        <w:numPr>
          <w:ilvl w:val="0"/>
          <w:numId w:val="16"/>
        </w:numPr>
        <w:shd w:val="clear" w:color="auto" w:fill="FFFFFF"/>
        <w:spacing w:lineRule="auto" w:line="360" w:before="0" w:after="0"/>
        <w:jc w:val="both"/>
        <w:rPr>
          <w:rFonts w:ascii="Arial" w:hAnsi="Arial" w:cs="Arial"/>
          <w:color w:val="000000" w:themeColor="text1"/>
        </w:rPr>
      </w:pPr>
      <w:r>
        <w:rPr>
          <w:rFonts w:cs="Arial"/>
          <w:color w:val="000000" w:themeColor="text1"/>
        </w:rPr>
        <w:t>Aprimoramento os procedimentos de monitoramento e fiscalização das atividades executadas e supervisionadas pela equipe.</w:t>
      </w:r>
    </w:p>
    <w:p>
      <w:pPr>
        <w:pStyle w:val="NormalWeb"/>
        <w:numPr>
          <w:ilvl w:val="0"/>
          <w:numId w:val="16"/>
        </w:numPr>
        <w:shd w:val="clear" w:color="auto" w:fill="FFFFFF"/>
        <w:spacing w:lineRule="auto" w:line="360" w:before="0" w:after="0"/>
        <w:jc w:val="both"/>
        <w:rPr>
          <w:rFonts w:ascii="Arial" w:hAnsi="Arial" w:cs="Arial"/>
          <w:color w:val="000000" w:themeColor="text1"/>
        </w:rPr>
      </w:pPr>
      <w:r>
        <w:rPr>
          <w:rFonts w:cs="Arial"/>
          <w:color w:val="000000" w:themeColor="text1"/>
        </w:rPr>
        <w:t>Evolução na coordenação, avaliação e execução das atividades de apoio à fiscalização, para que os processos de contratação atendam aos anseios da comunidade acadêmica.</w:t>
      </w:r>
    </w:p>
    <w:p>
      <w:pPr>
        <w:pStyle w:val="NormalWeb"/>
        <w:numPr>
          <w:ilvl w:val="0"/>
          <w:numId w:val="16"/>
        </w:numPr>
        <w:shd w:val="clear" w:color="auto" w:fill="FFFFFF"/>
        <w:spacing w:lineRule="auto" w:line="360" w:before="0" w:after="0"/>
        <w:jc w:val="both"/>
        <w:rPr>
          <w:rFonts w:ascii="Arial" w:hAnsi="Arial" w:cs="Arial"/>
          <w:color w:val="000000" w:themeColor="text1"/>
        </w:rPr>
      </w:pPr>
      <w:r>
        <w:rPr>
          <w:rFonts w:cs="Arial"/>
          <w:color w:val="000000" w:themeColor="text1"/>
        </w:rPr>
        <w:t>Revisão dos fluxos das atividades do setor e a normatização das atividades desenvolvidas.</w:t>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numPr>
          <w:ilvl w:val="0"/>
          <w:numId w:val="14"/>
        </w:numPr>
        <w:shd w:val="clear" w:color="auto" w:fill="FFFFFF"/>
        <w:spacing w:lineRule="auto" w:line="360" w:before="0" w:after="0"/>
        <w:ind w:left="0" w:hanging="360"/>
        <w:jc w:val="both"/>
        <w:rPr>
          <w:rFonts w:ascii="Arial" w:hAnsi="Arial" w:cs="Arial"/>
          <w:b/>
          <w:b/>
          <w:bCs/>
          <w:color w:val="000000" w:themeColor="text1"/>
        </w:rPr>
      </w:pPr>
      <w:r>
        <w:rPr>
          <w:rFonts w:cs="Arial"/>
          <w:b/>
          <w:bCs/>
          <w:color w:val="000000" w:themeColor="text1"/>
        </w:rPr>
        <w:t>Divisão de Protocolo</w:t>
      </w:r>
    </w:p>
    <w:p>
      <w:pPr>
        <w:pStyle w:val="NormalWeb"/>
        <w:shd w:val="clear" w:color="auto" w:fill="FFFFFF"/>
        <w:spacing w:lineRule="auto" w:line="360" w:before="0" w:after="0"/>
        <w:jc w:val="both"/>
        <w:rPr>
          <w:rFonts w:ascii="Arial" w:hAnsi="Arial" w:cs="Arial"/>
          <w:b/>
          <w:b/>
          <w:bCs/>
          <w:color w:val="000000" w:themeColor="text1"/>
        </w:rPr>
      </w:pPr>
      <w:r>
        <w:rPr>
          <w:rFonts w:cs="Arial"/>
          <w:b/>
          <w:bCs/>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A divisão está estruturada em seu quadro de pessoal para o desenvolvimento dos trabalhos por dois postos de servidores efetivos, um posto de servidor cedido e três postos de colaboradores terceirizados. É importante destacar que o setor de arquivos foi planejado de forma que o processo seja centralizado, desta forma a necessidade de padronização dos procedimentos, e para a implementação deste processo, são estabelecidas os seguintes objetivos que deverão ser alcançados pele divisão:</w:t>
      </w:r>
    </w:p>
    <w:p>
      <w:pPr>
        <w:pStyle w:val="NormalWeb"/>
        <w:numPr>
          <w:ilvl w:val="0"/>
          <w:numId w:val="17"/>
        </w:numPr>
        <w:shd w:val="clear" w:color="auto" w:fill="FFFFFF"/>
        <w:spacing w:lineRule="auto" w:line="360" w:before="0" w:after="0"/>
        <w:jc w:val="both"/>
        <w:rPr>
          <w:rFonts w:ascii="Arial" w:hAnsi="Arial" w:cs="Arial"/>
          <w:color w:val="000000" w:themeColor="text1"/>
        </w:rPr>
      </w:pPr>
      <w:r>
        <w:rPr>
          <w:rFonts w:cs="Arial"/>
          <w:color w:val="000000" w:themeColor="text1"/>
        </w:rPr>
        <w:t>Apoiar a implantação do SEI - Sistema Eletrônico de Informações;</w:t>
      </w:r>
    </w:p>
    <w:p>
      <w:pPr>
        <w:pStyle w:val="NormalWeb"/>
        <w:numPr>
          <w:ilvl w:val="0"/>
          <w:numId w:val="17"/>
        </w:numPr>
        <w:shd w:val="clear" w:color="auto" w:fill="FFFFFF"/>
        <w:spacing w:lineRule="auto" w:line="360" w:before="0" w:after="0"/>
        <w:jc w:val="both"/>
        <w:rPr>
          <w:rFonts w:ascii="Arial" w:hAnsi="Arial" w:cs="Arial"/>
          <w:color w:val="000000" w:themeColor="text1"/>
        </w:rPr>
      </w:pPr>
      <w:r>
        <w:rPr>
          <w:rFonts w:cs="Arial"/>
          <w:color w:val="000000" w:themeColor="text1"/>
        </w:rPr>
        <w:t>Revisão dos fluxos das atividades do setor e a normatização das atividades desenvolvidas, alinhando estes fluxos ao SEI.</w:t>
      </w:r>
    </w:p>
    <w:p>
      <w:pPr>
        <w:pStyle w:val="NormalWeb"/>
        <w:numPr>
          <w:ilvl w:val="0"/>
          <w:numId w:val="17"/>
        </w:numPr>
        <w:shd w:val="clear" w:color="auto" w:fill="FFFFFF"/>
        <w:spacing w:lineRule="auto" w:line="360" w:before="0" w:after="0"/>
        <w:jc w:val="both"/>
        <w:rPr>
          <w:rFonts w:ascii="Arial" w:hAnsi="Arial" w:cs="Arial"/>
          <w:color w:val="000000" w:themeColor="text1"/>
        </w:rPr>
      </w:pPr>
      <w:r>
        <w:rPr>
          <w:rFonts w:cs="Arial"/>
          <w:color w:val="000000" w:themeColor="text1"/>
        </w:rPr>
        <w:t>Disseminar a cultura do acesso às informações sob tutela da UFVJM, respeitando a legislação de acesso a informações.</w:t>
      </w:r>
    </w:p>
    <w:p>
      <w:pPr>
        <w:pStyle w:val="NormalWeb"/>
        <w:numPr>
          <w:ilvl w:val="0"/>
          <w:numId w:val="17"/>
        </w:numPr>
        <w:shd w:val="clear" w:color="auto" w:fill="FFFFFF"/>
        <w:spacing w:lineRule="auto" w:line="360" w:before="0" w:after="0"/>
        <w:jc w:val="both"/>
        <w:rPr>
          <w:rFonts w:ascii="Arial" w:hAnsi="Arial" w:cs="Arial"/>
          <w:color w:val="000000" w:themeColor="text1"/>
        </w:rPr>
      </w:pPr>
      <w:r>
        <w:rPr>
          <w:rFonts w:cs="Arial"/>
          <w:color w:val="000000" w:themeColor="text1"/>
        </w:rPr>
        <w:t>Implementar as normativas estabelecidas pela Portaria Interministerial nº 1.677, de 07 de outubro de 2015.</w:t>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numPr>
          <w:ilvl w:val="0"/>
          <w:numId w:val="14"/>
        </w:numPr>
        <w:shd w:val="clear" w:color="auto" w:fill="FFFFFF"/>
        <w:spacing w:lineRule="auto" w:line="360" w:before="0" w:after="0"/>
        <w:ind w:left="0" w:hanging="360"/>
        <w:jc w:val="both"/>
        <w:rPr>
          <w:rFonts w:ascii="Arial" w:hAnsi="Arial" w:cs="Arial"/>
          <w:b/>
          <w:b/>
          <w:bCs/>
          <w:color w:val="000000" w:themeColor="text1"/>
        </w:rPr>
      </w:pPr>
      <w:r>
        <w:rPr>
          <w:rFonts w:cs="Arial"/>
          <w:b/>
          <w:bCs/>
          <w:color w:val="000000" w:themeColor="text1"/>
        </w:rPr>
        <w:t>Divisão de Serviços Gráficos</w:t>
      </w:r>
    </w:p>
    <w:p>
      <w:pPr>
        <w:pStyle w:val="NormalWeb"/>
        <w:shd w:val="clear" w:color="auto" w:fill="FFFFFF"/>
        <w:spacing w:lineRule="auto" w:line="360" w:before="0" w:after="0"/>
        <w:jc w:val="both"/>
        <w:rPr>
          <w:rFonts w:ascii="Arial" w:hAnsi="Arial" w:cs="Arial"/>
          <w:b/>
          <w:b/>
          <w:bCs/>
          <w:color w:val="000000" w:themeColor="text1"/>
        </w:rPr>
      </w:pPr>
      <w:r>
        <w:rPr>
          <w:rFonts w:cs="Arial"/>
          <w:b/>
          <w:bCs/>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A Gráfica da UFVJM para atendimento das demandas a comunidade acadêmica, dispõe em seu quadro de servidores de um servidor e um colaborador terceirizado que atuam no planejamento, execução e controle das atividades desenvolvidas no setor, sendo que para a consolidação deste atendimento a divisão buscará dentro de suas competências, alcançar os seguintes objetivos:</w:t>
      </w:r>
    </w:p>
    <w:p>
      <w:pPr>
        <w:pStyle w:val="NormalWeb"/>
        <w:numPr>
          <w:ilvl w:val="0"/>
          <w:numId w:val="18"/>
        </w:numPr>
        <w:shd w:val="clear" w:color="auto" w:fill="FFFFFF"/>
        <w:spacing w:lineRule="auto" w:line="360" w:before="0" w:after="0"/>
        <w:jc w:val="both"/>
        <w:rPr>
          <w:rFonts w:ascii="Arial" w:hAnsi="Arial" w:cs="Arial"/>
          <w:color w:val="000000" w:themeColor="text1"/>
        </w:rPr>
      </w:pPr>
      <w:r>
        <w:rPr>
          <w:rFonts w:cs="Arial"/>
          <w:color w:val="000000" w:themeColor="text1"/>
        </w:rPr>
        <w:t>Planejar e monitorar as atividades desenvolvidas na divisão, de forma que proporcione o atendimento das demandas apresentadas.</w:t>
      </w:r>
    </w:p>
    <w:p>
      <w:pPr>
        <w:pStyle w:val="NormalWeb"/>
        <w:numPr>
          <w:ilvl w:val="0"/>
          <w:numId w:val="18"/>
        </w:numPr>
        <w:shd w:val="clear" w:color="auto" w:fill="FFFFFF"/>
        <w:spacing w:lineRule="auto" w:line="360" w:before="0" w:after="0"/>
        <w:jc w:val="both"/>
        <w:rPr>
          <w:rFonts w:ascii="Arial" w:hAnsi="Arial" w:cs="Arial"/>
          <w:color w:val="000000" w:themeColor="text1"/>
        </w:rPr>
      </w:pPr>
      <w:r>
        <w:rPr>
          <w:rFonts w:cs="Arial"/>
          <w:color w:val="000000" w:themeColor="text1"/>
        </w:rPr>
        <w:t>Implementar de rotinas de manutenção da infraestrutura da divisão.</w:t>
      </w:r>
    </w:p>
    <w:p>
      <w:pPr>
        <w:pStyle w:val="NormalWeb"/>
        <w:numPr>
          <w:ilvl w:val="0"/>
          <w:numId w:val="18"/>
        </w:numPr>
        <w:shd w:val="clear" w:color="auto" w:fill="FFFFFF"/>
        <w:spacing w:lineRule="auto" w:line="360" w:before="0" w:after="0"/>
        <w:jc w:val="both"/>
        <w:rPr>
          <w:rFonts w:ascii="Arial" w:hAnsi="Arial" w:cs="Arial"/>
          <w:color w:val="000000" w:themeColor="text1"/>
        </w:rPr>
      </w:pPr>
      <w:r>
        <w:rPr>
          <w:rFonts w:cs="Arial"/>
          <w:color w:val="000000" w:themeColor="text1"/>
        </w:rPr>
        <w:t>Informatização do processo de gestão das atas dos serviços gráficos.</w:t>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numPr>
          <w:ilvl w:val="0"/>
          <w:numId w:val="14"/>
        </w:numPr>
        <w:shd w:val="clear" w:color="auto" w:fill="FFFFFF"/>
        <w:spacing w:lineRule="auto" w:line="360" w:before="0" w:after="0"/>
        <w:ind w:left="0" w:hanging="360"/>
        <w:jc w:val="both"/>
        <w:rPr>
          <w:rFonts w:ascii="Arial" w:hAnsi="Arial" w:cs="Arial"/>
          <w:b/>
          <w:b/>
          <w:bCs/>
          <w:color w:val="000000" w:themeColor="text1"/>
        </w:rPr>
      </w:pPr>
      <w:r>
        <w:rPr>
          <w:rFonts w:cs="Arial"/>
          <w:b/>
          <w:bCs/>
          <w:color w:val="000000" w:themeColor="text1"/>
        </w:rPr>
        <w:t>Divisão de Máquinas e Transportes</w:t>
      </w:r>
    </w:p>
    <w:p>
      <w:pPr>
        <w:pStyle w:val="NormalWeb"/>
        <w:shd w:val="clear" w:color="auto" w:fill="FFFFFF"/>
        <w:spacing w:lineRule="auto" w:line="360" w:before="0" w:after="0"/>
        <w:jc w:val="both"/>
        <w:rPr>
          <w:rFonts w:ascii="Arial" w:hAnsi="Arial" w:cs="Arial"/>
          <w:b/>
          <w:b/>
          <w:bCs/>
          <w:color w:val="000000" w:themeColor="text1"/>
        </w:rPr>
      </w:pPr>
      <w:r>
        <w:rPr>
          <w:rFonts w:cs="Arial"/>
          <w:b/>
          <w:bCs/>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 xml:space="preserve">Essa divisão atua na gestão dos </w:t>
      </w:r>
      <w:r>
        <w:rPr>
          <w:rFonts w:cs="Arial"/>
          <w:bCs/>
          <w:color w:val="000000" w:themeColor="text1"/>
        </w:rPr>
        <w:t>serviços correlacionados às atividades de logística de pessoas e cargas, demandadas pela UFVJM para o desenvolvimento de sua missão, sendo suas atribuições executadas por uma equipe composta por quatro servidores efetivos do quadro da UFVJM e por uma equipe de colaboradores terceirizados.</w:t>
      </w:r>
      <w:r>
        <w:rPr>
          <w:rFonts w:cs="Arial"/>
          <w:color w:val="000000" w:themeColor="text1"/>
        </w:rPr>
        <w:t xml:space="preserve"> Dentre as atribuições executadas na divisão serão direcionados os esforços para alcançar os seguintes objetivos: </w:t>
      </w:r>
    </w:p>
    <w:p>
      <w:pPr>
        <w:pStyle w:val="NormalWeb"/>
        <w:numPr>
          <w:ilvl w:val="0"/>
          <w:numId w:val="20"/>
        </w:numPr>
        <w:shd w:val="clear" w:color="auto" w:fill="FFFFFF"/>
        <w:spacing w:lineRule="auto" w:line="360" w:before="0" w:after="0"/>
        <w:jc w:val="both"/>
        <w:rPr>
          <w:rFonts w:ascii="Arial" w:hAnsi="Arial" w:cs="Arial"/>
          <w:color w:val="000000" w:themeColor="text1"/>
        </w:rPr>
      </w:pPr>
      <w:r>
        <w:rPr>
          <w:rFonts w:cs="Arial"/>
          <w:color w:val="000000" w:themeColor="text1"/>
        </w:rPr>
        <w:t>Buscar ser referência nos serviços de gestão de transportes no setor público.</w:t>
      </w:r>
    </w:p>
    <w:p>
      <w:pPr>
        <w:pStyle w:val="NormalWeb"/>
        <w:numPr>
          <w:ilvl w:val="0"/>
          <w:numId w:val="20"/>
        </w:numPr>
        <w:shd w:val="clear" w:color="auto" w:fill="FFFFFF"/>
        <w:spacing w:lineRule="auto" w:line="360" w:before="0" w:after="0"/>
        <w:jc w:val="both"/>
        <w:rPr>
          <w:rFonts w:ascii="Arial" w:hAnsi="Arial" w:cs="Arial"/>
          <w:color w:val="000000" w:themeColor="text1"/>
        </w:rPr>
      </w:pPr>
      <w:r>
        <w:rPr>
          <w:rFonts w:cs="Arial"/>
          <w:color w:val="000000" w:themeColor="text1"/>
        </w:rPr>
        <w:t>Modernizar a frota da instituição, propiciando segurança na prestação dos serviços de logística.</w:t>
      </w:r>
    </w:p>
    <w:p>
      <w:pPr>
        <w:pStyle w:val="NormalWeb"/>
        <w:numPr>
          <w:ilvl w:val="0"/>
          <w:numId w:val="20"/>
        </w:numPr>
        <w:shd w:val="clear" w:color="auto" w:fill="FFFFFF"/>
        <w:spacing w:lineRule="auto" w:line="360" w:before="0" w:after="0"/>
        <w:jc w:val="both"/>
        <w:rPr>
          <w:rFonts w:ascii="Arial" w:hAnsi="Arial" w:cs="Arial"/>
          <w:color w:val="000000" w:themeColor="text1"/>
        </w:rPr>
      </w:pPr>
      <w:r>
        <w:rPr>
          <w:rFonts w:cs="Arial"/>
          <w:color w:val="000000" w:themeColor="text1"/>
        </w:rPr>
        <w:t>Efetuar a atualização do sistema de gestão dos serviços de transportes, disponibilizando um aplicativo mais amigável ao usuário e que proporcione relatórios gerenciais.</w:t>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numPr>
          <w:ilvl w:val="0"/>
          <w:numId w:val="14"/>
        </w:numPr>
        <w:shd w:val="clear" w:color="auto" w:fill="FFFFFF"/>
        <w:spacing w:lineRule="auto" w:line="360" w:before="0" w:after="0"/>
        <w:ind w:left="0" w:hanging="360"/>
        <w:jc w:val="both"/>
        <w:rPr>
          <w:rFonts w:ascii="Arial" w:hAnsi="Arial" w:cs="Arial"/>
          <w:b/>
          <w:b/>
          <w:bCs/>
          <w:color w:val="000000" w:themeColor="text1"/>
        </w:rPr>
      </w:pPr>
      <w:r>
        <w:rPr>
          <w:rFonts w:cs="Arial"/>
          <w:b/>
          <w:bCs/>
          <w:color w:val="000000" w:themeColor="text1"/>
        </w:rPr>
        <w:t>Divisão de Fazendas</w:t>
      </w:r>
    </w:p>
    <w:p>
      <w:pPr>
        <w:pStyle w:val="NormalWeb"/>
        <w:shd w:val="clear" w:color="auto" w:fill="FFFFFF"/>
        <w:spacing w:lineRule="auto" w:line="360" w:before="0" w:after="0"/>
        <w:jc w:val="both"/>
        <w:rPr>
          <w:rFonts w:ascii="Arial" w:hAnsi="Arial" w:cs="Arial"/>
          <w:b/>
          <w:b/>
          <w:bCs/>
          <w:color w:val="000000" w:themeColor="text1"/>
        </w:rPr>
      </w:pPr>
      <w:r>
        <w:rPr>
          <w:rFonts w:cs="Arial"/>
          <w:b/>
          <w:bCs/>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A divisão gerencia as fazendas experimentais da UFVJM nas cidades de Couto de Magalhães de Minas, Serro e Curvelo e as atividades executadas no âmbito agropecuário no Campus do JK, e para a execução destas atividades, conta com uma equipe de colaboradores terceirizados e de onze servidores efetivos do quadro da UFVJM.</w:t>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No desenvolvimento de suas atividades deverão ser pautadas as ações para que sejam alcançados os seguintes propósitos:</w:t>
      </w:r>
    </w:p>
    <w:p>
      <w:pPr>
        <w:pStyle w:val="NormalWeb"/>
        <w:numPr>
          <w:ilvl w:val="0"/>
          <w:numId w:val="19"/>
        </w:numPr>
        <w:shd w:val="clear" w:color="auto" w:fill="FFFFFF"/>
        <w:spacing w:lineRule="auto" w:line="360" w:before="0" w:after="0"/>
        <w:jc w:val="both"/>
        <w:rPr>
          <w:rFonts w:ascii="Arial" w:hAnsi="Arial" w:cs="Arial"/>
          <w:color w:val="000000" w:themeColor="text1"/>
        </w:rPr>
      </w:pPr>
      <w:r>
        <w:rPr>
          <w:rFonts w:cs="Arial"/>
          <w:color w:val="000000" w:themeColor="text1"/>
        </w:rPr>
        <w:t>Estruturar as unidades experimentais para que atendam as demandas da comunidade acadêmica.</w:t>
      </w:r>
    </w:p>
    <w:p>
      <w:pPr>
        <w:pStyle w:val="NormalWeb"/>
        <w:numPr>
          <w:ilvl w:val="0"/>
          <w:numId w:val="19"/>
        </w:numPr>
        <w:shd w:val="clear" w:color="auto" w:fill="FFFFFF"/>
        <w:spacing w:lineRule="auto" w:line="360" w:before="0" w:after="0"/>
        <w:jc w:val="both"/>
        <w:rPr>
          <w:rFonts w:ascii="Arial" w:hAnsi="Arial" w:cs="Arial"/>
          <w:color w:val="000000" w:themeColor="text1"/>
        </w:rPr>
      </w:pPr>
      <w:r>
        <w:rPr>
          <w:rFonts w:cs="Arial"/>
          <w:color w:val="000000" w:themeColor="text1"/>
        </w:rPr>
        <w:t>Definir a estrutura de utilização das unidades experimentais de Curvelo e de Serro.</w:t>
      </w:r>
    </w:p>
    <w:p>
      <w:pPr>
        <w:pStyle w:val="NormalWeb"/>
        <w:numPr>
          <w:ilvl w:val="0"/>
          <w:numId w:val="19"/>
        </w:numPr>
        <w:shd w:val="clear" w:color="auto" w:fill="FFFFFF"/>
        <w:spacing w:lineRule="auto" w:line="360" w:before="0" w:after="0"/>
        <w:jc w:val="both"/>
        <w:rPr>
          <w:rFonts w:ascii="Arial" w:hAnsi="Arial" w:cs="Arial"/>
          <w:color w:val="000000" w:themeColor="text1"/>
        </w:rPr>
      </w:pPr>
      <w:r>
        <w:rPr>
          <w:rFonts w:cs="Arial"/>
          <w:color w:val="000000" w:themeColor="text1"/>
        </w:rPr>
        <w:t>Implementar ações para que a propriedade da unidade experimental de Couto de Magalhães de Minas seja transferida para a UFVJM, assim como a ampliação de sua área.</w:t>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Considerando o exposto quanto ao fechamento destas informações, as proposições gerais que deverão ser implementadas pela Diretoria de Administração para evolução das atividades desenvolvidas, pautarão nos seguintes objetivos:</w:t>
      </w:r>
    </w:p>
    <w:p>
      <w:pPr>
        <w:pStyle w:val="NormalWeb"/>
        <w:numPr>
          <w:ilvl w:val="0"/>
          <w:numId w:val="21"/>
        </w:numPr>
        <w:shd w:val="clear" w:color="auto" w:fill="FFFFFF"/>
        <w:spacing w:lineRule="auto" w:line="360" w:before="0" w:after="0"/>
        <w:jc w:val="both"/>
        <w:rPr>
          <w:rFonts w:ascii="Arial" w:hAnsi="Arial" w:cs="Arial"/>
          <w:color w:val="000000" w:themeColor="text1"/>
        </w:rPr>
      </w:pPr>
      <w:r>
        <w:rPr>
          <w:rFonts w:cs="Arial"/>
          <w:color w:val="000000" w:themeColor="text1"/>
        </w:rPr>
        <w:t>Implantar estrutura de assessoria técnica de legislação, com enfoque em ações orientativas, enquadramento das demandas à legislação, revisões de normativos internos, entre outras demandas desta natureza.</w:t>
      </w:r>
    </w:p>
    <w:p>
      <w:pPr>
        <w:pStyle w:val="NormalWeb"/>
        <w:numPr>
          <w:ilvl w:val="0"/>
          <w:numId w:val="21"/>
        </w:numPr>
        <w:shd w:val="clear" w:color="auto" w:fill="FFFFFF"/>
        <w:spacing w:lineRule="auto" w:line="360" w:before="0" w:after="0"/>
        <w:jc w:val="both"/>
        <w:rPr>
          <w:rFonts w:ascii="Arial" w:hAnsi="Arial" w:cs="Arial"/>
          <w:color w:val="000000" w:themeColor="text1"/>
        </w:rPr>
      </w:pPr>
      <w:r>
        <w:rPr>
          <w:rFonts w:cs="Arial"/>
          <w:color w:val="000000" w:themeColor="text1"/>
        </w:rPr>
        <w:t>Estruturar as atividades para que todos os processos vinculados à Diretoria de Administração sejam analisados em uma estrutura de controle preventivo.</w:t>
      </w:r>
    </w:p>
    <w:p>
      <w:pPr>
        <w:pStyle w:val="NormalWeb"/>
        <w:numPr>
          <w:ilvl w:val="0"/>
          <w:numId w:val="21"/>
        </w:numPr>
        <w:shd w:val="clear" w:color="auto" w:fill="FFFFFF"/>
        <w:spacing w:lineRule="auto" w:line="360" w:before="0" w:after="0"/>
        <w:jc w:val="both"/>
        <w:rPr>
          <w:rFonts w:ascii="Arial" w:hAnsi="Arial" w:cs="Arial"/>
          <w:color w:val="000000" w:themeColor="text1"/>
        </w:rPr>
      </w:pPr>
      <w:r>
        <w:rPr>
          <w:rFonts w:cs="Arial"/>
          <w:color w:val="000000" w:themeColor="text1"/>
        </w:rPr>
        <w:t>Estabelecer mecanismos de aprimoramento da gestão integrada de riscos dos processos desenvolvidas.</w:t>
      </w:r>
    </w:p>
    <w:p>
      <w:pPr>
        <w:pStyle w:val="NormalWeb"/>
        <w:numPr>
          <w:ilvl w:val="0"/>
          <w:numId w:val="21"/>
        </w:numPr>
        <w:shd w:val="clear" w:color="auto" w:fill="FFFFFF"/>
        <w:spacing w:lineRule="auto" w:line="360" w:before="0" w:after="0"/>
        <w:jc w:val="both"/>
        <w:rPr>
          <w:rFonts w:ascii="Arial" w:hAnsi="Arial" w:cs="Arial"/>
          <w:color w:val="000000" w:themeColor="text1"/>
        </w:rPr>
      </w:pPr>
      <w:r>
        <w:rPr>
          <w:rFonts w:cs="Arial"/>
          <w:color w:val="000000" w:themeColor="text1"/>
        </w:rPr>
        <w:t>Fortalecer a proposta de capacitação e qualificação dos servidores vinculados à Diretoria de Administração.</w:t>
      </w:r>
    </w:p>
    <w:p>
      <w:pPr>
        <w:pStyle w:val="NormalWeb"/>
        <w:numPr>
          <w:ilvl w:val="0"/>
          <w:numId w:val="21"/>
        </w:numPr>
        <w:shd w:val="clear" w:color="auto" w:fill="FFFFFF"/>
        <w:spacing w:lineRule="auto" w:line="360" w:before="0" w:after="0"/>
        <w:jc w:val="both"/>
        <w:rPr>
          <w:rFonts w:ascii="Arial" w:hAnsi="Arial" w:cs="Arial"/>
          <w:color w:val="000000" w:themeColor="text1"/>
        </w:rPr>
      </w:pPr>
      <w:r>
        <w:rPr>
          <w:rFonts w:cs="Arial"/>
          <w:color w:val="000000" w:themeColor="text1"/>
        </w:rPr>
        <w:t>Estabelecer uma política de dimensionamento da força de trabalho em relação aos processos desenvolvidas.</w:t>
      </w:r>
    </w:p>
    <w:p>
      <w:pPr>
        <w:pStyle w:val="NormalWeb"/>
        <w:numPr>
          <w:ilvl w:val="0"/>
          <w:numId w:val="21"/>
        </w:numPr>
        <w:shd w:val="clear" w:color="auto" w:fill="FFFFFF"/>
        <w:spacing w:lineRule="auto" w:line="360" w:before="0" w:after="0"/>
        <w:jc w:val="both"/>
        <w:rPr>
          <w:rFonts w:ascii="Arial" w:hAnsi="Arial" w:cs="Arial"/>
          <w:color w:val="000000" w:themeColor="text1"/>
        </w:rPr>
      </w:pPr>
      <w:r>
        <w:rPr>
          <w:rFonts w:cs="Arial"/>
          <w:color w:val="000000" w:themeColor="text1"/>
        </w:rPr>
        <w:t>Implementar a padronização de processos desenvolvidos na Diretoria de Administração.</w:t>
      </w:r>
    </w:p>
    <w:p>
      <w:pPr>
        <w:pStyle w:val="NormalWeb"/>
        <w:numPr>
          <w:ilvl w:val="0"/>
          <w:numId w:val="21"/>
        </w:numPr>
        <w:shd w:val="clear" w:color="auto" w:fill="FFFFFF"/>
        <w:spacing w:lineRule="auto" w:line="360" w:before="0" w:after="0"/>
        <w:jc w:val="both"/>
        <w:rPr>
          <w:rFonts w:ascii="Arial" w:hAnsi="Arial" w:cs="Arial"/>
          <w:color w:val="000000" w:themeColor="text1"/>
        </w:rPr>
      </w:pPr>
      <w:r>
        <w:rPr>
          <w:rFonts w:cs="Arial"/>
          <w:color w:val="000000" w:themeColor="text1"/>
        </w:rPr>
        <w:t>Estruturar os espaços físicos para a execução das atividades desenvolvidas na Diretoria de Administração.</w:t>
      </w:r>
    </w:p>
    <w:p>
      <w:pPr>
        <w:pStyle w:val="NormalWeb"/>
        <w:shd w:val="clear" w:color="auto" w:fill="FFFFFF"/>
        <w:spacing w:lineRule="auto" w:line="360" w:before="0" w:after="0"/>
        <w:ind w:left="720" w:hanging="0"/>
        <w:jc w:val="both"/>
        <w:rPr>
          <w:rFonts w:ascii="Arial" w:hAnsi="Arial" w:cs="Arial"/>
          <w:color w:val="000000" w:themeColor="text1"/>
        </w:rPr>
      </w:pPr>
      <w:r>
        <w:rPr>
          <w:rFonts w:cs="Arial"/>
          <w:color w:val="000000" w:themeColor="text1"/>
        </w:rPr>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Acresce às proposições acima, a articulação para que sejam implementadas ações de governança das atividades desenvolvidas na UFVJM, em atendimento da Instrução Normativa Conjunta nº 1, de 10 de maio de 2016 do Ministério do Planejamento, Orçamento e Gestão e a Controladoria Geral da União.</w:t>
      </w:r>
    </w:p>
    <w:p>
      <w:pPr>
        <w:pStyle w:val="NormalWeb"/>
        <w:shd w:val="clear" w:color="auto" w:fill="FFFFFF"/>
        <w:spacing w:lineRule="auto" w:line="360" w:before="0" w:after="0"/>
        <w:ind w:firstLine="708"/>
        <w:jc w:val="both"/>
        <w:rPr>
          <w:rFonts w:ascii="Arial" w:hAnsi="Arial" w:cs="Arial"/>
          <w:color w:val="000000" w:themeColor="text1"/>
        </w:rPr>
      </w:pPr>
      <w:r>
        <w:rPr>
          <w:rFonts w:cs="Arial"/>
          <w:color w:val="000000" w:themeColor="text1"/>
        </w:rPr>
        <w:t>Outro ponto que merece destaque, e que a Diretoria de Administração propõe, são os estudos para a criação de um escritório de processos na instituição, para que sejam estudados e racionalizados os processos de trabalho, de forma que os tornem eficientes e eficazes na prestação do serviço público, bem como no cumprimento dos objetivos propostos no Plano de Desenvolvimento Institucional (PDI) relacionadas à modernização da administração universitária.</w:t>
      </w:r>
    </w:p>
    <w:p>
      <w:pPr>
        <w:pStyle w:val="NormalWeb"/>
        <w:shd w:val="clear" w:color="auto" w:fill="FFFFFF"/>
        <w:spacing w:lineRule="auto" w:line="360" w:before="0" w:after="0"/>
        <w:ind w:first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color w:val="000000" w:themeColor="text1"/>
        </w:rPr>
      </w:pPr>
      <w:r>
        <w:rPr>
          <w:rFonts w:cs="Arial"/>
          <w:b/>
          <w:bCs/>
          <w:color w:val="000000" w:themeColor="text1"/>
        </w:rPr>
        <w:t xml:space="preserve">3.3.3.1. Diretoria de Tecnologia da Informação – DTI </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ind w:firstLine="708"/>
        <w:jc w:val="both"/>
        <w:rPr>
          <w:rFonts w:ascii="Arial" w:hAnsi="Arial" w:cs="Arial"/>
        </w:rPr>
      </w:pPr>
      <w:r>
        <w:rPr>
          <w:rFonts w:cs="Arial"/>
        </w:rPr>
        <w:t>A Diretoria de Tecnologia da Informação tem como finalidade o apoio e a execução de atividades necessárias à condução da política de informática no âmbito da UFVJM. Entre suas atribuições, destacam-se: (a) planejar, coordenar, orientar e supervisionar os trabalhos técnicos e administrativos referentes aos usosde informática, de acordo com as necessidades e especificidades da instituição; (b) administrar os recursos computacionais de uso geral da universidade; (c) prestar assessoria em atividades que demandam o uso da informática; (d) administrar os recursos computacionais de uso geral no âmbito da instituição; (e) propor a adoção e a difusão de novas tecnologias de informática; (f) prover infraestrutura em equipamentos/serviços de informática às atividades acadêmicas/administrativas da instituição; (g) prestar assistência técnica na área de hardware e software; (h) administrar os recursos computacionais de uso geral da instituição; e (i) fazer a manutenção e dar suporte à rede computacional.</w:t>
      </w:r>
    </w:p>
    <w:p>
      <w:pPr>
        <w:pStyle w:val="Corpodotexto"/>
        <w:spacing w:lineRule="auto" w:line="360"/>
        <w:ind w:left="0" w:firstLine="360"/>
        <w:jc w:val="both"/>
        <w:rPr>
          <w:sz w:val="24"/>
          <w:szCs w:val="24"/>
          <w:lang w:val="pt-BR"/>
        </w:rPr>
      </w:pPr>
      <w:r>
        <w:rPr>
          <w:sz w:val="24"/>
          <w:szCs w:val="24"/>
          <w:lang w:val="pt-BR"/>
        </w:rPr>
        <w:t>Atualmente, os principais sistemas de informação da UFVJM são:</w:t>
      </w:r>
    </w:p>
    <w:p>
      <w:pPr>
        <w:pStyle w:val="Corpodotexto"/>
        <w:spacing w:lineRule="auto" w:line="360"/>
        <w:ind w:left="0" w:firstLine="360"/>
        <w:jc w:val="both"/>
        <w:rPr>
          <w:sz w:val="24"/>
          <w:szCs w:val="24"/>
          <w:lang w:val="pt-BR"/>
        </w:rPr>
      </w:pPr>
      <w:r>
        <w:rPr>
          <w:sz w:val="24"/>
          <w:szCs w:val="24"/>
          <w:lang w:val="pt-BR"/>
        </w:rPr>
      </w:r>
    </w:p>
    <w:p>
      <w:pPr>
        <w:pStyle w:val="ListParagraph"/>
        <w:widowControl w:val="false"/>
        <w:numPr>
          <w:ilvl w:val="0"/>
          <w:numId w:val="42"/>
        </w:numPr>
        <w:tabs>
          <w:tab w:val="left" w:pos="227" w:leader="none"/>
        </w:tabs>
        <w:spacing w:lineRule="auto" w:line="360" w:before="0" w:after="0"/>
        <w:contextualSpacing/>
        <w:jc w:val="both"/>
        <w:rPr>
          <w:rFonts w:ascii="Arial" w:hAnsi="Arial" w:cs="Arial"/>
        </w:rPr>
      </w:pPr>
      <w:r>
        <w:rPr>
          <w:rFonts w:cs="Arial"/>
        </w:rPr>
        <w:t>SIGA:sob responsabilidade da DTI, é o principal sistema que gere as atividades acadêmicas eadministrativas da universidade.</w:t>
      </w:r>
    </w:p>
    <w:p>
      <w:pPr>
        <w:pStyle w:val="ListParagraph"/>
        <w:widowControl w:val="false"/>
        <w:numPr>
          <w:ilvl w:val="0"/>
          <w:numId w:val="42"/>
        </w:numPr>
        <w:tabs>
          <w:tab w:val="left" w:pos="227" w:leader="none"/>
        </w:tabs>
        <w:spacing w:lineRule="auto" w:line="360" w:before="0" w:after="0"/>
        <w:contextualSpacing/>
        <w:jc w:val="both"/>
        <w:rPr>
          <w:rFonts w:ascii="Arial" w:hAnsi="Arial" w:cs="Arial"/>
        </w:rPr>
      </w:pPr>
      <w:r>
        <w:rPr>
          <w:rFonts w:cs="Arial"/>
        </w:rPr>
        <w:t>Moodle: gerenciado pela EAD, é utilizado na gestão dos cursos àdistância e também em cursos semi-presenciais.</w:t>
      </w:r>
    </w:p>
    <w:p>
      <w:pPr>
        <w:pStyle w:val="ListParagraph"/>
        <w:widowControl w:val="false"/>
        <w:numPr>
          <w:ilvl w:val="0"/>
          <w:numId w:val="42"/>
        </w:numPr>
        <w:tabs>
          <w:tab w:val="left" w:pos="227" w:leader="none"/>
        </w:tabs>
        <w:spacing w:lineRule="auto" w:line="360" w:before="0" w:after="0"/>
        <w:contextualSpacing/>
        <w:jc w:val="both"/>
        <w:rPr>
          <w:rFonts w:ascii="Arial" w:hAnsi="Arial" w:cs="Arial"/>
        </w:rPr>
      </w:pPr>
      <w:r>
        <w:rPr>
          <w:rFonts w:cs="Arial"/>
        </w:rPr>
        <w:t xml:space="preserve">Portal: sob gerência e supervisão da Diretoria de Comunicação (DICOM), é o sítio </w:t>
      </w:r>
      <w:r>
        <w:rPr>
          <w:rFonts w:cs="Arial"/>
          <w:i/>
        </w:rPr>
        <w:t>on-line</w:t>
      </w:r>
      <w:r>
        <w:rPr>
          <w:rFonts w:cs="Arial"/>
        </w:rPr>
        <w:t>da universidade.</w:t>
      </w:r>
    </w:p>
    <w:p>
      <w:pPr>
        <w:pStyle w:val="ListParagraph"/>
        <w:widowControl w:val="false"/>
        <w:numPr>
          <w:ilvl w:val="0"/>
          <w:numId w:val="42"/>
        </w:numPr>
        <w:tabs>
          <w:tab w:val="left" w:pos="227" w:leader="none"/>
        </w:tabs>
        <w:spacing w:lineRule="auto" w:line="360" w:before="0" w:after="0"/>
        <w:contextualSpacing/>
        <w:jc w:val="both"/>
        <w:rPr>
          <w:rFonts w:ascii="Arial" w:hAnsi="Arial" w:cs="Arial"/>
        </w:rPr>
      </w:pPr>
      <w:r>
        <w:rPr>
          <w:rFonts w:cs="Arial"/>
        </w:rPr>
        <w:t xml:space="preserve">Redmine: largamente utilizado pela DTI e </w:t>
      </w:r>
      <w:r>
        <w:rPr>
          <w:rFonts w:cs="Arial"/>
          <w:spacing w:val="-3"/>
        </w:rPr>
        <w:t xml:space="preserve">sob sua </w:t>
      </w:r>
      <w:r>
        <w:rPr>
          <w:rFonts w:cs="Arial"/>
        </w:rPr>
        <w:t>gerência, é um sistema para gestão de projetos.</w:t>
      </w:r>
    </w:p>
    <w:p>
      <w:pPr>
        <w:pStyle w:val="ListParagraph"/>
        <w:tabs>
          <w:tab w:val="left" w:pos="227" w:leader="none"/>
        </w:tabs>
        <w:spacing w:lineRule="auto" w:line="360" w:before="0" w:after="0"/>
        <w:ind w:left="0" w:hanging="0"/>
        <w:contextualSpacing/>
        <w:jc w:val="both"/>
        <w:rPr>
          <w:rFonts w:ascii="Arial" w:hAnsi="Arial" w:cs="Arial"/>
        </w:rPr>
      </w:pPr>
      <w:r>
        <w:rPr>
          <w:rFonts w:cs="Arial"/>
        </w:rPr>
        <w:tab/>
      </w:r>
    </w:p>
    <w:p>
      <w:pPr>
        <w:pStyle w:val="ListParagraph"/>
        <w:tabs>
          <w:tab w:val="left" w:pos="227" w:leader="none"/>
        </w:tabs>
        <w:spacing w:lineRule="auto" w:line="360" w:before="0" w:after="0"/>
        <w:ind w:left="0" w:hanging="0"/>
        <w:contextualSpacing/>
        <w:jc w:val="both"/>
        <w:rPr>
          <w:rFonts w:ascii="Arial" w:hAnsi="Arial" w:cs="Arial"/>
        </w:rPr>
      </w:pPr>
      <w:r>
        <w:rPr>
          <w:rFonts w:cs="Arial"/>
        </w:rPr>
        <w:tab/>
        <w:t xml:space="preserve">No que se refere às ações realizadas no último quadriênio, ligadas à infraestrutura de informática, como previsto no PDI 2012-2016, destacamos a aquisição e a implantação de uma solução de virtualização, </w:t>
      </w:r>
      <w:r>
        <w:rPr>
          <w:rFonts w:cs="Arial"/>
          <w:i/>
        </w:rPr>
        <w:t>backup</w:t>
      </w:r>
      <w:r>
        <w:rPr>
          <w:rFonts w:cs="Arial"/>
        </w:rPr>
        <w:t xml:space="preserve">, </w:t>
      </w:r>
      <w:r>
        <w:rPr>
          <w:rFonts w:cs="Arial"/>
          <w:i/>
        </w:rPr>
        <w:t>storage</w:t>
      </w:r>
      <w:r>
        <w:rPr>
          <w:rFonts w:cs="Arial"/>
        </w:rPr>
        <w:t xml:space="preserve"> e </w:t>
      </w:r>
      <w:r>
        <w:rPr>
          <w:rFonts w:cs="Arial"/>
          <w:i/>
        </w:rPr>
        <w:t>site backup</w:t>
      </w:r>
      <w:r>
        <w:rPr>
          <w:rFonts w:cs="Arial"/>
        </w:rPr>
        <w:t>,visando à reestruturação do Data Center e a obtenção de ganhos em performance e segurança dos dados. Em 2015, vários sistemas internos foram migrados para essa nova estrutura, em especial o serviço de e-mail. Em 2016, todos os sistemas internos que são geridos pela DTI foram migrados para essa estrutura.</w:t>
      </w:r>
    </w:p>
    <w:p>
      <w:pPr>
        <w:pStyle w:val="Corpodotexto"/>
        <w:spacing w:lineRule="auto" w:line="360"/>
        <w:ind w:left="0" w:firstLine="708"/>
        <w:jc w:val="both"/>
        <w:rPr>
          <w:sz w:val="24"/>
          <w:szCs w:val="24"/>
          <w:lang w:val="pt-BR"/>
        </w:rPr>
      </w:pPr>
      <w:r>
        <w:rPr>
          <w:sz w:val="24"/>
          <w:szCs w:val="24"/>
          <w:lang w:val="pt-BR"/>
        </w:rPr>
        <w:t>No que se refere aos recursos humanos, ocorreram melhorias no quadro de pessoal com a nomeação de seis (06) analistas de TI, (04) quatro técnicos de TI e um (01) Assistente de TI. No ano de 2015, o Comitê de Informática passou por reformulações em sua composição tornando-se multidisciplinar com representação de docentes, discentes, técnicos administrativos, conselhos superiores, unidades de TI e pró-reitorias administrativas. O comitê produziu o Plano de Diretor de Tecnologia da Informação, biênio 2016-2017, cuja aprovação ocorreu em agosto de 2016 pelo Conselho Universitário (CONSU).</w:t>
      </w:r>
    </w:p>
    <w:p>
      <w:pPr>
        <w:pStyle w:val="Corpodotexto"/>
        <w:spacing w:lineRule="auto" w:line="360"/>
        <w:ind w:left="0" w:firstLine="708"/>
        <w:jc w:val="both"/>
        <w:rPr>
          <w:sz w:val="24"/>
          <w:szCs w:val="24"/>
          <w:lang w:val="pt-BR"/>
        </w:rPr>
      </w:pPr>
      <w:r>
        <w:rPr>
          <w:sz w:val="24"/>
          <w:szCs w:val="24"/>
          <w:lang w:val="pt-BR"/>
        </w:rPr>
        <w:t xml:space="preserve">Em termos de infraestrutura de informática, no final de 2015, a telefonia IP foi implantada no </w:t>
      </w:r>
      <w:r>
        <w:rPr>
          <w:i/>
          <w:sz w:val="24"/>
          <w:szCs w:val="24"/>
          <w:lang w:val="pt-BR"/>
        </w:rPr>
        <w:t>campus</w:t>
      </w:r>
      <w:r>
        <w:rPr>
          <w:sz w:val="24"/>
          <w:szCs w:val="24"/>
          <w:lang w:val="pt-BR"/>
        </w:rPr>
        <w:t xml:space="preserve"> do Mucuri, Teófilo/MG, a partir da utilização de</w:t>
      </w:r>
      <w:r>
        <w:rPr>
          <w:i/>
          <w:sz w:val="24"/>
          <w:szCs w:val="24"/>
          <w:lang w:val="pt-BR"/>
        </w:rPr>
        <w:t>software</w:t>
      </w:r>
      <w:r>
        <w:rPr>
          <w:sz w:val="24"/>
          <w:szCs w:val="24"/>
          <w:lang w:val="pt-BR"/>
        </w:rPr>
        <w:t xml:space="preserve"> livre. Espera-se que em 2017 essa mesma tecnologia seja implantada em todos os </w:t>
      </w:r>
      <w:r>
        <w:rPr>
          <w:i/>
          <w:sz w:val="24"/>
          <w:szCs w:val="24"/>
          <w:lang w:val="pt-BR"/>
        </w:rPr>
        <w:t>campi</w:t>
      </w:r>
      <w:r>
        <w:rPr>
          <w:sz w:val="24"/>
          <w:szCs w:val="24"/>
          <w:lang w:val="pt-BR"/>
        </w:rPr>
        <w:t xml:space="preserve"> da UFVJM, o que viabilizaráchamadas de áudio, tal como as ligações telefônicas, entre os </w:t>
      </w:r>
      <w:r>
        <w:rPr>
          <w:i/>
          <w:sz w:val="24"/>
          <w:szCs w:val="24"/>
          <w:lang w:val="pt-BR"/>
        </w:rPr>
        <w:t>campi</w:t>
      </w:r>
      <w:r>
        <w:rPr>
          <w:sz w:val="24"/>
          <w:szCs w:val="24"/>
          <w:lang w:val="pt-BR"/>
        </w:rPr>
        <w:t xml:space="preserve"> por meio da internet. Tal ação pode gerar uma grande economia no custo e a melhoria da comunicação interna.</w:t>
      </w:r>
    </w:p>
    <w:p>
      <w:pPr>
        <w:pStyle w:val="Corpodotexto"/>
        <w:spacing w:lineRule="auto" w:line="360"/>
        <w:ind w:left="0" w:firstLine="708"/>
        <w:jc w:val="both"/>
        <w:rPr>
          <w:sz w:val="24"/>
          <w:szCs w:val="24"/>
          <w:lang w:val="pt-BR"/>
        </w:rPr>
      </w:pPr>
      <w:r>
        <w:rPr>
          <w:sz w:val="24"/>
          <w:szCs w:val="24"/>
          <w:lang w:val="pt-BR"/>
        </w:rPr>
        <w:t xml:space="preserve">Neste mesmo período, houve também grandes melhorias na conectividade à internet em todos os </w:t>
      </w:r>
      <w:r>
        <w:rPr>
          <w:i/>
          <w:sz w:val="24"/>
          <w:szCs w:val="24"/>
          <w:lang w:val="pt-BR"/>
        </w:rPr>
        <w:t>campi.</w:t>
      </w:r>
      <w:r>
        <w:rPr>
          <w:sz w:val="24"/>
          <w:szCs w:val="24"/>
          <w:lang w:val="pt-BR"/>
        </w:rPr>
        <w:t xml:space="preserve"> No </w:t>
      </w:r>
      <w:r>
        <w:rPr>
          <w:i/>
          <w:sz w:val="24"/>
          <w:szCs w:val="24"/>
          <w:lang w:val="pt-BR"/>
        </w:rPr>
        <w:t>campus</w:t>
      </w:r>
      <w:r>
        <w:rPr>
          <w:sz w:val="24"/>
          <w:szCs w:val="24"/>
          <w:lang w:val="pt-BR"/>
        </w:rPr>
        <w:t xml:space="preserve"> JK houve um</w:t>
      </w:r>
      <w:r>
        <w:rPr>
          <w:i/>
          <w:sz w:val="24"/>
          <w:szCs w:val="24"/>
          <w:lang w:val="pt-BR"/>
        </w:rPr>
        <w:t>upgrade</w:t>
      </w:r>
      <w:r>
        <w:rPr>
          <w:sz w:val="24"/>
          <w:szCs w:val="24"/>
          <w:lang w:val="pt-BR"/>
        </w:rPr>
        <w:t xml:space="preserve"> de 34Mbs para 200Mbs, no </w:t>
      </w:r>
      <w:r>
        <w:rPr>
          <w:i/>
          <w:sz w:val="24"/>
          <w:szCs w:val="24"/>
          <w:lang w:val="pt-BR"/>
        </w:rPr>
        <w:t>campus</w:t>
      </w:r>
      <w:r>
        <w:rPr>
          <w:sz w:val="24"/>
          <w:szCs w:val="24"/>
          <w:lang w:val="pt-BR"/>
        </w:rPr>
        <w:t xml:space="preserve"> do Mucuri houve um</w:t>
      </w:r>
      <w:r>
        <w:rPr>
          <w:i/>
          <w:sz w:val="24"/>
          <w:szCs w:val="24"/>
          <w:lang w:val="pt-BR"/>
        </w:rPr>
        <w:t>upgrade</w:t>
      </w:r>
      <w:r>
        <w:rPr>
          <w:sz w:val="24"/>
          <w:szCs w:val="24"/>
          <w:lang w:val="pt-BR"/>
        </w:rPr>
        <w:t xml:space="preserve"> de 60Mbs para 100Mbs, no </w:t>
      </w:r>
      <w:r>
        <w:rPr>
          <w:i/>
          <w:sz w:val="24"/>
          <w:szCs w:val="24"/>
          <w:lang w:val="pt-BR"/>
        </w:rPr>
        <w:t>campus</w:t>
      </w:r>
      <w:r>
        <w:rPr>
          <w:sz w:val="24"/>
          <w:szCs w:val="24"/>
          <w:lang w:val="pt-BR"/>
        </w:rPr>
        <w:t xml:space="preserve"> Ihouve a instalação de um </w:t>
      </w:r>
      <w:r>
        <w:rPr>
          <w:i/>
          <w:sz w:val="24"/>
          <w:szCs w:val="24"/>
          <w:lang w:val="pt-BR"/>
        </w:rPr>
        <w:t>link</w:t>
      </w:r>
      <w:r>
        <w:rPr>
          <w:sz w:val="24"/>
          <w:szCs w:val="24"/>
          <w:lang w:val="pt-BR"/>
        </w:rPr>
        <w:t xml:space="preserve"> de 100Mbs, e nos</w:t>
      </w:r>
      <w:r>
        <w:rPr>
          <w:i/>
          <w:sz w:val="24"/>
          <w:szCs w:val="24"/>
          <w:lang w:val="pt-BR"/>
        </w:rPr>
        <w:t xml:space="preserve"> campi</w:t>
      </w:r>
      <w:r>
        <w:rPr>
          <w:sz w:val="24"/>
          <w:szCs w:val="24"/>
          <w:lang w:val="pt-BR"/>
        </w:rPr>
        <w:t xml:space="preserve"> de Janaúba, Unaí e Fazendahouve a instalação de um </w:t>
      </w:r>
      <w:r>
        <w:rPr>
          <w:i/>
          <w:sz w:val="24"/>
          <w:szCs w:val="24"/>
          <w:lang w:val="pt-BR"/>
        </w:rPr>
        <w:t>link</w:t>
      </w:r>
      <w:r>
        <w:rPr>
          <w:sz w:val="24"/>
          <w:szCs w:val="24"/>
          <w:lang w:val="pt-BR"/>
        </w:rPr>
        <w:t xml:space="preserve"> de 20Mbs.</w:t>
      </w:r>
    </w:p>
    <w:p>
      <w:pPr>
        <w:pStyle w:val="Corpodotexto"/>
        <w:spacing w:lineRule="auto" w:line="360"/>
        <w:ind w:left="0" w:firstLine="708"/>
        <w:jc w:val="both"/>
        <w:rPr>
          <w:sz w:val="24"/>
          <w:szCs w:val="24"/>
          <w:lang w:val="pt-BR"/>
        </w:rPr>
      </w:pPr>
      <w:r>
        <w:rPr>
          <w:sz w:val="24"/>
          <w:szCs w:val="24"/>
          <w:lang w:val="pt-BR"/>
        </w:rPr>
      </w:r>
    </w:p>
    <w:p>
      <w:pPr>
        <w:pStyle w:val="Corpodotexto"/>
        <w:spacing w:lineRule="auto" w:line="360"/>
        <w:ind w:left="0" w:firstLine="708"/>
        <w:jc w:val="both"/>
        <w:rPr>
          <w:b/>
          <w:b/>
          <w:sz w:val="24"/>
          <w:szCs w:val="24"/>
          <w:lang w:val="pt-BR"/>
        </w:rPr>
      </w:pPr>
      <w:r>
        <w:rPr>
          <w:b/>
          <w:sz w:val="24"/>
          <w:szCs w:val="24"/>
          <w:lang w:val="pt-BR"/>
        </w:rPr>
        <w:t xml:space="preserve">PLANO DE DESENVOLVIMENTO INSTITUCIONAL – 2017 – 2021 </w:t>
      </w:r>
    </w:p>
    <w:p>
      <w:pPr>
        <w:pStyle w:val="Corpodotexto"/>
        <w:spacing w:lineRule="auto" w:line="360"/>
        <w:ind w:left="0" w:firstLine="708"/>
        <w:jc w:val="both"/>
        <w:rPr>
          <w:b/>
          <w:b/>
          <w:sz w:val="24"/>
          <w:szCs w:val="24"/>
          <w:lang w:val="pt-BR"/>
        </w:rPr>
      </w:pPr>
      <w:r>
        <w:rPr>
          <w:b/>
          <w:sz w:val="24"/>
          <w:szCs w:val="24"/>
          <w:lang w:val="pt-BR"/>
        </w:rPr>
      </w:r>
    </w:p>
    <w:p>
      <w:pPr>
        <w:pStyle w:val="Corpodotexto"/>
        <w:spacing w:lineRule="auto" w:line="360"/>
        <w:jc w:val="both"/>
        <w:rPr>
          <w:b/>
          <w:b/>
          <w:sz w:val="24"/>
          <w:szCs w:val="24"/>
          <w:lang w:val="pt-BR"/>
        </w:rPr>
      </w:pPr>
      <w:r>
        <w:rPr>
          <w:b/>
          <w:sz w:val="24"/>
          <w:szCs w:val="24"/>
          <w:lang w:val="pt-BR"/>
        </w:rPr>
        <w:t>Objetivos</w:t>
      </w:r>
    </w:p>
    <w:p>
      <w:pPr>
        <w:pStyle w:val="Corpodotexto"/>
        <w:numPr>
          <w:ilvl w:val="0"/>
          <w:numId w:val="49"/>
        </w:numPr>
        <w:spacing w:lineRule="auto" w:line="360"/>
        <w:jc w:val="both"/>
        <w:rPr>
          <w:b/>
          <w:b/>
          <w:sz w:val="24"/>
          <w:szCs w:val="24"/>
          <w:lang w:val="pt-BR"/>
        </w:rPr>
      </w:pPr>
      <w:r>
        <w:rPr>
          <w:sz w:val="24"/>
          <w:szCs w:val="24"/>
          <w:lang w:val="pt-BR"/>
        </w:rPr>
        <w:t>Propiciar infraestrutura e demais recursos de TI necessários e adequados às atividades acadêmicas e administrativas da universidade.</w:t>
      </w:r>
    </w:p>
    <w:p>
      <w:pPr>
        <w:pStyle w:val="Corpodotexto"/>
        <w:numPr>
          <w:ilvl w:val="0"/>
          <w:numId w:val="49"/>
        </w:numPr>
        <w:spacing w:lineRule="auto" w:line="360"/>
        <w:jc w:val="both"/>
        <w:rPr>
          <w:b/>
          <w:b/>
          <w:sz w:val="24"/>
          <w:szCs w:val="24"/>
          <w:lang w:val="pt-BR"/>
        </w:rPr>
      </w:pPr>
      <w:r>
        <w:rPr>
          <w:sz w:val="24"/>
          <w:szCs w:val="24"/>
          <w:lang w:val="pt-BR"/>
        </w:rPr>
        <w:t>Desenvolver e gerir Sistemas de Informação.</w:t>
      </w:r>
    </w:p>
    <w:p>
      <w:pPr>
        <w:pStyle w:val="Corpodotexto"/>
        <w:numPr>
          <w:ilvl w:val="0"/>
          <w:numId w:val="49"/>
        </w:numPr>
        <w:spacing w:lineRule="auto" w:line="360"/>
        <w:jc w:val="both"/>
        <w:rPr>
          <w:b/>
          <w:b/>
          <w:sz w:val="24"/>
          <w:szCs w:val="24"/>
          <w:lang w:val="pt-BR"/>
        </w:rPr>
      </w:pPr>
      <w:r>
        <w:rPr>
          <w:sz w:val="24"/>
          <w:szCs w:val="24"/>
          <w:lang w:val="pt-BR"/>
        </w:rPr>
        <w:t>Melhorar a gestão e a qualificação do quadro de pessoal de TI.</w:t>
      </w:r>
    </w:p>
    <w:p>
      <w:pPr>
        <w:pStyle w:val="Corpodotexto"/>
        <w:numPr>
          <w:ilvl w:val="0"/>
          <w:numId w:val="49"/>
        </w:numPr>
        <w:spacing w:lineRule="auto" w:line="360"/>
        <w:jc w:val="both"/>
        <w:rPr>
          <w:b/>
          <w:b/>
          <w:sz w:val="24"/>
          <w:szCs w:val="24"/>
          <w:lang w:val="pt-BR"/>
        </w:rPr>
      </w:pPr>
      <w:r>
        <w:rPr>
          <w:sz w:val="24"/>
          <w:szCs w:val="24"/>
          <w:lang w:val="pt-BR"/>
        </w:rPr>
        <w:t>Ampliar o uso de novas tecnologias de informação e comunicação (NTICs) na educação.</w:t>
      </w:r>
    </w:p>
    <w:p>
      <w:pPr>
        <w:pStyle w:val="Corpodotexto"/>
        <w:numPr>
          <w:ilvl w:val="0"/>
          <w:numId w:val="49"/>
        </w:numPr>
        <w:spacing w:lineRule="auto" w:line="360"/>
        <w:jc w:val="both"/>
        <w:rPr>
          <w:b/>
          <w:b/>
          <w:sz w:val="24"/>
          <w:szCs w:val="24"/>
          <w:lang w:val="pt-BR"/>
        </w:rPr>
      </w:pPr>
      <w:r>
        <w:rPr>
          <w:sz w:val="24"/>
          <w:szCs w:val="24"/>
          <w:lang w:val="pt-BR"/>
        </w:rPr>
        <w:t>Aprimorar a Governançade TI.</w:t>
      </w:r>
    </w:p>
    <w:p>
      <w:pPr>
        <w:pStyle w:val="Corpodotexto"/>
        <w:spacing w:lineRule="auto" w:line="360"/>
        <w:ind w:left="360" w:hanging="0"/>
        <w:jc w:val="both"/>
        <w:rPr>
          <w:sz w:val="24"/>
          <w:szCs w:val="24"/>
          <w:lang w:val="pt-BR"/>
        </w:rPr>
      </w:pPr>
      <w:r>
        <w:rPr>
          <w:sz w:val="24"/>
          <w:szCs w:val="24"/>
          <w:highlight w:val="cyan"/>
          <w:lang w:val="pt-BR"/>
        </w:rPr>
        <w:t>(SOLICITANTE: TAs JANAÚBA)</w:t>
      </w:r>
    </w:p>
    <w:p>
      <w:pPr>
        <w:pStyle w:val="Corpodotexto"/>
        <w:numPr>
          <w:ilvl w:val="0"/>
          <w:numId w:val="49"/>
        </w:numPr>
        <w:spacing w:lineRule="auto" w:line="360"/>
        <w:jc w:val="both"/>
        <w:rPr>
          <w:color w:val="0070C0"/>
          <w:sz w:val="24"/>
          <w:szCs w:val="24"/>
          <w:lang w:val="pt-BR"/>
        </w:rPr>
      </w:pPr>
      <w:r>
        <w:rPr>
          <w:color w:val="0070C0"/>
          <w:sz w:val="24"/>
          <w:szCs w:val="24"/>
          <w:lang w:val="pt-BR"/>
        </w:rPr>
        <w:t>Adesão a out sorcing (tercerização) de serviço de impressão.</w:t>
      </w:r>
    </w:p>
    <w:p>
      <w:pPr>
        <w:pStyle w:val="Corpodotexto"/>
        <w:numPr>
          <w:ilvl w:val="0"/>
          <w:numId w:val="49"/>
        </w:numPr>
        <w:spacing w:lineRule="auto" w:line="360"/>
        <w:jc w:val="both"/>
        <w:rPr>
          <w:color w:val="0070C0"/>
          <w:sz w:val="24"/>
          <w:szCs w:val="24"/>
          <w:lang w:val="pt-BR"/>
        </w:rPr>
      </w:pPr>
      <w:r>
        <w:rPr>
          <w:color w:val="0070C0"/>
          <w:sz w:val="24"/>
          <w:szCs w:val="24"/>
          <w:lang w:val="pt-BR"/>
        </w:rPr>
        <w:t>Ampliar link de internet do campus de Janaúba.</w:t>
      </w:r>
    </w:p>
    <w:p>
      <w:pPr>
        <w:pStyle w:val="Corpodotexto"/>
        <w:spacing w:lineRule="auto" w:line="360"/>
        <w:ind w:left="0" w:hanging="0"/>
        <w:jc w:val="both"/>
        <w:rPr>
          <w:b/>
          <w:b/>
          <w:sz w:val="24"/>
          <w:szCs w:val="24"/>
          <w:lang w:val="pt-BR"/>
        </w:rPr>
      </w:pPr>
      <w:r>
        <w:rPr>
          <w:b/>
          <w:sz w:val="24"/>
          <w:szCs w:val="24"/>
          <w:lang w:val="pt-BR"/>
        </w:rPr>
      </w:r>
    </w:p>
    <w:p>
      <w:pPr>
        <w:pStyle w:val="Corpodotexto"/>
        <w:spacing w:lineRule="auto" w:line="360"/>
        <w:ind w:left="0" w:hanging="0"/>
        <w:jc w:val="both"/>
        <w:rPr>
          <w:b/>
          <w:b/>
          <w:sz w:val="24"/>
          <w:szCs w:val="24"/>
          <w:lang w:val="pt-BR"/>
        </w:rPr>
      </w:pPr>
      <w:r>
        <w:rPr>
          <w:b/>
          <w:sz w:val="24"/>
          <w:szCs w:val="24"/>
          <w:lang w:val="pt-BR"/>
        </w:rPr>
        <w:t>Metas</w:t>
      </w:r>
    </w:p>
    <w:p>
      <w:pPr>
        <w:pStyle w:val="Corpodotexto"/>
        <w:spacing w:lineRule="auto" w:line="360"/>
        <w:ind w:left="0" w:hanging="0"/>
        <w:jc w:val="both"/>
        <w:rPr>
          <w:b/>
          <w:b/>
          <w:sz w:val="24"/>
          <w:szCs w:val="24"/>
          <w:lang w:val="pt-BR"/>
        </w:rPr>
      </w:pPr>
      <w:r>
        <w:rPr>
          <w:b/>
          <w:sz w:val="24"/>
          <w:szCs w:val="24"/>
          <w:lang w:val="pt-BR"/>
        </w:rPr>
      </w:r>
    </w:p>
    <w:p>
      <w:pPr>
        <w:pStyle w:val="Corpodotexto"/>
        <w:numPr>
          <w:ilvl w:val="0"/>
          <w:numId w:val="50"/>
        </w:numPr>
        <w:spacing w:lineRule="auto" w:line="360"/>
        <w:jc w:val="both"/>
        <w:rPr>
          <w:b/>
          <w:b/>
          <w:sz w:val="24"/>
          <w:szCs w:val="24"/>
          <w:lang w:val="pt-BR"/>
        </w:rPr>
      </w:pPr>
      <w:r>
        <w:rPr>
          <w:sz w:val="24"/>
          <w:szCs w:val="24"/>
          <w:lang w:val="pt-BR"/>
        </w:rPr>
        <w:t xml:space="preserve">Atualizar, ampliar e manter a infraestrutura dos </w:t>
      </w:r>
      <w:r>
        <w:rPr>
          <w:i/>
          <w:sz w:val="24"/>
          <w:szCs w:val="24"/>
          <w:lang w:val="pt-BR"/>
        </w:rPr>
        <w:t>data centers.</w:t>
      </w:r>
    </w:p>
    <w:p>
      <w:pPr>
        <w:pStyle w:val="Corpodotexto"/>
        <w:numPr>
          <w:ilvl w:val="0"/>
          <w:numId w:val="50"/>
        </w:numPr>
        <w:spacing w:lineRule="auto" w:line="360"/>
        <w:jc w:val="both"/>
        <w:rPr>
          <w:b/>
          <w:b/>
          <w:sz w:val="24"/>
          <w:szCs w:val="24"/>
          <w:lang w:val="pt-BR"/>
        </w:rPr>
      </w:pPr>
      <w:r>
        <w:rPr>
          <w:sz w:val="24"/>
          <w:szCs w:val="24"/>
          <w:lang w:val="pt-BR"/>
        </w:rPr>
        <w:t xml:space="preserve">Atualizar e ampliar o parque de estações de trabalho e dispositivos móveis com seus equipamentos, </w:t>
      </w:r>
      <w:r>
        <w:rPr>
          <w:i/>
          <w:sz w:val="24"/>
          <w:szCs w:val="24"/>
          <w:lang w:val="pt-BR"/>
        </w:rPr>
        <w:t>software</w:t>
      </w:r>
      <w:r>
        <w:rPr>
          <w:sz w:val="24"/>
          <w:szCs w:val="24"/>
          <w:lang w:val="pt-BR"/>
        </w:rPr>
        <w:t xml:space="preserve"> e serviços.</w:t>
      </w:r>
    </w:p>
    <w:p>
      <w:pPr>
        <w:pStyle w:val="Corpodotexto"/>
        <w:numPr>
          <w:ilvl w:val="0"/>
          <w:numId w:val="50"/>
        </w:numPr>
        <w:spacing w:lineRule="auto" w:line="360"/>
        <w:jc w:val="both"/>
        <w:rPr>
          <w:b/>
          <w:b/>
          <w:sz w:val="24"/>
          <w:szCs w:val="24"/>
          <w:lang w:val="pt-BR"/>
        </w:rPr>
      </w:pPr>
      <w:r>
        <w:rPr>
          <w:sz w:val="24"/>
          <w:szCs w:val="24"/>
          <w:lang w:val="pt-BR"/>
        </w:rPr>
        <w:t>Atualizar e ampliar os laboratórios deTI.</w:t>
      </w:r>
    </w:p>
    <w:p>
      <w:pPr>
        <w:pStyle w:val="Corpodotexto"/>
        <w:numPr>
          <w:ilvl w:val="0"/>
          <w:numId w:val="50"/>
        </w:numPr>
        <w:spacing w:lineRule="auto" w:line="360"/>
        <w:jc w:val="both"/>
        <w:rPr>
          <w:b/>
          <w:b/>
          <w:sz w:val="24"/>
          <w:szCs w:val="24"/>
          <w:lang w:val="pt-BR"/>
        </w:rPr>
      </w:pPr>
      <w:r>
        <w:rPr>
          <w:sz w:val="24"/>
          <w:szCs w:val="24"/>
          <w:lang w:val="pt-BR"/>
        </w:rPr>
        <w:t>Atualizar, ampliar e manter a infraestrutura da rede cabeada.</w:t>
      </w:r>
    </w:p>
    <w:p>
      <w:pPr>
        <w:pStyle w:val="Corpodotexto"/>
        <w:numPr>
          <w:ilvl w:val="0"/>
          <w:numId w:val="50"/>
        </w:numPr>
        <w:spacing w:lineRule="auto" w:line="360"/>
        <w:jc w:val="both"/>
        <w:rPr>
          <w:b/>
          <w:b/>
          <w:sz w:val="24"/>
          <w:szCs w:val="24"/>
          <w:lang w:val="pt-BR"/>
        </w:rPr>
      </w:pPr>
      <w:r>
        <w:rPr>
          <w:sz w:val="24"/>
          <w:szCs w:val="24"/>
          <w:lang w:val="pt-BR"/>
        </w:rPr>
        <w:t>Atualizar, ampliar a cobertura e manter a rede sem fio.</w:t>
      </w:r>
    </w:p>
    <w:p>
      <w:pPr>
        <w:pStyle w:val="Corpodotexto"/>
        <w:numPr>
          <w:ilvl w:val="0"/>
          <w:numId w:val="50"/>
        </w:numPr>
        <w:spacing w:lineRule="auto" w:line="360"/>
        <w:jc w:val="both"/>
        <w:rPr>
          <w:b/>
          <w:b/>
          <w:sz w:val="24"/>
          <w:szCs w:val="24"/>
          <w:lang w:val="pt-BR"/>
        </w:rPr>
      </w:pPr>
      <w:r>
        <w:rPr>
          <w:sz w:val="24"/>
          <w:szCs w:val="24"/>
        </w:rPr>
        <w:t>Adquirir</w:t>
      </w:r>
      <w:r>
        <w:rPr>
          <w:i/>
          <w:sz w:val="24"/>
          <w:szCs w:val="24"/>
        </w:rPr>
        <w:t>softwares.</w:t>
      </w:r>
    </w:p>
    <w:p>
      <w:pPr>
        <w:pStyle w:val="Corpodotexto"/>
        <w:numPr>
          <w:ilvl w:val="0"/>
          <w:numId w:val="50"/>
        </w:numPr>
        <w:spacing w:lineRule="auto" w:line="360"/>
        <w:jc w:val="both"/>
        <w:rPr>
          <w:b/>
          <w:b/>
          <w:sz w:val="24"/>
          <w:szCs w:val="24"/>
          <w:lang w:val="pt-BR"/>
        </w:rPr>
      </w:pPr>
      <w:r>
        <w:rPr>
          <w:sz w:val="24"/>
          <w:szCs w:val="24"/>
        </w:rPr>
        <w:t>Adotarpadrões e-PING.</w:t>
      </w:r>
    </w:p>
    <w:p>
      <w:pPr>
        <w:pStyle w:val="Corpodotexto"/>
        <w:numPr>
          <w:ilvl w:val="0"/>
          <w:numId w:val="50"/>
        </w:numPr>
        <w:spacing w:lineRule="auto" w:line="360"/>
        <w:jc w:val="both"/>
        <w:rPr>
          <w:b/>
          <w:b/>
          <w:sz w:val="24"/>
          <w:szCs w:val="24"/>
          <w:lang w:val="pt-BR"/>
        </w:rPr>
      </w:pPr>
      <w:r>
        <w:rPr>
          <w:sz w:val="24"/>
          <w:szCs w:val="24"/>
          <w:lang w:val="pt-BR"/>
        </w:rPr>
        <w:t>Aperfeiçoar o Portal da Universidade.</w:t>
      </w:r>
    </w:p>
    <w:p>
      <w:pPr>
        <w:pStyle w:val="Corpodotexto"/>
        <w:numPr>
          <w:ilvl w:val="0"/>
          <w:numId w:val="50"/>
        </w:numPr>
        <w:spacing w:lineRule="auto" w:line="360"/>
        <w:jc w:val="both"/>
        <w:rPr>
          <w:b/>
          <w:b/>
          <w:sz w:val="24"/>
          <w:szCs w:val="24"/>
          <w:lang w:val="pt-BR"/>
        </w:rPr>
      </w:pPr>
      <w:r>
        <w:rPr>
          <w:sz w:val="24"/>
          <w:szCs w:val="24"/>
          <w:lang w:val="pt-BR"/>
        </w:rPr>
        <w:t>Ampliar e consolidar a customização, implantação e utilização do Sistema Integrado de Gestão Acadêmica da UFVJM.</w:t>
      </w:r>
    </w:p>
    <w:p>
      <w:pPr>
        <w:pStyle w:val="Corpodotexto"/>
        <w:numPr>
          <w:ilvl w:val="0"/>
          <w:numId w:val="50"/>
        </w:numPr>
        <w:spacing w:lineRule="auto" w:line="360"/>
        <w:jc w:val="both"/>
        <w:rPr>
          <w:b/>
          <w:b/>
          <w:sz w:val="24"/>
          <w:szCs w:val="24"/>
          <w:lang w:val="pt-BR"/>
        </w:rPr>
      </w:pPr>
      <w:r>
        <w:rPr>
          <w:sz w:val="24"/>
          <w:szCs w:val="24"/>
          <w:lang w:val="pt-BR"/>
        </w:rPr>
        <w:t>Evoluir a utilização de ferramentas de apoio à tomada de decisão.</w:t>
      </w:r>
    </w:p>
    <w:p>
      <w:pPr>
        <w:pStyle w:val="Corpodotexto"/>
        <w:numPr>
          <w:ilvl w:val="0"/>
          <w:numId w:val="50"/>
        </w:numPr>
        <w:spacing w:lineRule="auto" w:line="360"/>
        <w:jc w:val="both"/>
        <w:rPr>
          <w:b/>
          <w:b/>
          <w:sz w:val="24"/>
          <w:szCs w:val="24"/>
          <w:lang w:val="pt-BR"/>
        </w:rPr>
      </w:pPr>
      <w:r>
        <w:rPr>
          <w:sz w:val="24"/>
          <w:szCs w:val="24"/>
          <w:lang w:val="pt-BR"/>
        </w:rPr>
        <w:t xml:space="preserve">Implementar um processo estruturado de desenvolvimento de </w:t>
      </w:r>
      <w:r>
        <w:rPr>
          <w:i/>
          <w:sz w:val="24"/>
          <w:szCs w:val="24"/>
          <w:lang w:val="pt-BR"/>
        </w:rPr>
        <w:t>software.</w:t>
      </w:r>
    </w:p>
    <w:p>
      <w:pPr>
        <w:pStyle w:val="Corpodotexto"/>
        <w:numPr>
          <w:ilvl w:val="0"/>
          <w:numId w:val="50"/>
        </w:numPr>
        <w:spacing w:lineRule="auto" w:line="360"/>
        <w:jc w:val="both"/>
        <w:rPr>
          <w:b/>
          <w:b/>
          <w:sz w:val="24"/>
          <w:szCs w:val="24"/>
          <w:lang w:val="pt-BR"/>
        </w:rPr>
      </w:pPr>
      <w:r>
        <w:rPr>
          <w:sz w:val="24"/>
          <w:szCs w:val="24"/>
          <w:lang w:val="pt-BR"/>
        </w:rPr>
        <w:t>Levar para consulta e aprovação doCONSU, o regimento interno da DTI com suas atribuições.</w:t>
      </w:r>
    </w:p>
    <w:p>
      <w:pPr>
        <w:pStyle w:val="Corpodotexto"/>
        <w:numPr>
          <w:ilvl w:val="0"/>
          <w:numId w:val="50"/>
        </w:numPr>
        <w:spacing w:lineRule="auto" w:line="360"/>
        <w:jc w:val="both"/>
        <w:rPr>
          <w:b/>
          <w:b/>
          <w:sz w:val="24"/>
          <w:szCs w:val="24"/>
          <w:lang w:val="pt-BR"/>
        </w:rPr>
      </w:pPr>
      <w:r>
        <w:rPr>
          <w:sz w:val="24"/>
          <w:szCs w:val="24"/>
          <w:lang w:val="pt-BR"/>
        </w:rPr>
        <w:t>Buscar adequar as equipes de TI, em perfil e número, aos padrões de referência nacional.</w:t>
      </w:r>
    </w:p>
    <w:p>
      <w:pPr>
        <w:pStyle w:val="Corpodotexto"/>
        <w:numPr>
          <w:ilvl w:val="0"/>
          <w:numId w:val="50"/>
        </w:numPr>
        <w:spacing w:lineRule="auto" w:line="360"/>
        <w:jc w:val="both"/>
        <w:rPr>
          <w:b/>
          <w:b/>
          <w:sz w:val="24"/>
          <w:szCs w:val="24"/>
          <w:lang w:val="pt-BR"/>
        </w:rPr>
      </w:pPr>
      <w:r>
        <w:rPr>
          <w:sz w:val="24"/>
          <w:szCs w:val="24"/>
          <w:lang w:val="pt-BR"/>
        </w:rPr>
        <w:t>Estabelecer condições para a manutenção do quadro permanente de técnicos de TI, especialmente em funções estratégicas.</w:t>
      </w:r>
    </w:p>
    <w:p>
      <w:pPr>
        <w:pStyle w:val="Corpodotexto"/>
        <w:numPr>
          <w:ilvl w:val="0"/>
          <w:numId w:val="50"/>
        </w:numPr>
        <w:spacing w:lineRule="auto" w:line="360"/>
        <w:jc w:val="both"/>
        <w:rPr>
          <w:b/>
          <w:b/>
          <w:sz w:val="24"/>
          <w:szCs w:val="24"/>
          <w:lang w:val="pt-BR"/>
        </w:rPr>
      </w:pPr>
      <w:r>
        <w:rPr>
          <w:sz w:val="24"/>
          <w:szCs w:val="24"/>
          <w:lang w:val="pt-BR"/>
        </w:rPr>
        <w:t>Estabelecer processos formais de Governança de TI ,visando ao aumento do seu nível de maturidade.</w:t>
      </w:r>
    </w:p>
    <w:p>
      <w:pPr>
        <w:pStyle w:val="Corpodotexto"/>
        <w:numPr>
          <w:ilvl w:val="0"/>
          <w:numId w:val="50"/>
        </w:numPr>
        <w:spacing w:lineRule="auto" w:line="360"/>
        <w:jc w:val="both"/>
        <w:rPr>
          <w:b/>
          <w:b/>
          <w:sz w:val="24"/>
          <w:szCs w:val="24"/>
          <w:lang w:val="pt-BR"/>
        </w:rPr>
      </w:pPr>
      <w:r>
        <w:rPr>
          <w:sz w:val="24"/>
          <w:szCs w:val="24"/>
          <w:lang w:val="pt-BR"/>
        </w:rPr>
        <w:t>Aprimorar o processo de Gestão de Serviços de TI contratados.</w:t>
      </w:r>
    </w:p>
    <w:p>
      <w:pPr>
        <w:pStyle w:val="Corpodotexto"/>
        <w:numPr>
          <w:ilvl w:val="0"/>
          <w:numId w:val="50"/>
        </w:numPr>
        <w:spacing w:lineRule="auto" w:line="360"/>
        <w:jc w:val="both"/>
        <w:rPr>
          <w:b/>
          <w:b/>
          <w:sz w:val="24"/>
          <w:szCs w:val="24"/>
          <w:lang w:val="pt-BR"/>
        </w:rPr>
      </w:pPr>
      <w:r>
        <w:rPr>
          <w:sz w:val="24"/>
          <w:szCs w:val="24"/>
          <w:lang w:val="pt-BR"/>
        </w:rPr>
        <w:t>Implantar a Política de Segurança da Informação e Comunicações (PoSIC).</w:t>
      </w:r>
    </w:p>
    <w:p>
      <w:pPr>
        <w:pStyle w:val="Corpodotexto"/>
        <w:numPr>
          <w:ilvl w:val="0"/>
          <w:numId w:val="50"/>
        </w:numPr>
        <w:spacing w:lineRule="auto" w:line="360"/>
        <w:jc w:val="both"/>
        <w:rPr>
          <w:b/>
          <w:b/>
          <w:sz w:val="24"/>
          <w:szCs w:val="24"/>
          <w:lang w:val="pt-BR"/>
        </w:rPr>
      </w:pPr>
      <w:r>
        <w:rPr>
          <w:sz w:val="24"/>
          <w:szCs w:val="24"/>
          <w:lang w:val="pt-BR"/>
        </w:rPr>
        <w:t>Formar professores e técnico-administrativos para utilização das NTICs na educação.</w:t>
      </w:r>
    </w:p>
    <w:p>
      <w:pPr>
        <w:pStyle w:val="Corpodotexto"/>
        <w:numPr>
          <w:ilvl w:val="0"/>
          <w:numId w:val="50"/>
        </w:numPr>
        <w:spacing w:lineRule="auto" w:line="360"/>
        <w:jc w:val="both"/>
        <w:rPr>
          <w:b/>
          <w:b/>
          <w:sz w:val="24"/>
          <w:szCs w:val="24"/>
          <w:lang w:val="pt-BR"/>
        </w:rPr>
      </w:pPr>
      <w:r>
        <w:rPr>
          <w:sz w:val="24"/>
          <w:szCs w:val="24"/>
          <w:lang w:val="pt-BR"/>
        </w:rPr>
        <w:t>Equipar todos os auditórios, salas de aula e de reuniões, além de espaços artísticos, culturais, museus e ambientes de convivência com recursos multimídia e de acesso à internet.</w:t>
      </w:r>
    </w:p>
    <w:p>
      <w:pPr>
        <w:pStyle w:val="Corpodotexto"/>
        <w:numPr>
          <w:ilvl w:val="0"/>
          <w:numId w:val="50"/>
        </w:numPr>
        <w:spacing w:lineRule="auto" w:line="360"/>
        <w:jc w:val="both"/>
        <w:rPr>
          <w:b/>
          <w:b/>
          <w:sz w:val="24"/>
          <w:szCs w:val="24"/>
          <w:lang w:val="pt-BR"/>
        </w:rPr>
      </w:pPr>
      <w:r>
        <w:rPr>
          <w:sz w:val="24"/>
          <w:szCs w:val="24"/>
          <w:lang w:val="pt-BR"/>
        </w:rPr>
        <w:t>Ampliar a quantidade de salas com equipamentos de videoconferência para atender adequadamente às demandas da universidade.</w:t>
      </w:r>
    </w:p>
    <w:p>
      <w:pPr>
        <w:pStyle w:val="Corpodotexto"/>
        <w:spacing w:lineRule="auto" w:line="360"/>
        <w:ind w:left="360" w:hanging="0"/>
        <w:jc w:val="both"/>
        <w:rPr>
          <w:sz w:val="24"/>
          <w:szCs w:val="24"/>
          <w:lang w:val="pt-BR"/>
        </w:rPr>
      </w:pPr>
      <w:r>
        <w:rPr>
          <w:sz w:val="24"/>
          <w:szCs w:val="24"/>
          <w:lang w:val="pt-BR"/>
        </w:rPr>
      </w:r>
    </w:p>
    <w:p>
      <w:pPr>
        <w:pStyle w:val="Corpodotexto"/>
        <w:spacing w:lineRule="auto" w:line="360"/>
        <w:ind w:left="0" w:hanging="0"/>
        <w:jc w:val="both"/>
        <w:rPr>
          <w:b/>
          <w:b/>
          <w:sz w:val="24"/>
          <w:szCs w:val="24"/>
          <w:lang w:val="pt-BR"/>
        </w:rPr>
      </w:pPr>
      <w:r>
        <w:rPr>
          <w:b/>
          <w:sz w:val="24"/>
          <w:szCs w:val="24"/>
          <w:lang w:val="pt-BR"/>
        </w:rPr>
        <w:t>Ações</w:t>
      </w:r>
    </w:p>
    <w:p>
      <w:pPr>
        <w:pStyle w:val="Corpodotexto"/>
        <w:numPr>
          <w:ilvl w:val="0"/>
          <w:numId w:val="51"/>
        </w:numPr>
        <w:spacing w:lineRule="auto" w:line="360"/>
        <w:jc w:val="both"/>
        <w:rPr>
          <w:b/>
          <w:b/>
          <w:sz w:val="24"/>
          <w:szCs w:val="24"/>
          <w:lang w:val="pt-BR"/>
        </w:rPr>
      </w:pPr>
      <w:r>
        <w:rPr>
          <w:sz w:val="24"/>
          <w:szCs w:val="24"/>
          <w:lang w:val="pt-BR"/>
        </w:rPr>
        <w:t xml:space="preserve">Elaborar um projeto para os </w:t>
      </w:r>
      <w:r>
        <w:rPr>
          <w:i/>
          <w:sz w:val="24"/>
          <w:szCs w:val="24"/>
          <w:lang w:val="pt-BR"/>
        </w:rPr>
        <w:t>data centers</w:t>
      </w:r>
      <w:r>
        <w:rPr>
          <w:sz w:val="24"/>
          <w:szCs w:val="24"/>
          <w:lang w:val="pt-BR"/>
        </w:rPr>
        <w:t xml:space="preserve"> que contemple os requisitos técnicos de ambiente físico, equipamentos, </w:t>
      </w:r>
      <w:r>
        <w:rPr>
          <w:i/>
          <w:sz w:val="24"/>
          <w:szCs w:val="24"/>
          <w:lang w:val="pt-BR"/>
        </w:rPr>
        <w:t>software</w:t>
      </w:r>
      <w:r>
        <w:rPr>
          <w:sz w:val="24"/>
          <w:szCs w:val="24"/>
          <w:lang w:val="pt-BR"/>
        </w:rPr>
        <w:t xml:space="preserve"> e serviços, objetivando o aumento da segurança, disponibilidade, desempenho e atualizaçãotecnológica.</w:t>
      </w:r>
    </w:p>
    <w:p>
      <w:pPr>
        <w:pStyle w:val="Corpodotexto"/>
        <w:numPr>
          <w:ilvl w:val="0"/>
          <w:numId w:val="51"/>
        </w:numPr>
        <w:spacing w:lineRule="auto" w:line="360"/>
        <w:jc w:val="both"/>
        <w:rPr>
          <w:b/>
          <w:b/>
          <w:sz w:val="24"/>
          <w:szCs w:val="24"/>
          <w:lang w:val="pt-BR"/>
        </w:rPr>
      </w:pPr>
      <w:r>
        <w:rPr>
          <w:sz w:val="24"/>
          <w:szCs w:val="24"/>
          <w:lang w:val="pt-BR"/>
        </w:rPr>
        <w:t xml:space="preserve">Contratar infraestrutura, equipamentos e </w:t>
      </w:r>
      <w:r>
        <w:rPr>
          <w:i/>
          <w:sz w:val="24"/>
          <w:szCs w:val="24"/>
          <w:lang w:val="pt-BR"/>
        </w:rPr>
        <w:t xml:space="preserve">software </w:t>
      </w:r>
      <w:r>
        <w:rPr>
          <w:sz w:val="24"/>
          <w:szCs w:val="24"/>
          <w:lang w:val="pt-BR"/>
        </w:rPr>
        <w:t xml:space="preserve">necessários para a atualização e ampliação dos </w:t>
      </w:r>
      <w:r>
        <w:rPr>
          <w:i/>
          <w:sz w:val="24"/>
          <w:szCs w:val="24"/>
          <w:lang w:val="pt-BR"/>
        </w:rPr>
        <w:t>datacenters.</w:t>
      </w:r>
    </w:p>
    <w:p>
      <w:pPr>
        <w:pStyle w:val="Corpodotexto"/>
        <w:numPr>
          <w:ilvl w:val="0"/>
          <w:numId w:val="51"/>
        </w:numPr>
        <w:spacing w:lineRule="auto" w:line="360"/>
        <w:jc w:val="both"/>
        <w:rPr>
          <w:b/>
          <w:b/>
          <w:sz w:val="24"/>
          <w:szCs w:val="24"/>
          <w:lang w:val="pt-BR"/>
        </w:rPr>
      </w:pPr>
      <w:r>
        <w:rPr>
          <w:sz w:val="24"/>
          <w:szCs w:val="24"/>
          <w:lang w:val="pt-BR"/>
        </w:rPr>
        <w:t xml:space="preserve">Especificar, publicar e manter padrões técnicos para aquisição de equipamentos, </w:t>
      </w:r>
      <w:r>
        <w:rPr>
          <w:i/>
          <w:sz w:val="24"/>
          <w:szCs w:val="24"/>
          <w:lang w:val="pt-BR"/>
        </w:rPr>
        <w:t xml:space="preserve">software </w:t>
      </w:r>
      <w:r>
        <w:rPr>
          <w:sz w:val="24"/>
          <w:szCs w:val="24"/>
          <w:lang w:val="pt-BR"/>
        </w:rPr>
        <w:t>e serviços dasestações de trabalho e dispositivos móveis.</w:t>
      </w:r>
    </w:p>
    <w:p>
      <w:pPr>
        <w:pStyle w:val="Corpodotexto"/>
        <w:numPr>
          <w:ilvl w:val="0"/>
          <w:numId w:val="51"/>
        </w:numPr>
        <w:spacing w:lineRule="auto" w:line="360"/>
        <w:jc w:val="both"/>
        <w:rPr>
          <w:b/>
          <w:b/>
          <w:sz w:val="24"/>
          <w:szCs w:val="24"/>
          <w:lang w:val="pt-BR"/>
        </w:rPr>
      </w:pPr>
      <w:r>
        <w:rPr>
          <w:sz w:val="24"/>
          <w:szCs w:val="24"/>
          <w:lang w:val="pt-BR"/>
        </w:rPr>
        <w:t>Adquirir estações de trabalho, dispositivos móveis e dispositivos periféricos.</w:t>
      </w:r>
    </w:p>
    <w:p>
      <w:pPr>
        <w:pStyle w:val="Corpodotexto"/>
        <w:numPr>
          <w:ilvl w:val="0"/>
          <w:numId w:val="51"/>
        </w:numPr>
        <w:spacing w:lineRule="auto" w:line="360"/>
        <w:jc w:val="both"/>
        <w:rPr>
          <w:b/>
          <w:b/>
          <w:sz w:val="24"/>
          <w:szCs w:val="24"/>
          <w:lang w:val="pt-BR"/>
        </w:rPr>
      </w:pPr>
      <w:r>
        <w:rPr>
          <w:sz w:val="24"/>
          <w:szCs w:val="24"/>
          <w:lang w:val="pt-BR"/>
        </w:rPr>
        <w:t xml:space="preserve">Adquirir </w:t>
      </w:r>
      <w:r>
        <w:rPr>
          <w:i/>
          <w:sz w:val="24"/>
          <w:szCs w:val="24"/>
          <w:lang w:val="pt-BR"/>
        </w:rPr>
        <w:t>software</w:t>
      </w:r>
      <w:r>
        <w:rPr>
          <w:sz w:val="24"/>
          <w:szCs w:val="24"/>
          <w:lang w:val="pt-BR"/>
        </w:rPr>
        <w:t xml:space="preserve"> para as estações de trabalho e dispositivos móveis, porém priorizando a utilização de</w:t>
      </w:r>
      <w:r>
        <w:rPr>
          <w:i/>
          <w:sz w:val="24"/>
          <w:szCs w:val="24"/>
          <w:lang w:val="pt-BR"/>
        </w:rPr>
        <w:t>softwares</w:t>
      </w:r>
      <w:r>
        <w:rPr>
          <w:sz w:val="24"/>
          <w:szCs w:val="24"/>
          <w:lang w:val="pt-BR"/>
        </w:rPr>
        <w:t xml:space="preserve"> livres.</w:t>
      </w:r>
    </w:p>
    <w:p>
      <w:pPr>
        <w:pStyle w:val="Corpodotexto"/>
        <w:numPr>
          <w:ilvl w:val="0"/>
          <w:numId w:val="51"/>
        </w:numPr>
        <w:spacing w:lineRule="auto" w:line="360"/>
        <w:jc w:val="both"/>
        <w:rPr>
          <w:b/>
          <w:b/>
          <w:sz w:val="24"/>
          <w:szCs w:val="24"/>
          <w:lang w:val="pt-BR"/>
        </w:rPr>
      </w:pPr>
      <w:r>
        <w:rPr>
          <w:sz w:val="24"/>
          <w:szCs w:val="24"/>
          <w:lang w:val="pt-BR"/>
        </w:rPr>
        <w:t>Renovar os equipamentos para melhoria dos serviços.</w:t>
      </w:r>
    </w:p>
    <w:p>
      <w:pPr>
        <w:pStyle w:val="Corpodotexto"/>
        <w:numPr>
          <w:ilvl w:val="0"/>
          <w:numId w:val="51"/>
        </w:numPr>
        <w:spacing w:lineRule="auto" w:line="360"/>
        <w:jc w:val="both"/>
        <w:rPr>
          <w:b/>
          <w:b/>
          <w:sz w:val="24"/>
          <w:szCs w:val="24"/>
          <w:lang w:val="pt-BR"/>
        </w:rPr>
      </w:pPr>
      <w:r>
        <w:rPr>
          <w:sz w:val="24"/>
          <w:szCs w:val="24"/>
          <w:lang w:val="pt-BR"/>
        </w:rPr>
        <w:t xml:space="preserve">Especificar, publicar e manter padrões técnicos para equipamentos, </w:t>
      </w:r>
      <w:r>
        <w:rPr>
          <w:i/>
          <w:sz w:val="24"/>
          <w:szCs w:val="24"/>
          <w:lang w:val="pt-BR"/>
        </w:rPr>
        <w:t>softwares</w:t>
      </w:r>
      <w:r>
        <w:rPr>
          <w:sz w:val="24"/>
          <w:szCs w:val="24"/>
          <w:lang w:val="pt-BR"/>
        </w:rPr>
        <w:t xml:space="preserve"> e serviços de infraestrutura paraos laboratórios de TI.</w:t>
      </w:r>
    </w:p>
    <w:p>
      <w:pPr>
        <w:pStyle w:val="Corpodotexto"/>
        <w:numPr>
          <w:ilvl w:val="0"/>
          <w:numId w:val="51"/>
        </w:numPr>
        <w:spacing w:lineRule="auto" w:line="360"/>
        <w:jc w:val="both"/>
        <w:rPr>
          <w:b/>
          <w:b/>
          <w:sz w:val="24"/>
          <w:szCs w:val="24"/>
          <w:lang w:val="pt-BR"/>
        </w:rPr>
      </w:pPr>
      <w:r>
        <w:rPr>
          <w:sz w:val="24"/>
          <w:szCs w:val="24"/>
          <w:lang w:val="pt-BR"/>
        </w:rPr>
        <w:t>Elaborar projetos para os laboratórios de TI de acordo com suas finalidades.</w:t>
      </w:r>
    </w:p>
    <w:p>
      <w:pPr>
        <w:pStyle w:val="Corpodotexto"/>
        <w:numPr>
          <w:ilvl w:val="0"/>
          <w:numId w:val="51"/>
        </w:numPr>
        <w:spacing w:lineRule="auto" w:line="360"/>
        <w:jc w:val="both"/>
        <w:rPr>
          <w:b/>
          <w:b/>
          <w:sz w:val="24"/>
          <w:szCs w:val="24"/>
          <w:lang w:val="pt-BR"/>
        </w:rPr>
      </w:pPr>
      <w:r>
        <w:rPr>
          <w:sz w:val="24"/>
          <w:szCs w:val="24"/>
          <w:lang w:val="pt-BR"/>
        </w:rPr>
        <w:t xml:space="preserve">Adquirir equipamentos, </w:t>
      </w:r>
      <w:r>
        <w:rPr>
          <w:i/>
          <w:sz w:val="24"/>
          <w:szCs w:val="24"/>
          <w:lang w:val="pt-BR"/>
        </w:rPr>
        <w:t>softwares</w:t>
      </w:r>
      <w:r>
        <w:rPr>
          <w:sz w:val="24"/>
          <w:szCs w:val="24"/>
          <w:lang w:val="pt-BR"/>
        </w:rPr>
        <w:t xml:space="preserve"> e demais itens para os laboratórios de TI.</w:t>
      </w:r>
    </w:p>
    <w:p>
      <w:pPr>
        <w:pStyle w:val="Corpodotexto"/>
        <w:numPr>
          <w:ilvl w:val="0"/>
          <w:numId w:val="51"/>
        </w:numPr>
        <w:spacing w:lineRule="auto" w:line="360"/>
        <w:jc w:val="both"/>
        <w:rPr>
          <w:b/>
          <w:b/>
          <w:sz w:val="24"/>
          <w:szCs w:val="24"/>
          <w:lang w:val="pt-BR"/>
        </w:rPr>
      </w:pPr>
      <w:r>
        <w:rPr>
          <w:sz w:val="24"/>
          <w:szCs w:val="24"/>
          <w:lang w:val="pt-BR"/>
        </w:rPr>
        <w:t>Desenvolver projeto de atualização tecnológica e ampliação da rede de fibra óptica.</w:t>
      </w:r>
    </w:p>
    <w:p>
      <w:pPr>
        <w:pStyle w:val="Corpodotexto"/>
        <w:numPr>
          <w:ilvl w:val="0"/>
          <w:numId w:val="51"/>
        </w:numPr>
        <w:spacing w:lineRule="auto" w:line="360"/>
        <w:jc w:val="both"/>
        <w:rPr>
          <w:b/>
          <w:b/>
          <w:sz w:val="24"/>
          <w:szCs w:val="24"/>
          <w:lang w:val="pt-BR"/>
        </w:rPr>
      </w:pPr>
      <w:r>
        <w:rPr>
          <w:sz w:val="24"/>
          <w:szCs w:val="24"/>
          <w:lang w:val="pt-BR"/>
        </w:rPr>
        <w:t>Desenvolver projeto de atualização tecnológica e ampliação da rede em cabeamento metálico.</w:t>
      </w:r>
    </w:p>
    <w:p>
      <w:pPr>
        <w:pStyle w:val="Corpodotexto"/>
        <w:numPr>
          <w:ilvl w:val="0"/>
          <w:numId w:val="51"/>
        </w:numPr>
        <w:spacing w:lineRule="auto" w:line="360"/>
        <w:jc w:val="both"/>
        <w:rPr>
          <w:b/>
          <w:b/>
          <w:sz w:val="24"/>
          <w:szCs w:val="24"/>
          <w:lang w:val="pt-BR"/>
        </w:rPr>
      </w:pPr>
      <w:r>
        <w:rPr>
          <w:sz w:val="24"/>
          <w:szCs w:val="24"/>
          <w:lang w:val="pt-BR"/>
        </w:rPr>
        <w:t>Elaborar projeto para atualização tecnológica e ampliação da rede cabeada com a aquisição de novos ativosde rede.</w:t>
      </w:r>
    </w:p>
    <w:p>
      <w:pPr>
        <w:pStyle w:val="Corpodotexto"/>
        <w:numPr>
          <w:ilvl w:val="0"/>
          <w:numId w:val="51"/>
        </w:numPr>
        <w:spacing w:lineRule="auto" w:line="360"/>
        <w:jc w:val="both"/>
        <w:rPr>
          <w:b/>
          <w:b/>
          <w:sz w:val="24"/>
          <w:szCs w:val="24"/>
          <w:lang w:val="pt-BR"/>
        </w:rPr>
      </w:pPr>
      <w:r>
        <w:rPr>
          <w:sz w:val="24"/>
          <w:szCs w:val="24"/>
          <w:lang w:val="pt-BR"/>
        </w:rPr>
        <w:t>Estabelecer políticas e normas de uso da rede sem fio.</w:t>
      </w:r>
    </w:p>
    <w:p>
      <w:pPr>
        <w:pStyle w:val="Corpodotexto"/>
        <w:numPr>
          <w:ilvl w:val="0"/>
          <w:numId w:val="51"/>
        </w:numPr>
        <w:spacing w:lineRule="auto" w:line="360"/>
        <w:jc w:val="both"/>
        <w:rPr>
          <w:b/>
          <w:b/>
          <w:sz w:val="24"/>
          <w:szCs w:val="24"/>
          <w:lang w:val="pt-BR"/>
        </w:rPr>
      </w:pPr>
      <w:r>
        <w:rPr>
          <w:sz w:val="24"/>
          <w:szCs w:val="24"/>
          <w:lang w:val="pt-BR"/>
        </w:rPr>
        <w:t>Elaborar projeto para ampliação da conectividade sem fio com oobjetivo de prover ampla cobertura para atendimento àsdiversas atividades da UFVJM.</w:t>
      </w:r>
    </w:p>
    <w:p>
      <w:pPr>
        <w:pStyle w:val="Corpodotexto"/>
        <w:numPr>
          <w:ilvl w:val="0"/>
          <w:numId w:val="51"/>
        </w:numPr>
        <w:spacing w:lineRule="auto" w:line="360"/>
        <w:jc w:val="both"/>
        <w:rPr>
          <w:b/>
          <w:b/>
          <w:sz w:val="24"/>
          <w:szCs w:val="24"/>
          <w:lang w:val="pt-BR"/>
        </w:rPr>
      </w:pPr>
      <w:r>
        <w:rPr>
          <w:sz w:val="24"/>
          <w:szCs w:val="24"/>
          <w:lang w:val="pt-BR"/>
        </w:rPr>
        <w:t xml:space="preserve">Contratar serviços, </w:t>
      </w:r>
      <w:r>
        <w:rPr>
          <w:i/>
          <w:sz w:val="24"/>
          <w:szCs w:val="24"/>
          <w:lang w:val="pt-BR"/>
        </w:rPr>
        <w:t>softwares</w:t>
      </w:r>
      <w:r>
        <w:rPr>
          <w:sz w:val="24"/>
          <w:szCs w:val="24"/>
          <w:lang w:val="pt-BR"/>
        </w:rPr>
        <w:t xml:space="preserve"> e equipamentos para ampliação e manutenção da rede sem fio.</w:t>
      </w:r>
    </w:p>
    <w:p>
      <w:pPr>
        <w:pStyle w:val="Corpodotexto"/>
        <w:numPr>
          <w:ilvl w:val="0"/>
          <w:numId w:val="51"/>
        </w:numPr>
        <w:spacing w:lineRule="auto" w:line="360"/>
        <w:jc w:val="both"/>
        <w:rPr>
          <w:b/>
          <w:b/>
          <w:sz w:val="24"/>
          <w:szCs w:val="24"/>
          <w:lang w:val="pt-BR"/>
        </w:rPr>
      </w:pPr>
      <w:r>
        <w:rPr>
          <w:sz w:val="24"/>
          <w:szCs w:val="24"/>
          <w:lang w:val="pt-BR"/>
        </w:rPr>
        <w:t xml:space="preserve">Desenvolver projeto de atualização tecnológica e ampliação da telefonia IP no </w:t>
      </w:r>
      <w:r>
        <w:rPr>
          <w:i/>
          <w:sz w:val="24"/>
          <w:szCs w:val="24"/>
          <w:lang w:val="pt-BR"/>
        </w:rPr>
        <w:t>campus</w:t>
      </w:r>
      <w:r>
        <w:rPr>
          <w:sz w:val="24"/>
          <w:szCs w:val="24"/>
          <w:lang w:val="pt-BR"/>
        </w:rPr>
        <w:t>JK.</w:t>
      </w:r>
    </w:p>
    <w:p>
      <w:pPr>
        <w:pStyle w:val="Corpodotexto"/>
        <w:numPr>
          <w:ilvl w:val="0"/>
          <w:numId w:val="51"/>
        </w:numPr>
        <w:spacing w:lineRule="auto" w:line="360"/>
        <w:jc w:val="both"/>
        <w:rPr>
          <w:b/>
          <w:b/>
          <w:sz w:val="24"/>
          <w:szCs w:val="24"/>
          <w:lang w:val="pt-BR"/>
        </w:rPr>
      </w:pPr>
      <w:r>
        <w:rPr>
          <w:sz w:val="24"/>
          <w:szCs w:val="24"/>
          <w:lang w:val="pt-BR"/>
        </w:rPr>
        <w:t xml:space="preserve">Elaborar projeto de implantação da telefonia IP nos </w:t>
      </w:r>
      <w:r>
        <w:rPr>
          <w:i/>
          <w:sz w:val="24"/>
          <w:szCs w:val="24"/>
          <w:lang w:val="pt-BR"/>
        </w:rPr>
        <w:t xml:space="preserve">campi </w:t>
      </w:r>
      <w:r>
        <w:rPr>
          <w:sz w:val="24"/>
          <w:szCs w:val="24"/>
          <w:lang w:val="pt-BR"/>
        </w:rPr>
        <w:t>I, Janaúba, Unaí e Fazendas.</w:t>
      </w:r>
    </w:p>
    <w:p>
      <w:pPr>
        <w:pStyle w:val="Corpodotexto"/>
        <w:numPr>
          <w:ilvl w:val="0"/>
          <w:numId w:val="51"/>
        </w:numPr>
        <w:spacing w:lineRule="auto" w:line="360"/>
        <w:jc w:val="both"/>
        <w:rPr>
          <w:b/>
          <w:b/>
          <w:sz w:val="24"/>
          <w:szCs w:val="24"/>
          <w:lang w:val="pt-BR"/>
        </w:rPr>
      </w:pPr>
      <w:r>
        <w:rPr>
          <w:sz w:val="24"/>
          <w:szCs w:val="24"/>
          <w:lang w:val="pt-BR"/>
        </w:rPr>
        <w:t xml:space="preserve">Promover a interligação da telefonia IP entre os </w:t>
      </w:r>
      <w:r>
        <w:rPr>
          <w:i/>
          <w:sz w:val="24"/>
          <w:szCs w:val="24"/>
          <w:lang w:val="pt-BR"/>
        </w:rPr>
        <w:t>campi</w:t>
      </w:r>
      <w:r>
        <w:rPr>
          <w:sz w:val="24"/>
          <w:szCs w:val="24"/>
          <w:lang w:val="pt-BR"/>
        </w:rPr>
        <w:t xml:space="preserve"> e Fazendas, melhorando a comunicação interna naUFVJM.</w:t>
      </w:r>
    </w:p>
    <w:p>
      <w:pPr>
        <w:pStyle w:val="Corpodotexto"/>
        <w:numPr>
          <w:ilvl w:val="0"/>
          <w:numId w:val="51"/>
        </w:numPr>
        <w:spacing w:lineRule="auto" w:line="360"/>
        <w:jc w:val="both"/>
        <w:rPr>
          <w:b/>
          <w:b/>
          <w:sz w:val="24"/>
          <w:szCs w:val="24"/>
          <w:lang w:val="pt-BR"/>
        </w:rPr>
      </w:pPr>
      <w:r>
        <w:rPr>
          <w:sz w:val="24"/>
          <w:szCs w:val="24"/>
          <w:lang w:val="pt-BR"/>
        </w:rPr>
        <w:t xml:space="preserve">Adquirir </w:t>
      </w:r>
      <w:r>
        <w:rPr>
          <w:i/>
          <w:sz w:val="24"/>
          <w:szCs w:val="24"/>
          <w:lang w:val="pt-BR"/>
        </w:rPr>
        <w:t>softwares</w:t>
      </w:r>
      <w:r>
        <w:rPr>
          <w:sz w:val="24"/>
          <w:szCs w:val="24"/>
          <w:lang w:val="pt-BR"/>
        </w:rPr>
        <w:t xml:space="preserve">de escritório para as estações de trabalho nos casos em que os </w:t>
      </w:r>
      <w:r>
        <w:rPr>
          <w:i/>
          <w:sz w:val="24"/>
          <w:szCs w:val="24"/>
          <w:lang w:val="pt-BR"/>
        </w:rPr>
        <w:t>softwares</w:t>
      </w:r>
      <w:r>
        <w:rPr>
          <w:sz w:val="24"/>
          <w:szCs w:val="24"/>
          <w:lang w:val="pt-BR"/>
        </w:rPr>
        <w:t xml:space="preserve"> livresnão atenderem.</w:t>
      </w:r>
    </w:p>
    <w:p>
      <w:pPr>
        <w:pStyle w:val="Corpodotexto"/>
        <w:numPr>
          <w:ilvl w:val="0"/>
          <w:numId w:val="51"/>
        </w:numPr>
        <w:spacing w:lineRule="auto" w:line="360"/>
        <w:jc w:val="both"/>
        <w:rPr>
          <w:b/>
          <w:b/>
          <w:sz w:val="24"/>
          <w:szCs w:val="24"/>
          <w:lang w:val="pt-BR"/>
        </w:rPr>
      </w:pPr>
      <w:r>
        <w:rPr>
          <w:sz w:val="24"/>
          <w:szCs w:val="24"/>
          <w:lang w:val="pt-BR"/>
        </w:rPr>
        <w:t xml:space="preserve">Adquirir </w:t>
      </w:r>
      <w:r>
        <w:rPr>
          <w:i/>
          <w:sz w:val="24"/>
          <w:szCs w:val="24"/>
          <w:lang w:val="pt-BR"/>
        </w:rPr>
        <w:t>softwares</w:t>
      </w:r>
      <w:r>
        <w:rPr>
          <w:sz w:val="24"/>
          <w:szCs w:val="24"/>
          <w:lang w:val="pt-BR"/>
        </w:rPr>
        <w:t xml:space="preserve"> específicos para o ensino, a pesquisa e a extensão, quando não existirem </w:t>
      </w:r>
      <w:r>
        <w:rPr>
          <w:i/>
          <w:sz w:val="24"/>
          <w:szCs w:val="24"/>
          <w:lang w:val="pt-BR"/>
        </w:rPr>
        <w:t>softwares</w:t>
      </w:r>
      <w:r>
        <w:rPr>
          <w:sz w:val="24"/>
          <w:szCs w:val="24"/>
          <w:lang w:val="pt-BR"/>
        </w:rPr>
        <w:t xml:space="preserve"> livrespara tal.</w:t>
      </w:r>
    </w:p>
    <w:p>
      <w:pPr>
        <w:pStyle w:val="Corpodotexto"/>
        <w:numPr>
          <w:ilvl w:val="0"/>
          <w:numId w:val="51"/>
        </w:numPr>
        <w:spacing w:lineRule="auto" w:line="360"/>
        <w:jc w:val="both"/>
        <w:rPr>
          <w:b/>
          <w:b/>
          <w:sz w:val="24"/>
          <w:szCs w:val="24"/>
          <w:lang w:val="pt-BR"/>
        </w:rPr>
      </w:pPr>
      <w:r>
        <w:rPr>
          <w:sz w:val="24"/>
          <w:szCs w:val="24"/>
          <w:lang w:val="pt-BR"/>
        </w:rPr>
        <w:t xml:space="preserve">Adquirir </w:t>
      </w:r>
      <w:r>
        <w:rPr>
          <w:i/>
          <w:sz w:val="24"/>
          <w:szCs w:val="24"/>
          <w:lang w:val="pt-BR"/>
        </w:rPr>
        <w:t>softwares</w:t>
      </w:r>
      <w:r>
        <w:rPr>
          <w:sz w:val="24"/>
          <w:szCs w:val="24"/>
          <w:lang w:val="pt-BR"/>
        </w:rPr>
        <w:t xml:space="preserve"> para uso pelos laboratórios institucionais.</w:t>
      </w:r>
    </w:p>
    <w:p>
      <w:pPr>
        <w:pStyle w:val="Corpodotexto"/>
        <w:numPr>
          <w:ilvl w:val="0"/>
          <w:numId w:val="51"/>
        </w:numPr>
        <w:spacing w:lineRule="auto" w:line="360"/>
        <w:jc w:val="both"/>
        <w:rPr>
          <w:b/>
          <w:b/>
          <w:sz w:val="24"/>
          <w:szCs w:val="24"/>
          <w:lang w:val="pt-BR"/>
        </w:rPr>
      </w:pPr>
      <w:r>
        <w:rPr>
          <w:sz w:val="24"/>
          <w:szCs w:val="24"/>
          <w:lang w:val="pt-BR"/>
        </w:rPr>
        <w:t>Adotar e implementar padrões tecnológicos e especificações técnicas definidos na arquitetura e-PING (Padrões de Interoperabilidade de Governo Eletrônico) aplicáveis aos recursos de TI da UFVJM, conforme portaria SLTI/MPOG nº 5/2005.</w:t>
      </w:r>
    </w:p>
    <w:p>
      <w:pPr>
        <w:pStyle w:val="Corpodotexto"/>
        <w:numPr>
          <w:ilvl w:val="0"/>
          <w:numId w:val="51"/>
        </w:numPr>
        <w:spacing w:lineRule="auto" w:line="360"/>
        <w:jc w:val="both"/>
        <w:rPr>
          <w:b/>
          <w:b/>
          <w:sz w:val="24"/>
          <w:szCs w:val="24"/>
          <w:lang w:val="pt-BR"/>
        </w:rPr>
      </w:pPr>
      <w:r>
        <w:rPr>
          <w:sz w:val="24"/>
          <w:szCs w:val="24"/>
          <w:lang w:val="pt-BR"/>
        </w:rPr>
        <w:t>Implementar uma nova versão do Portal.</w:t>
      </w:r>
    </w:p>
    <w:p>
      <w:pPr>
        <w:pStyle w:val="Corpodotexto"/>
        <w:numPr>
          <w:ilvl w:val="0"/>
          <w:numId w:val="51"/>
        </w:numPr>
        <w:spacing w:lineRule="auto" w:line="360"/>
        <w:jc w:val="both"/>
        <w:rPr>
          <w:b/>
          <w:b/>
          <w:sz w:val="24"/>
          <w:szCs w:val="24"/>
          <w:lang w:val="pt-BR"/>
        </w:rPr>
      </w:pPr>
      <w:r>
        <w:rPr>
          <w:sz w:val="24"/>
          <w:szCs w:val="24"/>
          <w:lang w:val="pt-BR"/>
        </w:rPr>
        <w:t>Melhorar a disposição das informações do Portal.</w:t>
      </w:r>
    </w:p>
    <w:p>
      <w:pPr>
        <w:pStyle w:val="Corpodotexto"/>
        <w:numPr>
          <w:ilvl w:val="0"/>
          <w:numId w:val="51"/>
        </w:numPr>
        <w:spacing w:lineRule="auto" w:line="360"/>
        <w:jc w:val="both"/>
        <w:rPr>
          <w:b/>
          <w:b/>
          <w:sz w:val="24"/>
          <w:szCs w:val="24"/>
          <w:lang w:val="pt-BR"/>
        </w:rPr>
      </w:pPr>
      <w:r>
        <w:rPr>
          <w:sz w:val="24"/>
          <w:szCs w:val="24"/>
          <w:lang w:val="pt-BR"/>
        </w:rPr>
        <w:t>Descentralizar a atualização das informações entre as unidades administrativas e acadêmicas.</w:t>
      </w:r>
    </w:p>
    <w:p>
      <w:pPr>
        <w:pStyle w:val="Corpodotexto"/>
        <w:numPr>
          <w:ilvl w:val="0"/>
          <w:numId w:val="51"/>
        </w:numPr>
        <w:spacing w:lineRule="auto" w:line="360"/>
        <w:jc w:val="both"/>
        <w:rPr>
          <w:b/>
          <w:b/>
          <w:sz w:val="24"/>
          <w:szCs w:val="24"/>
          <w:lang w:val="pt-BR"/>
        </w:rPr>
      </w:pPr>
      <w:r>
        <w:rPr>
          <w:sz w:val="24"/>
          <w:szCs w:val="24"/>
          <w:lang w:val="pt-BR"/>
        </w:rPr>
        <w:t>Avaliar e consolidar o uso dos módulos SIGA já implantados.</w:t>
      </w:r>
    </w:p>
    <w:p>
      <w:pPr>
        <w:pStyle w:val="Corpodotexto"/>
        <w:numPr>
          <w:ilvl w:val="0"/>
          <w:numId w:val="51"/>
        </w:numPr>
        <w:spacing w:lineRule="auto" w:line="360"/>
        <w:jc w:val="both"/>
        <w:rPr>
          <w:b/>
          <w:b/>
          <w:sz w:val="24"/>
          <w:szCs w:val="24"/>
          <w:lang w:val="pt-BR"/>
        </w:rPr>
      </w:pPr>
      <w:r>
        <w:rPr>
          <w:sz w:val="24"/>
          <w:szCs w:val="24"/>
          <w:lang w:val="pt-BR"/>
        </w:rPr>
        <w:t xml:space="preserve">Analisar os módulos do SIGA não implantados </w:t>
      </w:r>
      <w:r>
        <w:rPr>
          <w:i/>
          <w:sz w:val="24"/>
          <w:szCs w:val="24"/>
          <w:lang w:val="pt-BR"/>
        </w:rPr>
        <w:t xml:space="preserve">versus </w:t>
      </w:r>
      <w:r>
        <w:rPr>
          <w:sz w:val="24"/>
          <w:szCs w:val="24"/>
          <w:lang w:val="pt-BR"/>
        </w:rPr>
        <w:t>rotinas institucionais existentes e especificar asnovas customizações.</w:t>
      </w:r>
    </w:p>
    <w:p>
      <w:pPr>
        <w:pStyle w:val="Corpodotexto"/>
        <w:numPr>
          <w:ilvl w:val="0"/>
          <w:numId w:val="51"/>
        </w:numPr>
        <w:spacing w:lineRule="auto" w:line="360"/>
        <w:jc w:val="both"/>
        <w:rPr>
          <w:b/>
          <w:b/>
          <w:sz w:val="24"/>
          <w:szCs w:val="24"/>
          <w:lang w:val="pt-BR"/>
        </w:rPr>
      </w:pPr>
      <w:r>
        <w:rPr>
          <w:sz w:val="24"/>
          <w:szCs w:val="24"/>
          <w:lang w:val="pt-BR"/>
        </w:rPr>
        <w:t>Desenvolver internamente e implantar as customizações dos módulos do sistema.</w:t>
      </w:r>
    </w:p>
    <w:p>
      <w:pPr>
        <w:pStyle w:val="Corpodotexto"/>
        <w:numPr>
          <w:ilvl w:val="0"/>
          <w:numId w:val="51"/>
        </w:numPr>
        <w:spacing w:lineRule="auto" w:line="360"/>
        <w:jc w:val="both"/>
        <w:rPr>
          <w:b/>
          <w:b/>
          <w:sz w:val="24"/>
          <w:szCs w:val="24"/>
          <w:lang w:val="pt-BR"/>
        </w:rPr>
      </w:pPr>
      <w:r>
        <w:rPr>
          <w:sz w:val="24"/>
          <w:szCs w:val="24"/>
          <w:lang w:val="pt-BR"/>
        </w:rPr>
        <w:t>Capacitar os usuários para uso do SIGA.</w:t>
      </w:r>
    </w:p>
    <w:p>
      <w:pPr>
        <w:pStyle w:val="Corpodotexto"/>
        <w:numPr>
          <w:ilvl w:val="0"/>
          <w:numId w:val="51"/>
        </w:numPr>
        <w:spacing w:lineRule="auto" w:line="360"/>
        <w:jc w:val="both"/>
        <w:rPr>
          <w:b/>
          <w:b/>
          <w:sz w:val="24"/>
          <w:szCs w:val="24"/>
          <w:lang w:val="pt-BR"/>
        </w:rPr>
      </w:pPr>
      <w:r>
        <w:rPr>
          <w:sz w:val="24"/>
          <w:szCs w:val="24"/>
          <w:lang w:val="pt-BR"/>
        </w:rPr>
        <w:t>Definir as prioridades de informação junto à Administração Central</w:t>
      </w:r>
    </w:p>
    <w:p>
      <w:pPr>
        <w:pStyle w:val="TableParagraph"/>
        <w:numPr>
          <w:ilvl w:val="0"/>
          <w:numId w:val="51"/>
        </w:numPr>
        <w:spacing w:lineRule="auto" w:line="360"/>
        <w:jc w:val="both"/>
        <w:rPr>
          <w:lang w:val="pt-BR"/>
        </w:rPr>
      </w:pPr>
      <w:r>
        <w:rPr>
          <w:lang w:val="pt-BR"/>
        </w:rPr>
        <w:t>Definir políticas de acesso às bases de informação.</w:t>
      </w:r>
    </w:p>
    <w:p>
      <w:pPr>
        <w:pStyle w:val="Corpodotexto"/>
        <w:numPr>
          <w:ilvl w:val="0"/>
          <w:numId w:val="51"/>
        </w:numPr>
        <w:spacing w:lineRule="auto" w:line="360"/>
        <w:jc w:val="both"/>
        <w:rPr>
          <w:b/>
          <w:b/>
          <w:sz w:val="24"/>
          <w:szCs w:val="24"/>
          <w:lang w:val="pt-BR"/>
        </w:rPr>
      </w:pPr>
      <w:r>
        <w:rPr>
          <w:sz w:val="24"/>
          <w:szCs w:val="24"/>
          <w:lang w:val="pt-BR"/>
        </w:rPr>
        <w:t>Dimensionar, planejar, desenvolver e implantar o projeto.</w:t>
      </w:r>
    </w:p>
    <w:p>
      <w:pPr>
        <w:pStyle w:val="Corpodotexto"/>
        <w:numPr>
          <w:ilvl w:val="0"/>
          <w:numId w:val="51"/>
        </w:numPr>
        <w:spacing w:lineRule="auto" w:line="360"/>
        <w:jc w:val="both"/>
        <w:rPr>
          <w:b/>
          <w:b/>
          <w:sz w:val="24"/>
          <w:szCs w:val="24"/>
          <w:lang w:val="pt-BR"/>
        </w:rPr>
      </w:pPr>
      <w:r>
        <w:rPr>
          <w:sz w:val="24"/>
          <w:szCs w:val="24"/>
          <w:lang w:val="pt-BR"/>
        </w:rPr>
        <w:t>Implementar os seguintes processos: Modelagem de Processo de Negócio, Gerência de Requisitos, Gerência de Configuração, Gerência de Projeto, Projeto de Interface de Usuário, Construção (Arquitetura), e TesteEstruturado de Sistema.</w:t>
      </w:r>
    </w:p>
    <w:p>
      <w:pPr>
        <w:pStyle w:val="Corpodotexto"/>
        <w:numPr>
          <w:ilvl w:val="0"/>
          <w:numId w:val="51"/>
        </w:numPr>
        <w:spacing w:lineRule="auto" w:line="360"/>
        <w:jc w:val="both"/>
        <w:rPr>
          <w:b/>
          <w:b/>
          <w:sz w:val="24"/>
          <w:szCs w:val="24"/>
          <w:lang w:val="pt-BR"/>
        </w:rPr>
      </w:pPr>
      <w:r>
        <w:rPr>
          <w:sz w:val="24"/>
          <w:szCs w:val="24"/>
          <w:lang w:val="pt-BR"/>
        </w:rPr>
        <w:t>Estudar e adotar os padrões governamentais e-MAGe e-PING.</w:t>
      </w:r>
    </w:p>
    <w:p>
      <w:pPr>
        <w:pStyle w:val="Corpodotexto"/>
        <w:numPr>
          <w:ilvl w:val="0"/>
          <w:numId w:val="51"/>
        </w:numPr>
        <w:spacing w:lineRule="auto" w:line="360"/>
        <w:jc w:val="both"/>
        <w:rPr>
          <w:b/>
          <w:b/>
          <w:sz w:val="24"/>
          <w:szCs w:val="24"/>
          <w:lang w:val="pt-BR"/>
        </w:rPr>
      </w:pPr>
      <w:r>
        <w:rPr>
          <w:sz w:val="24"/>
          <w:szCs w:val="24"/>
          <w:lang w:val="pt-BR"/>
        </w:rPr>
        <w:t xml:space="preserve">Publicar o documento final com a descrição dos processos de desenvolvimento de </w:t>
      </w:r>
      <w:r>
        <w:rPr>
          <w:i/>
          <w:sz w:val="24"/>
          <w:szCs w:val="24"/>
          <w:lang w:val="pt-BR"/>
        </w:rPr>
        <w:t>software</w:t>
      </w:r>
      <w:r>
        <w:rPr>
          <w:sz w:val="24"/>
          <w:szCs w:val="24"/>
          <w:lang w:val="pt-BR"/>
        </w:rPr>
        <w:t>, artefatos e treinamento aos usuários do processo.</w:t>
      </w:r>
    </w:p>
    <w:p>
      <w:pPr>
        <w:pStyle w:val="Corpodotexto"/>
        <w:numPr>
          <w:ilvl w:val="0"/>
          <w:numId w:val="51"/>
        </w:numPr>
        <w:spacing w:lineRule="auto" w:line="360"/>
        <w:jc w:val="both"/>
        <w:rPr>
          <w:b/>
          <w:b/>
          <w:sz w:val="24"/>
          <w:szCs w:val="24"/>
          <w:lang w:val="pt-BR"/>
        </w:rPr>
      </w:pPr>
      <w:r>
        <w:rPr>
          <w:sz w:val="24"/>
          <w:szCs w:val="24"/>
          <w:lang w:val="pt-BR"/>
        </w:rPr>
        <w:t>Elabora,r conjuntamenteaos servidores da DTI, o Regimento Interno da Diretoria.</w:t>
      </w:r>
    </w:p>
    <w:p>
      <w:pPr>
        <w:pStyle w:val="Corpodotexto"/>
        <w:numPr>
          <w:ilvl w:val="0"/>
          <w:numId w:val="51"/>
        </w:numPr>
        <w:spacing w:lineRule="auto" w:line="360"/>
        <w:jc w:val="both"/>
        <w:rPr>
          <w:b/>
          <w:b/>
          <w:sz w:val="24"/>
          <w:szCs w:val="24"/>
          <w:lang w:val="pt-BR"/>
        </w:rPr>
      </w:pPr>
      <w:r>
        <w:rPr>
          <w:sz w:val="24"/>
          <w:szCs w:val="24"/>
          <w:lang w:val="pt-BR"/>
        </w:rPr>
        <w:t>Apresentar o regimento interno ao Comitê de Informática, e, após consulta, submetê-lo ao CONSU paraaprovação.</w:t>
      </w:r>
    </w:p>
    <w:p>
      <w:pPr>
        <w:pStyle w:val="Corpodotexto"/>
        <w:numPr>
          <w:ilvl w:val="0"/>
          <w:numId w:val="51"/>
        </w:numPr>
        <w:spacing w:lineRule="auto" w:line="360"/>
        <w:jc w:val="both"/>
        <w:rPr>
          <w:b/>
          <w:b/>
          <w:sz w:val="24"/>
          <w:szCs w:val="24"/>
          <w:lang w:val="pt-BR"/>
        </w:rPr>
      </w:pPr>
      <w:r>
        <w:rPr>
          <w:sz w:val="24"/>
          <w:szCs w:val="24"/>
          <w:lang w:val="pt-BR"/>
        </w:rPr>
        <w:t>Elaborar uma proposta de dimensionamento para a área de TI com vistas à expansão do quadro de servidores até atingir 1% do número total de usuários da Universidade de forma a atender as recomendações daSTI/MPOG.</w:t>
      </w:r>
    </w:p>
    <w:p>
      <w:pPr>
        <w:pStyle w:val="Corpodotexto"/>
        <w:numPr>
          <w:ilvl w:val="0"/>
          <w:numId w:val="51"/>
        </w:numPr>
        <w:spacing w:lineRule="auto" w:line="360"/>
        <w:jc w:val="both"/>
        <w:rPr>
          <w:b/>
          <w:b/>
          <w:sz w:val="24"/>
          <w:szCs w:val="24"/>
          <w:lang w:val="pt-BR"/>
        </w:rPr>
      </w:pPr>
      <w:r>
        <w:rPr>
          <w:sz w:val="24"/>
          <w:szCs w:val="24"/>
          <w:lang w:val="pt-BR"/>
        </w:rPr>
        <w:t>Negociar com o Governo Federal a ampliação das vagas na área de TI.</w:t>
      </w:r>
    </w:p>
    <w:p>
      <w:pPr>
        <w:pStyle w:val="Corpodotexto"/>
        <w:numPr>
          <w:ilvl w:val="0"/>
          <w:numId w:val="51"/>
        </w:numPr>
        <w:spacing w:lineRule="auto" w:line="360"/>
        <w:jc w:val="both"/>
        <w:rPr>
          <w:b/>
          <w:b/>
          <w:sz w:val="24"/>
          <w:szCs w:val="24"/>
          <w:lang w:val="pt-BR"/>
        </w:rPr>
      </w:pPr>
      <w:r>
        <w:rPr>
          <w:sz w:val="24"/>
          <w:szCs w:val="24"/>
          <w:lang w:val="pt-BR"/>
        </w:rPr>
        <w:t>Realizar concursos para os cargos de TI em suas específicas áreas de atuação, perfis técnicos e de gestão necessários à UFVJM.</w:t>
      </w:r>
    </w:p>
    <w:p>
      <w:pPr>
        <w:pStyle w:val="Corpodotexto"/>
        <w:numPr>
          <w:ilvl w:val="0"/>
          <w:numId w:val="51"/>
        </w:numPr>
        <w:spacing w:lineRule="auto" w:line="360"/>
        <w:jc w:val="both"/>
        <w:rPr>
          <w:b/>
          <w:b/>
          <w:sz w:val="24"/>
          <w:szCs w:val="24"/>
          <w:lang w:val="pt-BR"/>
        </w:rPr>
      </w:pPr>
      <w:r>
        <w:rPr>
          <w:sz w:val="24"/>
          <w:szCs w:val="24"/>
          <w:lang w:val="pt-BR"/>
        </w:rPr>
        <w:t>Incentivar a participação dos profissionais em TI em eventos da área (Workshops, Congressos, Seminários, etc.).</w:t>
      </w:r>
    </w:p>
    <w:p>
      <w:pPr>
        <w:pStyle w:val="Corpodotexto"/>
        <w:numPr>
          <w:ilvl w:val="0"/>
          <w:numId w:val="51"/>
        </w:numPr>
        <w:spacing w:lineRule="auto" w:line="360"/>
        <w:jc w:val="both"/>
        <w:rPr>
          <w:b/>
          <w:b/>
          <w:sz w:val="24"/>
          <w:szCs w:val="24"/>
          <w:lang w:val="pt-BR"/>
        </w:rPr>
      </w:pPr>
      <w:r>
        <w:rPr>
          <w:sz w:val="24"/>
          <w:szCs w:val="24"/>
          <w:lang w:val="pt-BR"/>
        </w:rPr>
        <w:t>Promover a melhoria das condições de trabalho, em particular instrumentalizando os servidores comferramentas e dispositivos computacionais adequados.</w:t>
      </w:r>
    </w:p>
    <w:p>
      <w:pPr>
        <w:pStyle w:val="Corpodotexto"/>
        <w:numPr>
          <w:ilvl w:val="0"/>
          <w:numId w:val="51"/>
        </w:numPr>
        <w:spacing w:lineRule="auto" w:line="360"/>
        <w:jc w:val="both"/>
        <w:rPr>
          <w:b/>
          <w:b/>
          <w:sz w:val="24"/>
          <w:szCs w:val="24"/>
          <w:lang w:val="pt-BR"/>
        </w:rPr>
      </w:pPr>
      <w:r>
        <w:rPr>
          <w:sz w:val="24"/>
          <w:szCs w:val="24"/>
          <w:lang w:val="pt-BR"/>
        </w:rPr>
        <w:t>Identificar e preparar os servidores de TI para assumir funções gerenciais e prover as funções gratificadasprevistas para os cargos da DTI.</w:t>
      </w:r>
    </w:p>
    <w:p>
      <w:pPr>
        <w:pStyle w:val="Corpodotexto"/>
        <w:numPr>
          <w:ilvl w:val="0"/>
          <w:numId w:val="51"/>
        </w:numPr>
        <w:spacing w:lineRule="auto" w:line="360"/>
        <w:jc w:val="both"/>
        <w:rPr>
          <w:b/>
          <w:b/>
          <w:sz w:val="24"/>
          <w:szCs w:val="24"/>
          <w:lang w:val="pt-BR"/>
        </w:rPr>
      </w:pPr>
      <w:r>
        <w:rPr>
          <w:sz w:val="24"/>
          <w:szCs w:val="24"/>
          <w:lang w:val="pt-BR"/>
        </w:rPr>
        <w:t>Envolver a equipe de servidores de TI na definição e execução do planejamento estratégico e de metas, objetivando o compromisso e responsabilidade com os resultados a serem alcançados.</w:t>
      </w:r>
    </w:p>
    <w:p>
      <w:pPr>
        <w:pStyle w:val="Corpodotexto"/>
        <w:numPr>
          <w:ilvl w:val="0"/>
          <w:numId w:val="51"/>
        </w:numPr>
        <w:spacing w:lineRule="auto" w:line="360"/>
        <w:jc w:val="both"/>
        <w:rPr>
          <w:b/>
          <w:b/>
          <w:sz w:val="24"/>
          <w:szCs w:val="24"/>
          <w:lang w:val="pt-BR"/>
        </w:rPr>
      </w:pPr>
      <w:r>
        <w:rPr>
          <w:sz w:val="24"/>
          <w:szCs w:val="24"/>
          <w:lang w:val="pt-BR"/>
        </w:rPr>
        <w:t>Estabelecer processo formal de Gestão do Catálogo de Serviços.</w:t>
      </w:r>
    </w:p>
    <w:p>
      <w:pPr>
        <w:pStyle w:val="Corpodotexto"/>
        <w:numPr>
          <w:ilvl w:val="0"/>
          <w:numId w:val="51"/>
        </w:numPr>
        <w:spacing w:lineRule="auto" w:line="360"/>
        <w:jc w:val="both"/>
        <w:rPr>
          <w:b/>
          <w:b/>
          <w:sz w:val="24"/>
          <w:szCs w:val="24"/>
          <w:lang w:val="pt-BR"/>
        </w:rPr>
      </w:pPr>
      <w:r>
        <w:rPr>
          <w:sz w:val="24"/>
          <w:szCs w:val="24"/>
          <w:lang w:val="pt-BR"/>
        </w:rPr>
        <w:t>Estabelecer processo formal de Gestão de Contratos de Bens e Serviços de TI.</w:t>
      </w:r>
    </w:p>
    <w:p>
      <w:pPr>
        <w:pStyle w:val="Corpodotexto"/>
        <w:numPr>
          <w:ilvl w:val="0"/>
          <w:numId w:val="51"/>
        </w:numPr>
        <w:spacing w:lineRule="auto" w:line="360"/>
        <w:jc w:val="both"/>
        <w:rPr>
          <w:b/>
          <w:b/>
          <w:sz w:val="24"/>
          <w:szCs w:val="24"/>
          <w:lang w:val="pt-BR"/>
        </w:rPr>
      </w:pPr>
      <w:r>
        <w:rPr>
          <w:sz w:val="24"/>
          <w:szCs w:val="24"/>
          <w:lang w:val="pt-BR"/>
        </w:rPr>
        <w:t>Estabelecer processos formais que visem à segurança dos ativos: Inventário de Ativos, Gestão de Riscos,Gestão de Incidentes, Gestão de Continuidade de Negócios.</w:t>
      </w:r>
    </w:p>
    <w:p>
      <w:pPr>
        <w:pStyle w:val="Corpodotexto"/>
        <w:numPr>
          <w:ilvl w:val="0"/>
          <w:numId w:val="51"/>
        </w:numPr>
        <w:spacing w:lineRule="auto" w:line="360"/>
        <w:jc w:val="both"/>
        <w:rPr>
          <w:b/>
          <w:b/>
          <w:sz w:val="24"/>
          <w:szCs w:val="24"/>
          <w:lang w:val="pt-BR"/>
        </w:rPr>
      </w:pPr>
      <w:r>
        <w:rPr>
          <w:sz w:val="24"/>
          <w:szCs w:val="24"/>
          <w:lang w:val="pt-BR"/>
        </w:rPr>
        <w:t>Iniciar ações que visem ao estabelecimento de processo formal de gerenciamento de demandas de serviçose contratações de TI.</w:t>
      </w:r>
    </w:p>
    <w:p>
      <w:pPr>
        <w:pStyle w:val="Corpodotexto"/>
        <w:numPr>
          <w:ilvl w:val="0"/>
          <w:numId w:val="51"/>
        </w:numPr>
        <w:spacing w:lineRule="auto" w:line="360"/>
        <w:jc w:val="both"/>
        <w:rPr>
          <w:b/>
          <w:b/>
          <w:sz w:val="24"/>
          <w:szCs w:val="24"/>
          <w:lang w:val="pt-BR"/>
        </w:rPr>
      </w:pPr>
      <w:r>
        <w:rPr>
          <w:sz w:val="24"/>
          <w:szCs w:val="24"/>
          <w:lang w:val="pt-BR"/>
        </w:rPr>
        <w:t>Criar mecanismos para melhoria da disponibilidade dos recursos e serviços de TI.</w:t>
      </w:r>
    </w:p>
    <w:p>
      <w:pPr>
        <w:pStyle w:val="Corpodotexto"/>
        <w:numPr>
          <w:ilvl w:val="0"/>
          <w:numId w:val="51"/>
        </w:numPr>
        <w:spacing w:lineRule="auto" w:line="360"/>
        <w:jc w:val="both"/>
        <w:rPr>
          <w:b/>
          <w:b/>
          <w:sz w:val="24"/>
          <w:szCs w:val="24"/>
          <w:lang w:val="pt-BR"/>
        </w:rPr>
      </w:pPr>
      <w:r>
        <w:rPr>
          <w:sz w:val="24"/>
          <w:szCs w:val="24"/>
          <w:lang w:val="pt-BR"/>
        </w:rPr>
        <w:t>Licitar e manter contratos que visem à melhoria contínua da gestão dos serviços de TI, maximizando adisponibilidade.</w:t>
      </w:r>
    </w:p>
    <w:p>
      <w:pPr>
        <w:pStyle w:val="Corpodotexto"/>
        <w:numPr>
          <w:ilvl w:val="0"/>
          <w:numId w:val="51"/>
        </w:numPr>
        <w:spacing w:lineRule="auto" w:line="360"/>
        <w:jc w:val="both"/>
        <w:rPr>
          <w:b/>
          <w:b/>
          <w:sz w:val="24"/>
          <w:szCs w:val="24"/>
          <w:lang w:val="pt-BR"/>
        </w:rPr>
      </w:pPr>
      <w:r>
        <w:rPr>
          <w:sz w:val="24"/>
          <w:szCs w:val="24"/>
          <w:lang w:val="pt-BR"/>
        </w:rPr>
        <w:t>Garantir a alocação dos recursos financeiros para manutenção dos contratos de serviços.</w:t>
      </w:r>
    </w:p>
    <w:p>
      <w:pPr>
        <w:pStyle w:val="Corpodotexto"/>
        <w:numPr>
          <w:ilvl w:val="0"/>
          <w:numId w:val="51"/>
        </w:numPr>
        <w:spacing w:lineRule="auto" w:line="360"/>
        <w:jc w:val="both"/>
        <w:rPr>
          <w:b/>
          <w:b/>
          <w:sz w:val="24"/>
          <w:szCs w:val="24"/>
          <w:lang w:val="pt-BR"/>
        </w:rPr>
      </w:pPr>
      <w:r>
        <w:rPr>
          <w:sz w:val="24"/>
          <w:szCs w:val="24"/>
          <w:lang w:val="pt-BR"/>
        </w:rPr>
        <w:t>Avaliar a satisfação dos usuários em relação à qualidade dos serviços de TI.</w:t>
      </w:r>
    </w:p>
    <w:p>
      <w:pPr>
        <w:pStyle w:val="Corpodotexto"/>
        <w:numPr>
          <w:ilvl w:val="0"/>
          <w:numId w:val="51"/>
        </w:numPr>
        <w:spacing w:lineRule="auto" w:line="360"/>
        <w:jc w:val="both"/>
        <w:rPr>
          <w:b/>
          <w:b/>
          <w:sz w:val="24"/>
          <w:szCs w:val="24"/>
          <w:lang w:val="pt-BR"/>
        </w:rPr>
      </w:pPr>
      <w:r>
        <w:rPr>
          <w:sz w:val="24"/>
          <w:szCs w:val="24"/>
          <w:lang w:val="pt-BR"/>
        </w:rPr>
        <w:t>Articular a aprovação da PoSIC na instância do CONSU.</w:t>
      </w:r>
    </w:p>
    <w:p>
      <w:pPr>
        <w:pStyle w:val="Corpodotexto"/>
        <w:numPr>
          <w:ilvl w:val="0"/>
          <w:numId w:val="51"/>
        </w:numPr>
        <w:spacing w:lineRule="auto" w:line="360"/>
        <w:jc w:val="both"/>
        <w:rPr>
          <w:b/>
          <w:b/>
          <w:sz w:val="24"/>
          <w:szCs w:val="24"/>
          <w:lang w:val="pt-BR"/>
        </w:rPr>
      </w:pPr>
      <w:r>
        <w:rPr>
          <w:sz w:val="24"/>
          <w:szCs w:val="24"/>
          <w:lang w:val="pt-BR"/>
        </w:rPr>
        <w:t>Identificar e mapear ativos e infraestruturas críticas da informação e suas interdependências.</w:t>
      </w:r>
    </w:p>
    <w:p>
      <w:pPr>
        <w:pStyle w:val="Corpodotexto"/>
        <w:numPr>
          <w:ilvl w:val="0"/>
          <w:numId w:val="51"/>
        </w:numPr>
        <w:spacing w:lineRule="auto" w:line="360"/>
        <w:jc w:val="both"/>
        <w:rPr>
          <w:b/>
          <w:b/>
          <w:sz w:val="24"/>
          <w:szCs w:val="24"/>
          <w:lang w:val="pt-BR"/>
        </w:rPr>
      </w:pPr>
      <w:r>
        <w:rPr>
          <w:sz w:val="24"/>
          <w:szCs w:val="24"/>
          <w:lang w:val="pt-BR"/>
        </w:rPr>
        <w:t>Promover a divulgação da PoSIC e das normas correlatas e conscientizar a comunidade sobrequestões de Segurança da Informação e Comunicações.</w:t>
      </w:r>
    </w:p>
    <w:p>
      <w:pPr>
        <w:pStyle w:val="Corpodotexto"/>
        <w:numPr>
          <w:ilvl w:val="0"/>
          <w:numId w:val="51"/>
        </w:numPr>
        <w:spacing w:lineRule="auto" w:line="360"/>
        <w:jc w:val="both"/>
        <w:rPr>
          <w:b/>
          <w:b/>
          <w:sz w:val="24"/>
          <w:szCs w:val="24"/>
          <w:lang w:val="pt-BR"/>
        </w:rPr>
      </w:pPr>
      <w:r>
        <w:rPr>
          <w:sz w:val="24"/>
          <w:szCs w:val="24"/>
          <w:lang w:val="pt-BR"/>
        </w:rPr>
        <w:t>Desenvolver um Plano de Capacitação em NTICs na Educação para os perfis de professor e técnico-administrativo.</w:t>
      </w:r>
    </w:p>
    <w:p>
      <w:pPr>
        <w:pStyle w:val="Corpodotexto"/>
        <w:numPr>
          <w:ilvl w:val="0"/>
          <w:numId w:val="51"/>
        </w:numPr>
        <w:spacing w:lineRule="auto" w:line="360"/>
        <w:jc w:val="both"/>
        <w:rPr>
          <w:b/>
          <w:b/>
          <w:sz w:val="24"/>
          <w:szCs w:val="24"/>
          <w:lang w:val="pt-BR"/>
        </w:rPr>
      </w:pPr>
      <w:r>
        <w:rPr>
          <w:sz w:val="24"/>
          <w:szCs w:val="24"/>
          <w:lang w:val="pt-BR"/>
        </w:rPr>
        <w:t>Executar o Plano de Capacitação em NTICs na Educação para professores e técnico-administrativos.</w:t>
      </w:r>
    </w:p>
    <w:p>
      <w:pPr>
        <w:pStyle w:val="Corpodotexto"/>
        <w:numPr>
          <w:ilvl w:val="0"/>
          <w:numId w:val="51"/>
        </w:numPr>
        <w:spacing w:lineRule="auto" w:line="360"/>
        <w:jc w:val="both"/>
        <w:rPr>
          <w:b/>
          <w:b/>
          <w:sz w:val="24"/>
          <w:szCs w:val="24"/>
          <w:lang w:val="pt-BR"/>
        </w:rPr>
      </w:pPr>
      <w:r>
        <w:rPr>
          <w:sz w:val="24"/>
          <w:szCs w:val="24"/>
          <w:lang w:val="pt-BR"/>
        </w:rPr>
        <w:t>Realizar levantamento das necessidades de recursos multimídia e de acesso à internet para auditórios, salas de aula e salas de reuniões.</w:t>
      </w:r>
    </w:p>
    <w:p>
      <w:pPr>
        <w:pStyle w:val="Corpodotexto"/>
        <w:numPr>
          <w:ilvl w:val="0"/>
          <w:numId w:val="51"/>
        </w:numPr>
        <w:spacing w:lineRule="auto" w:line="360"/>
        <w:jc w:val="both"/>
        <w:rPr>
          <w:b/>
          <w:b/>
          <w:sz w:val="24"/>
          <w:szCs w:val="24"/>
          <w:lang w:val="pt-BR"/>
        </w:rPr>
      </w:pPr>
      <w:r>
        <w:rPr>
          <w:sz w:val="24"/>
          <w:szCs w:val="24"/>
          <w:lang w:val="pt-BR"/>
        </w:rPr>
        <w:t xml:space="preserve">Especificar e manter padrões técnicos para equipamentos, </w:t>
      </w:r>
      <w:r>
        <w:rPr>
          <w:i/>
          <w:sz w:val="24"/>
          <w:szCs w:val="24"/>
          <w:lang w:val="pt-BR"/>
        </w:rPr>
        <w:t>softwares</w:t>
      </w:r>
      <w:r>
        <w:rPr>
          <w:sz w:val="24"/>
          <w:szCs w:val="24"/>
          <w:lang w:val="pt-BR"/>
        </w:rPr>
        <w:t xml:space="preserve"> e serviços de infraestrutura de TI para assalas com recursos multimídia e de acesso à internet.</w:t>
      </w:r>
    </w:p>
    <w:p>
      <w:pPr>
        <w:pStyle w:val="Corpodotexto"/>
        <w:numPr>
          <w:ilvl w:val="0"/>
          <w:numId w:val="51"/>
        </w:numPr>
        <w:spacing w:lineRule="auto" w:line="360"/>
        <w:jc w:val="both"/>
        <w:rPr>
          <w:b/>
          <w:b/>
          <w:sz w:val="24"/>
          <w:szCs w:val="24"/>
          <w:lang w:val="pt-BR"/>
        </w:rPr>
      </w:pPr>
      <w:r>
        <w:rPr>
          <w:sz w:val="24"/>
          <w:szCs w:val="24"/>
          <w:lang w:val="pt-BR"/>
        </w:rPr>
        <w:t>Adquirir equipamentos e mobiliários para implantação de recursos multimídia e de acesso à internet emauditórios, salas de aulas e salas de reuniões.</w:t>
      </w:r>
    </w:p>
    <w:p>
      <w:pPr>
        <w:pStyle w:val="Corpodotexto"/>
        <w:numPr>
          <w:ilvl w:val="0"/>
          <w:numId w:val="51"/>
        </w:numPr>
        <w:spacing w:lineRule="auto" w:line="360"/>
        <w:jc w:val="both"/>
        <w:rPr>
          <w:b/>
          <w:b/>
          <w:sz w:val="24"/>
          <w:szCs w:val="24"/>
          <w:lang w:val="pt-BR"/>
        </w:rPr>
      </w:pPr>
      <w:r>
        <w:rPr>
          <w:sz w:val="24"/>
          <w:szCs w:val="24"/>
          <w:lang w:val="pt-BR"/>
        </w:rPr>
        <w:t>Elaborar normatização e realizar capacitação de pessoal no uso dos recursos multimídia.</w:t>
      </w:r>
    </w:p>
    <w:p>
      <w:pPr>
        <w:pStyle w:val="Corpodotexto"/>
        <w:numPr>
          <w:ilvl w:val="0"/>
          <w:numId w:val="51"/>
        </w:numPr>
        <w:spacing w:lineRule="auto" w:line="360"/>
        <w:jc w:val="both"/>
        <w:rPr>
          <w:b/>
          <w:b/>
          <w:sz w:val="24"/>
          <w:szCs w:val="24"/>
          <w:lang w:val="pt-BR"/>
        </w:rPr>
      </w:pPr>
      <w:r>
        <w:rPr>
          <w:sz w:val="24"/>
          <w:szCs w:val="24"/>
          <w:lang w:val="pt-BR"/>
        </w:rPr>
        <w:t>Realizar levantamento das necessidades de salas de videoconferência.</w:t>
      </w:r>
    </w:p>
    <w:p>
      <w:pPr>
        <w:pStyle w:val="Corpodotexto"/>
        <w:numPr>
          <w:ilvl w:val="0"/>
          <w:numId w:val="51"/>
        </w:numPr>
        <w:spacing w:lineRule="auto" w:line="360"/>
        <w:jc w:val="both"/>
        <w:rPr>
          <w:b/>
          <w:b/>
          <w:sz w:val="24"/>
          <w:szCs w:val="24"/>
          <w:lang w:val="pt-BR"/>
        </w:rPr>
      </w:pPr>
      <w:r>
        <w:rPr>
          <w:sz w:val="24"/>
          <w:szCs w:val="24"/>
          <w:lang w:val="pt-BR"/>
        </w:rPr>
        <w:t>Elaborar planejamento dos kits de equipamentos e mobiliários para videoconferência.</w:t>
      </w:r>
    </w:p>
    <w:p>
      <w:pPr>
        <w:pStyle w:val="Corpodotexto"/>
        <w:numPr>
          <w:ilvl w:val="0"/>
          <w:numId w:val="51"/>
        </w:numPr>
        <w:spacing w:lineRule="auto" w:line="360"/>
        <w:jc w:val="both"/>
        <w:rPr>
          <w:b/>
          <w:b/>
          <w:sz w:val="24"/>
          <w:szCs w:val="24"/>
          <w:lang w:val="pt-BR"/>
        </w:rPr>
      </w:pPr>
      <w:r>
        <w:rPr>
          <w:sz w:val="24"/>
          <w:szCs w:val="24"/>
          <w:lang w:val="pt-BR"/>
        </w:rPr>
        <w:t>Adquirir os equipamentos e mobiliários para videoconferência.</w:t>
      </w:r>
    </w:p>
    <w:p>
      <w:pPr>
        <w:pStyle w:val="Corpodotexto"/>
        <w:numPr>
          <w:ilvl w:val="0"/>
          <w:numId w:val="51"/>
        </w:numPr>
        <w:spacing w:lineRule="auto" w:line="360"/>
        <w:jc w:val="both"/>
        <w:rPr>
          <w:b/>
          <w:b/>
          <w:sz w:val="24"/>
          <w:szCs w:val="24"/>
          <w:lang w:val="pt-BR"/>
        </w:rPr>
      </w:pPr>
      <w:r>
        <w:rPr>
          <w:sz w:val="24"/>
          <w:szCs w:val="24"/>
          <w:lang w:val="pt-BR"/>
        </w:rPr>
        <w:t>Elaborar normatização e realizar capacitação de pessoal no uso dos recursos de NTICs.</w:t>
      </w:r>
    </w:p>
    <w:p>
      <w:pPr>
        <w:pStyle w:val="Corpodotexto"/>
        <w:spacing w:lineRule="auto" w:line="360"/>
        <w:ind w:left="0" w:firstLine="708"/>
        <w:jc w:val="both"/>
        <w:rPr>
          <w:b/>
          <w:b/>
          <w:sz w:val="24"/>
          <w:szCs w:val="24"/>
          <w:lang w:val="pt-BR"/>
        </w:rPr>
      </w:pPr>
      <w:r>
        <w:rPr>
          <w:b/>
          <w:sz w:val="24"/>
          <w:szCs w:val="24"/>
          <w:lang w:val="pt-BR"/>
        </w:rPr>
      </w:r>
    </w:p>
    <w:p>
      <w:pPr>
        <w:pStyle w:val="Normal1"/>
        <w:jc w:val="both"/>
        <w:rPr>
          <w:rFonts w:ascii="Arial" w:hAnsi="Arial" w:cs="Arial"/>
        </w:rPr>
      </w:pPr>
      <w:r>
        <w:rPr>
          <w:rFonts w:cs="Arial"/>
        </w:rPr>
      </w:r>
    </w:p>
    <w:p>
      <w:pPr>
        <w:pStyle w:val="Normal2"/>
        <w:jc w:val="both"/>
        <w:rPr>
          <w:rFonts w:ascii="Arial" w:hAnsi="Arial" w:eastAsia="Times New Roman" w:cs="Arial"/>
          <w:b/>
          <w:b/>
          <w:color w:val="00000A"/>
        </w:rPr>
      </w:pPr>
      <w:r>
        <w:rPr>
          <w:rFonts w:eastAsia="Times New Roman" w:cs="Arial" w:ascii="Arial" w:hAnsi="Arial"/>
          <w:b/>
          <w:color w:val="00000A"/>
        </w:rPr>
        <w:t>3.3.3.2. Sistema de Bibliotecas – SISBI</w:t>
      </w:r>
    </w:p>
    <w:p>
      <w:pPr>
        <w:pStyle w:val="Normal2"/>
        <w:jc w:val="both"/>
        <w:rPr>
          <w:rFonts w:ascii="Arial" w:hAnsi="Arial" w:eastAsia="Times New Roman" w:cs="Arial"/>
          <w:color w:val="00000A"/>
        </w:rPr>
      </w:pPr>
      <w:r>
        <w:rPr>
          <w:rFonts w:eastAsia="Times New Roman" w:cs="Arial" w:ascii="Arial" w:hAnsi="Arial"/>
          <w:color w:val="00000A"/>
        </w:rPr>
      </w:r>
    </w:p>
    <w:p>
      <w:pPr>
        <w:pStyle w:val="Normal2"/>
        <w:spacing w:lineRule="auto" w:line="360"/>
        <w:jc w:val="both"/>
        <w:rPr>
          <w:rFonts w:ascii="Arial" w:hAnsi="Arial" w:cs="Arial"/>
          <w:color w:val="00000A"/>
        </w:rPr>
      </w:pPr>
      <w:r>
        <w:rPr>
          <w:rFonts w:eastAsia="Times New Roman" w:cs="Arial" w:ascii="Arial" w:hAnsi="Arial"/>
          <w:color w:val="00000A"/>
        </w:rPr>
        <w:tab/>
        <w:t>O Sistema de Bibliotecas (SISBI) da UFVJM tem como missão organizar, disseminar e democratizar o acesso à informação, dando suporte ao ensino, a pesquisa e a extensão, sustentando e colaborando com a UFVJM como propulsora do desenvolvimento regional e nacional.</w:t>
      </w:r>
    </w:p>
    <w:p>
      <w:pPr>
        <w:pStyle w:val="Normal2"/>
        <w:spacing w:lineRule="auto" w:line="360"/>
        <w:jc w:val="both"/>
        <w:rPr>
          <w:rFonts w:ascii="Arial" w:hAnsi="Arial" w:cs="Arial"/>
          <w:color w:val="00000A"/>
        </w:rPr>
      </w:pPr>
      <w:r>
        <w:rPr>
          <w:rFonts w:eastAsia="Times New Roman" w:cs="Arial" w:ascii="Arial" w:hAnsi="Arial"/>
          <w:color w:val="00000A"/>
        </w:rPr>
        <w:tab/>
        <w:t xml:space="preserve">Vinculado à Reitoria, o SISBI é composto pela Superintendência e por cinco Bibliotecas Universitárias, sendo duas nos </w:t>
      </w:r>
      <w:r>
        <w:rPr>
          <w:rFonts w:eastAsia="Times New Roman" w:cs="Arial" w:ascii="Arial" w:hAnsi="Arial"/>
          <w:i/>
          <w:color w:val="00000A"/>
        </w:rPr>
        <w:t xml:space="preserve">Campi </w:t>
      </w:r>
      <w:r>
        <w:rPr>
          <w:rFonts w:eastAsia="Times New Roman" w:cs="Arial" w:ascii="Arial" w:hAnsi="Arial"/>
          <w:color w:val="00000A"/>
        </w:rPr>
        <w:t xml:space="preserve">de Diamantina e uma em cada um dos </w:t>
      </w:r>
      <w:r>
        <w:rPr>
          <w:rFonts w:eastAsia="Times New Roman" w:cs="Arial" w:ascii="Arial" w:hAnsi="Arial"/>
          <w:i/>
          <w:color w:val="00000A"/>
        </w:rPr>
        <w:t xml:space="preserve">Campus </w:t>
      </w:r>
      <w:r>
        <w:rPr>
          <w:rFonts w:eastAsia="Times New Roman" w:cs="Arial" w:ascii="Arial" w:hAnsi="Arial"/>
          <w:color w:val="00000A"/>
        </w:rPr>
        <w:t>em Teófilo Otoni, Janaúba e Unaí. Dispõe de uma coleção direcionada para as áreas de Ciências Agrárias, Ciências Biológicas e da Saúde, Ciências Exatas e Sociais Aplicadas, Ciências Humanas e Ciência e Tecnologia.</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 </w:t>
      </w:r>
      <w:r>
        <w:rPr>
          <w:rFonts w:eastAsia="Times New Roman" w:cs="Arial" w:ascii="Arial" w:hAnsi="Arial"/>
          <w:color w:val="00000A"/>
        </w:rPr>
        <w:tab/>
        <w:t>As bibliotecas do SISBI estão abertas para consulta da população em geral, porém o público-alvo é a comunidade acadêmica. Desta forma, todo o acervo é voltado para os cursos e disciplinas oferecidos na Universidade.</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 </w:t>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Horário de funcionamento das Bibliotecas:</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Biblioteca Campus I: 08:00 às 17:00h</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Biblioteca Campús JK: 07:00 às 22:45h</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Biblioteca Mucuri: 08:00 às 22:00h</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Biblioteca Janaúba: 07:00 às 17:00h</w:t>
      </w:r>
    </w:p>
    <w:p>
      <w:pPr>
        <w:pStyle w:val="Normal2"/>
        <w:spacing w:lineRule="auto" w:line="360"/>
        <w:rPr>
          <w:rFonts w:ascii="Arial" w:hAnsi="Arial" w:eastAsia="Times New Roman" w:cs="Arial"/>
          <w:color w:val="00000A"/>
        </w:rPr>
      </w:pPr>
      <w:r>
        <w:rPr>
          <w:rFonts w:eastAsia="Times New Roman" w:cs="Arial" w:ascii="Arial" w:hAnsi="Arial"/>
          <w:color w:val="00000A"/>
        </w:rPr>
        <w:t>Biblioteca Unaí: 07:00 às 18:00h</w:t>
      </w:r>
    </w:p>
    <w:p>
      <w:pPr>
        <w:pStyle w:val="Normal2"/>
        <w:spacing w:lineRule="auto" w:line="360"/>
        <w:rPr>
          <w:rFonts w:ascii="Arial" w:hAnsi="Arial" w:eastAsia="Times New Roman" w:cs="Arial"/>
          <w:color w:val="00000A"/>
        </w:rPr>
      </w:pPr>
      <w:r>
        <w:rPr>
          <w:rFonts w:eastAsia="Times New Roman" w:cs="Arial" w:ascii="Arial" w:hAnsi="Arial"/>
          <w:color w:val="00000A"/>
        </w:rPr>
      </w:r>
    </w:p>
    <w:p>
      <w:pPr>
        <w:pStyle w:val="Normal2"/>
        <w:spacing w:lineRule="auto" w:line="360"/>
        <w:jc w:val="both"/>
        <w:rPr>
          <w:rFonts w:ascii="Arial" w:hAnsi="Arial" w:eastAsia="Times New Roman" w:cs="Arial"/>
          <w:color w:val="00000A"/>
        </w:rPr>
      </w:pPr>
      <w:r>
        <w:rPr>
          <w:rFonts w:eastAsia="Times New Roman" w:cs="Arial" w:ascii="Arial" w:hAnsi="Arial"/>
          <w:color w:val="00000A"/>
        </w:rPr>
        <w:tab/>
        <w:t>Dentre os serviços oferecidos pelas Bibliotecas destacam-se: (a) consulta ao acervo local; (b) empréstimo domiciliar; (c) acesso remoto à base de dados para consulta, reserva e renovação de empréstimos; (d) serviço de comutação bibliográfica (COMUT);(e) orientação sobre normalização bibliográfica; (f) elaboração de ficha catalográfica para dissertações e teses; (g) orientação e treinamento de usuários no uso de base de dados; (h)visita orientada à biblioteca; (i) disponibilização de armários para usuários durante a permanência nas bibliotecas; (j) computadores para consulta ao acervo e pesquisa; (h) emissão da Declaração de Nada Consta (i) treinamento de usuários para uso da Biblioteca e de seu s</w:t>
      </w:r>
      <w:r>
        <w:rPr>
          <w:rFonts w:eastAsia="Times New Roman" w:cs="Arial" w:ascii="Arial" w:hAnsi="Arial"/>
          <w:i/>
          <w:color w:val="00000A"/>
        </w:rPr>
        <w:t>oftware.</w:t>
      </w:r>
    </w:p>
    <w:p>
      <w:pPr>
        <w:pStyle w:val="Normal2"/>
        <w:rPr>
          <w:rFonts w:ascii="Arial" w:hAnsi="Arial" w:cs="Arial"/>
          <w:color w:val="00000A"/>
        </w:rPr>
      </w:pPr>
      <w:r>
        <w:rPr>
          <w:rFonts w:eastAsia="Times New Roman" w:cs="Arial" w:ascii="Arial" w:hAnsi="Arial"/>
          <w:color w:val="00000A"/>
        </w:rPr>
        <w:tab/>
        <w:t>No que se refere às ações realizadas no último quadriênio, ligadas às questões de infraestrutura física das Bibliotecas do SISBI, como previsto no PDI 2012-2016, o novo prédio da Biblioteca Central, no Campus JK com um espaço de 5.937m</w:t>
      </w:r>
      <w:r>
        <w:rPr>
          <w:rFonts w:eastAsia="Times New Roman" w:cs="Arial" w:ascii="Arial" w:hAnsi="Arial"/>
          <w:color w:val="00000A"/>
          <w:vertAlign w:val="superscript"/>
        </w:rPr>
        <w:t>2</w:t>
      </w:r>
      <w:r>
        <w:rPr>
          <w:rFonts w:eastAsia="Times New Roman" w:cs="Arial" w:ascii="Arial" w:hAnsi="Arial"/>
          <w:color w:val="00000A"/>
        </w:rPr>
        <w:t>, foi inaugurado em abril de 2016, compreendendo amplas instalações para utilização dos usuários da comunidade interna e externa, bem como para o desempenho das atividades administrativas, possibilitando a melhoria da qualidade dos serviços ofertados.</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ab/>
        <w:t xml:space="preserve">A previsão de entrega da biblioteca do Campus de Janaúba é no segundo semestre de 2017. As obras da Biblioteca no Campus Unaí estão estagnadas devido à dificuldade orçamentária que a UFVJM enfrenta.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ab/>
        <w:t>A expansão das bibliotecas em relação de infraestrutura, mobiliário, quantidade de empréstimos e orçamento, podem ser detalhadas em números nos quadros a seguir.</w:t>
      </w:r>
    </w:p>
    <w:p>
      <w:pPr>
        <w:pStyle w:val="Normal2"/>
        <w:spacing w:before="90" w:after="38"/>
        <w:ind w:left="474" w:right="425" w:hanging="0"/>
        <w:jc w:val="center"/>
        <w:rPr>
          <w:rFonts w:ascii="Arial" w:hAnsi="Arial" w:eastAsia="Times New Roman" w:cs="Arial"/>
          <w:color w:val="00000A"/>
        </w:rPr>
      </w:pPr>
      <w:r>
        <w:rPr>
          <w:rFonts w:eastAsia="Times New Roman" w:cs="Arial" w:ascii="Arial" w:hAnsi="Arial"/>
          <w:b/>
          <w:color w:val="00000A"/>
        </w:rPr>
        <w:t>Quadro 1- Infraestrutura – Espaço físico ocupado pelas Bibliotecas da UFVJM – 2012 a 2016.</w:t>
      </w:r>
    </w:p>
    <w:tbl>
      <w:tblPr>
        <w:tblW w:w="9065" w:type="dxa"/>
        <w:jc w:val="left"/>
        <w:tblInd w:w="5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1511"/>
        <w:gridCol w:w="1511"/>
        <w:gridCol w:w="1511"/>
        <w:gridCol w:w="1511"/>
        <w:gridCol w:w="1511"/>
        <w:gridCol w:w="1509"/>
      </w:tblGrid>
      <w:tr>
        <w:trPr>
          <w:trHeight w:val="860"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1" w:right="138" w:hanging="0"/>
              <w:rPr>
                <w:rFonts w:ascii="Arial" w:hAnsi="Arial" w:eastAsia="Times New Roman" w:cs="Arial"/>
                <w:b/>
                <w:b/>
                <w:color w:val="00000A"/>
              </w:rPr>
            </w:pPr>
            <w:r>
              <w:rPr>
                <w:rFonts w:eastAsia="Times New Roman" w:cs="Arial" w:ascii="Arial" w:hAnsi="Arial"/>
                <w:b/>
                <w:color w:val="00000A"/>
              </w:rPr>
              <w:t>Ano</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37" w:hanging="0"/>
              <w:jc w:val="right"/>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I</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8" w:hanging="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JK</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367" w:hanging="18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do Mucuri</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307" w:right="175" w:hanging="12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de Janaúba</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502" w:right="175" w:hanging="315"/>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de Unaí</w:t>
            </w:r>
          </w:p>
        </w:tc>
      </w:tr>
      <w:tr>
        <w:trPr>
          <w:trHeight w:val="480"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22" w:hanging="0"/>
              <w:rPr>
                <w:rFonts w:ascii="Arial" w:hAnsi="Arial" w:eastAsia="Times New Roman" w:cs="Arial"/>
                <w:b/>
                <w:b/>
                <w:color w:val="00000A"/>
              </w:rPr>
            </w:pPr>
            <w:r>
              <w:rPr>
                <w:rFonts w:eastAsia="Times New Roman" w:cs="Arial" w:ascii="Arial" w:hAnsi="Arial"/>
                <w:b/>
                <w:color w:val="00000A"/>
              </w:rPr>
              <w:t>2012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55" w:hanging="0"/>
              <w:jc w:val="right"/>
              <w:rPr>
                <w:rFonts w:ascii="Arial" w:hAnsi="Arial" w:eastAsia="Times New Roman" w:cs="Arial"/>
                <w:color w:val="00000A"/>
              </w:rPr>
            </w:pPr>
            <w:r>
              <w:rPr>
                <w:rFonts w:eastAsia="Times New Roman" w:cs="Arial" w:ascii="Arial" w:hAnsi="Arial"/>
                <w:color w:val="00000A"/>
              </w:rPr>
              <w:t>506,76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3" w:hanging="0"/>
              <w:rPr>
                <w:rFonts w:ascii="Arial" w:hAnsi="Arial" w:eastAsia="Times New Roman" w:cs="Arial"/>
                <w:color w:val="00000A"/>
              </w:rPr>
            </w:pPr>
            <w:r>
              <w:rPr>
                <w:rFonts w:eastAsia="Times New Roman" w:cs="Arial" w:ascii="Arial" w:hAnsi="Arial"/>
                <w:color w:val="00000A"/>
              </w:rPr>
              <w:t>952,84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3" w:hanging="0"/>
              <w:rPr>
                <w:rFonts w:ascii="Arial" w:hAnsi="Arial" w:eastAsia="Times New Roman" w:cs="Arial"/>
                <w:color w:val="00000A"/>
              </w:rPr>
            </w:pPr>
            <w:r>
              <w:rPr>
                <w:rFonts w:eastAsia="Times New Roman" w:cs="Arial" w:ascii="Arial" w:hAnsi="Arial"/>
                <w:color w:val="00000A"/>
              </w:rPr>
              <w:t>1.080,60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 w:hanging="0"/>
              <w:rPr>
                <w:rFonts w:ascii="Arial" w:hAnsi="Arial" w:eastAsia="Times New Roman" w:cs="Arial"/>
                <w:b/>
                <w:b/>
                <w:color w:val="00000A"/>
              </w:rPr>
            </w:pPr>
            <w:r>
              <w:rPr>
                <w:rFonts w:eastAsia="Times New Roman" w:cs="Arial" w:ascii="Arial" w:hAnsi="Arial"/>
                <w:b/>
                <w:color w:val="00000A"/>
              </w:rPr>
              <w:t>-</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 w:hanging="0"/>
              <w:rPr>
                <w:rFonts w:ascii="Arial" w:hAnsi="Arial" w:eastAsia="Times New Roman" w:cs="Arial"/>
                <w:b/>
                <w:b/>
                <w:color w:val="00000A"/>
              </w:rPr>
            </w:pPr>
            <w:r>
              <w:rPr>
                <w:rFonts w:eastAsia="Times New Roman" w:cs="Arial" w:ascii="Arial" w:hAnsi="Arial"/>
                <w:b/>
                <w:color w:val="00000A"/>
              </w:rPr>
              <w:t>-</w:t>
            </w:r>
          </w:p>
        </w:tc>
      </w:tr>
      <w:tr>
        <w:trPr>
          <w:trHeight w:val="760"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22" w:hanging="0"/>
              <w:rPr>
                <w:rFonts w:ascii="Arial" w:hAnsi="Arial" w:eastAsia="Times New Roman" w:cs="Arial"/>
                <w:b/>
                <w:b/>
                <w:color w:val="00000A"/>
              </w:rPr>
            </w:pPr>
            <w:r>
              <w:rPr>
                <w:rFonts w:eastAsia="Times New Roman" w:cs="Arial" w:ascii="Arial" w:hAnsi="Arial"/>
                <w:b/>
                <w:color w:val="00000A"/>
              </w:rPr>
              <w:t>2013</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55" w:hanging="0"/>
              <w:jc w:val="right"/>
              <w:rPr>
                <w:rFonts w:ascii="Arial" w:hAnsi="Arial" w:eastAsia="Times New Roman" w:cs="Arial"/>
                <w:color w:val="00000A"/>
              </w:rPr>
            </w:pPr>
            <w:r>
              <w:rPr>
                <w:rFonts w:eastAsia="Times New Roman" w:cs="Arial" w:ascii="Arial" w:hAnsi="Arial"/>
                <w:color w:val="00000A"/>
              </w:rPr>
              <w:t>506,76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0" w:right="138" w:hanging="0"/>
              <w:rPr>
                <w:rFonts w:ascii="Arial" w:hAnsi="Arial" w:eastAsia="Times New Roman" w:cs="Arial"/>
                <w:color w:val="00000A"/>
              </w:rPr>
            </w:pPr>
            <w:r>
              <w:rPr>
                <w:rFonts w:eastAsia="Times New Roman" w:cs="Arial" w:ascii="Arial" w:hAnsi="Arial"/>
                <w:color w:val="00000A"/>
              </w:rPr>
              <w:t>952,84 m</w:t>
            </w:r>
            <w:r>
              <w:rPr>
                <w:rFonts w:eastAsia="Times New Roman" w:cs="Arial" w:ascii="Arial" w:hAnsi="Arial"/>
                <w:color w:val="00000A"/>
                <w:vertAlign w:val="superscript"/>
              </w:rPr>
              <w:t xml:space="preserve">2 </w:t>
            </w:r>
            <w:r>
              <w:rPr>
                <w:rFonts w:eastAsia="Times New Roman" w:cs="Arial" w:ascii="Arial" w:hAnsi="Arial"/>
                <w:color w:val="00000A"/>
              </w:rPr>
              <w:t>+</w:t>
            </w:r>
          </w:p>
          <w:p>
            <w:pPr>
              <w:pStyle w:val="Normal2"/>
              <w:widowControl w:val="false"/>
              <w:spacing w:before="8" w:after="200"/>
              <w:ind w:left="137" w:right="133" w:hanging="0"/>
              <w:rPr>
                <w:rFonts w:ascii="Arial" w:hAnsi="Arial" w:eastAsia="Times New Roman" w:cs="Arial"/>
                <w:color w:val="00000A"/>
              </w:rPr>
            </w:pPr>
            <w:r>
              <w:rPr>
                <w:rFonts w:eastAsia="Times New Roman" w:cs="Arial" w:ascii="Arial" w:hAnsi="Arial"/>
                <w:color w:val="00000A"/>
              </w:rPr>
              <w:t>100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3" w:hanging="0"/>
              <w:rPr>
                <w:rFonts w:ascii="Arial" w:hAnsi="Arial" w:eastAsia="Times New Roman" w:cs="Arial"/>
                <w:color w:val="00000A"/>
              </w:rPr>
            </w:pPr>
            <w:r>
              <w:rPr>
                <w:rFonts w:eastAsia="Times New Roman" w:cs="Arial" w:ascii="Arial" w:hAnsi="Arial"/>
                <w:color w:val="00000A"/>
              </w:rPr>
              <w:t>1.080,60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 w:hanging="0"/>
              <w:rPr>
                <w:rFonts w:ascii="Arial" w:hAnsi="Arial" w:eastAsia="Times New Roman" w:cs="Arial"/>
                <w:b/>
                <w:b/>
                <w:color w:val="00000A"/>
              </w:rPr>
            </w:pPr>
            <w:r>
              <w:rPr>
                <w:rFonts w:eastAsia="Times New Roman" w:cs="Arial" w:ascii="Arial" w:hAnsi="Arial"/>
                <w:b/>
                <w:color w:val="00000A"/>
              </w:rPr>
              <w:t>-</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 w:hanging="0"/>
              <w:rPr>
                <w:rFonts w:ascii="Arial" w:hAnsi="Arial" w:eastAsia="Times New Roman" w:cs="Arial"/>
                <w:b/>
                <w:b/>
                <w:color w:val="00000A"/>
              </w:rPr>
            </w:pPr>
            <w:r>
              <w:rPr>
                <w:rFonts w:eastAsia="Times New Roman" w:cs="Arial" w:ascii="Arial" w:hAnsi="Arial"/>
                <w:b/>
                <w:color w:val="00000A"/>
              </w:rPr>
              <w:t>-</w:t>
            </w:r>
          </w:p>
        </w:tc>
      </w:tr>
      <w:tr>
        <w:trPr>
          <w:trHeight w:val="760"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22" w:hanging="0"/>
              <w:rPr>
                <w:rFonts w:ascii="Arial" w:hAnsi="Arial" w:eastAsia="Times New Roman" w:cs="Arial"/>
                <w:b/>
                <w:b/>
                <w:color w:val="00000A"/>
              </w:rPr>
            </w:pPr>
            <w:r>
              <w:rPr>
                <w:rFonts w:eastAsia="Times New Roman" w:cs="Arial" w:ascii="Arial" w:hAnsi="Arial"/>
                <w:b/>
                <w:color w:val="00000A"/>
              </w:rPr>
              <w:t>2014</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55" w:hanging="0"/>
              <w:jc w:val="right"/>
              <w:rPr>
                <w:rFonts w:ascii="Arial" w:hAnsi="Arial" w:eastAsia="Times New Roman" w:cs="Arial"/>
                <w:color w:val="00000A"/>
              </w:rPr>
            </w:pPr>
            <w:r>
              <w:rPr>
                <w:rFonts w:eastAsia="Times New Roman" w:cs="Arial" w:ascii="Arial" w:hAnsi="Arial"/>
                <w:color w:val="00000A"/>
              </w:rPr>
              <w:t>506,76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0" w:right="138" w:hanging="0"/>
              <w:rPr>
                <w:rFonts w:ascii="Arial" w:hAnsi="Arial" w:eastAsia="Times New Roman" w:cs="Arial"/>
                <w:color w:val="00000A"/>
              </w:rPr>
            </w:pPr>
            <w:r>
              <w:rPr>
                <w:rFonts w:eastAsia="Times New Roman" w:cs="Arial" w:ascii="Arial" w:hAnsi="Arial"/>
                <w:color w:val="00000A"/>
              </w:rPr>
              <w:t>952,84 m</w:t>
            </w:r>
            <w:r>
              <w:rPr>
                <w:rFonts w:eastAsia="Times New Roman" w:cs="Arial" w:ascii="Arial" w:hAnsi="Arial"/>
                <w:color w:val="00000A"/>
                <w:vertAlign w:val="superscript"/>
              </w:rPr>
              <w:t xml:space="preserve">2 </w:t>
            </w:r>
            <w:r>
              <w:rPr>
                <w:rFonts w:eastAsia="Times New Roman" w:cs="Arial" w:ascii="Arial" w:hAnsi="Arial"/>
                <w:color w:val="00000A"/>
              </w:rPr>
              <w:t>+</w:t>
            </w:r>
          </w:p>
          <w:p>
            <w:pPr>
              <w:pStyle w:val="Normal2"/>
              <w:widowControl w:val="false"/>
              <w:spacing w:before="8" w:after="200"/>
              <w:ind w:left="137" w:right="133" w:hanging="0"/>
              <w:rPr>
                <w:rFonts w:ascii="Arial" w:hAnsi="Arial" w:eastAsia="Times New Roman" w:cs="Arial"/>
                <w:color w:val="00000A"/>
              </w:rPr>
            </w:pPr>
            <w:r>
              <w:rPr>
                <w:rFonts w:eastAsia="Times New Roman" w:cs="Arial" w:ascii="Arial" w:hAnsi="Arial"/>
                <w:color w:val="00000A"/>
              </w:rPr>
              <w:t>100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3" w:hanging="0"/>
              <w:rPr>
                <w:rFonts w:ascii="Arial" w:hAnsi="Arial" w:eastAsia="Times New Roman" w:cs="Arial"/>
                <w:color w:val="00000A"/>
              </w:rPr>
            </w:pPr>
            <w:r>
              <w:rPr>
                <w:rFonts w:eastAsia="Times New Roman" w:cs="Arial" w:ascii="Arial" w:hAnsi="Arial"/>
                <w:color w:val="00000A"/>
              </w:rPr>
              <w:t>1.080,60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2" w:hanging="0"/>
              <w:rPr>
                <w:rFonts w:ascii="Arial" w:hAnsi="Arial" w:eastAsia="Times New Roman" w:cs="Arial"/>
                <w:color w:val="00000A"/>
              </w:rPr>
            </w:pPr>
            <w:r>
              <w:rPr>
                <w:rFonts w:eastAsia="Times New Roman" w:cs="Arial" w:ascii="Arial" w:hAnsi="Arial"/>
                <w:color w:val="00000A"/>
              </w:rPr>
              <w:t>90m²</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2" w:hanging="0"/>
              <w:rPr>
                <w:rFonts w:ascii="Arial" w:hAnsi="Arial" w:eastAsia="Times New Roman" w:cs="Arial"/>
                <w:color w:val="00000A"/>
              </w:rPr>
            </w:pPr>
            <w:r>
              <w:rPr>
                <w:rFonts w:eastAsia="Times New Roman" w:cs="Arial" w:ascii="Arial" w:hAnsi="Arial"/>
                <w:color w:val="00000A"/>
              </w:rPr>
              <w:t>140m²</w:t>
            </w:r>
          </w:p>
        </w:tc>
      </w:tr>
      <w:tr>
        <w:trPr>
          <w:trHeight w:val="760"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22" w:hanging="0"/>
              <w:rPr>
                <w:rFonts w:ascii="Arial" w:hAnsi="Arial" w:eastAsia="Times New Roman" w:cs="Arial"/>
                <w:b/>
                <w:b/>
                <w:color w:val="00000A"/>
              </w:rPr>
            </w:pPr>
            <w:r>
              <w:rPr>
                <w:rFonts w:eastAsia="Times New Roman" w:cs="Arial" w:ascii="Arial" w:hAnsi="Arial"/>
                <w:b/>
                <w:color w:val="00000A"/>
              </w:rPr>
              <w:t>2015</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55" w:hanging="0"/>
              <w:jc w:val="right"/>
              <w:rPr>
                <w:rFonts w:ascii="Arial" w:hAnsi="Arial" w:eastAsia="Times New Roman" w:cs="Arial"/>
                <w:color w:val="00000A"/>
              </w:rPr>
            </w:pPr>
            <w:r>
              <w:rPr>
                <w:rFonts w:eastAsia="Times New Roman" w:cs="Arial" w:ascii="Arial" w:hAnsi="Arial"/>
                <w:color w:val="00000A"/>
              </w:rPr>
              <w:t>506,76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0" w:right="138" w:hanging="0"/>
              <w:rPr>
                <w:rFonts w:ascii="Arial" w:hAnsi="Arial" w:eastAsia="Times New Roman" w:cs="Arial"/>
                <w:color w:val="00000A"/>
              </w:rPr>
            </w:pPr>
            <w:r>
              <w:rPr>
                <w:rFonts w:eastAsia="Times New Roman" w:cs="Arial" w:ascii="Arial" w:hAnsi="Arial"/>
                <w:color w:val="00000A"/>
              </w:rPr>
              <w:t>952,84 m</w:t>
            </w:r>
            <w:r>
              <w:rPr>
                <w:rFonts w:eastAsia="Times New Roman" w:cs="Arial" w:ascii="Arial" w:hAnsi="Arial"/>
                <w:color w:val="00000A"/>
                <w:vertAlign w:val="superscript"/>
              </w:rPr>
              <w:t xml:space="preserve">2 </w:t>
            </w:r>
            <w:r>
              <w:rPr>
                <w:rFonts w:eastAsia="Times New Roman" w:cs="Arial" w:ascii="Arial" w:hAnsi="Arial"/>
                <w:color w:val="00000A"/>
              </w:rPr>
              <w:t>+</w:t>
            </w:r>
          </w:p>
          <w:p>
            <w:pPr>
              <w:pStyle w:val="Normal2"/>
              <w:widowControl w:val="false"/>
              <w:spacing w:before="8" w:after="200"/>
              <w:ind w:left="137" w:right="133" w:hanging="0"/>
              <w:rPr>
                <w:rFonts w:ascii="Arial" w:hAnsi="Arial" w:eastAsia="Times New Roman" w:cs="Arial"/>
                <w:color w:val="00000A"/>
              </w:rPr>
            </w:pPr>
            <w:r>
              <w:rPr>
                <w:rFonts w:eastAsia="Times New Roman" w:cs="Arial" w:ascii="Arial" w:hAnsi="Arial"/>
                <w:color w:val="00000A"/>
              </w:rPr>
              <w:t>100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3" w:hanging="0"/>
              <w:rPr>
                <w:rFonts w:ascii="Arial" w:hAnsi="Arial" w:eastAsia="Times New Roman" w:cs="Arial"/>
                <w:color w:val="00000A"/>
              </w:rPr>
            </w:pPr>
            <w:r>
              <w:rPr>
                <w:rFonts w:eastAsia="Times New Roman" w:cs="Arial" w:ascii="Arial" w:hAnsi="Arial"/>
                <w:color w:val="00000A"/>
              </w:rPr>
              <w:t>1.080,60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2" w:hanging="0"/>
              <w:rPr>
                <w:rFonts w:ascii="Arial" w:hAnsi="Arial" w:eastAsia="Times New Roman" w:cs="Arial"/>
                <w:color w:val="00000A"/>
              </w:rPr>
            </w:pPr>
            <w:r>
              <w:rPr>
                <w:rFonts w:eastAsia="Times New Roman" w:cs="Arial" w:ascii="Arial" w:hAnsi="Arial"/>
                <w:color w:val="00000A"/>
              </w:rPr>
              <w:t>90m²</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2" w:hanging="0"/>
              <w:rPr>
                <w:rFonts w:ascii="Arial" w:hAnsi="Arial" w:eastAsia="Times New Roman" w:cs="Arial"/>
                <w:color w:val="00000A"/>
              </w:rPr>
            </w:pPr>
            <w:r>
              <w:rPr>
                <w:rFonts w:eastAsia="Times New Roman" w:cs="Arial" w:ascii="Arial" w:hAnsi="Arial"/>
                <w:color w:val="00000A"/>
              </w:rPr>
              <w:t>140m²</w:t>
            </w:r>
          </w:p>
        </w:tc>
      </w:tr>
      <w:tr>
        <w:trPr>
          <w:trHeight w:val="520" w:hRule="atLeast"/>
        </w:trPr>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22" w:hanging="0"/>
              <w:rPr>
                <w:rFonts w:ascii="Arial" w:hAnsi="Arial" w:eastAsia="Times New Roman" w:cs="Arial"/>
                <w:b/>
                <w:b/>
                <w:color w:val="00000A"/>
              </w:rPr>
            </w:pPr>
            <w:r>
              <w:rPr>
                <w:rFonts w:eastAsia="Times New Roman" w:cs="Arial" w:ascii="Arial" w:hAnsi="Arial"/>
                <w:b/>
                <w:color w:val="00000A"/>
              </w:rPr>
              <w:t>2016</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55" w:hanging="0"/>
              <w:jc w:val="right"/>
              <w:rPr>
                <w:rFonts w:ascii="Arial" w:hAnsi="Arial" w:eastAsia="Times New Roman" w:cs="Arial"/>
                <w:color w:val="00000A"/>
              </w:rPr>
            </w:pPr>
            <w:r>
              <w:rPr>
                <w:rFonts w:eastAsia="Times New Roman" w:cs="Arial" w:ascii="Arial" w:hAnsi="Arial"/>
                <w:color w:val="00000A"/>
              </w:rPr>
              <w:t>506,76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3" w:hanging="0"/>
              <w:rPr>
                <w:rFonts w:ascii="Arial" w:hAnsi="Arial" w:eastAsia="Times New Roman" w:cs="Arial"/>
                <w:color w:val="00000A"/>
              </w:rPr>
            </w:pPr>
            <w:r>
              <w:rPr>
                <w:rFonts w:eastAsia="Times New Roman" w:cs="Arial" w:ascii="Arial" w:hAnsi="Arial"/>
                <w:color w:val="00000A"/>
              </w:rPr>
              <w:t>5.937m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3" w:hanging="0"/>
              <w:rPr>
                <w:rFonts w:ascii="Arial" w:hAnsi="Arial" w:eastAsia="Times New Roman" w:cs="Arial"/>
                <w:color w:val="00000A"/>
              </w:rPr>
            </w:pPr>
            <w:r>
              <w:rPr>
                <w:rFonts w:eastAsia="Times New Roman" w:cs="Arial" w:ascii="Arial" w:hAnsi="Arial"/>
                <w:color w:val="00000A"/>
              </w:rPr>
              <w:t>1.080,60 m</w:t>
            </w:r>
            <w:r>
              <w:rPr>
                <w:rFonts w:eastAsia="Times New Roman" w:cs="Arial" w:ascii="Arial" w:hAnsi="Arial"/>
                <w:color w:val="00000A"/>
                <w:vertAlign w:val="superscript"/>
              </w:rPr>
              <w:t>2</w:t>
            </w:r>
          </w:p>
        </w:tc>
        <w:tc>
          <w:tcPr>
            <w:tcW w:w="151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2" w:hanging="0"/>
              <w:rPr>
                <w:rFonts w:ascii="Arial" w:hAnsi="Arial" w:eastAsia="Times New Roman" w:cs="Arial"/>
                <w:color w:val="00000A"/>
              </w:rPr>
            </w:pPr>
            <w:r>
              <w:rPr>
                <w:rFonts w:eastAsia="Times New Roman" w:cs="Arial" w:ascii="Arial" w:hAnsi="Arial"/>
                <w:color w:val="00000A"/>
              </w:rPr>
              <w:t>90m²</w:t>
            </w:r>
          </w:p>
        </w:tc>
        <w:tc>
          <w:tcPr>
            <w:tcW w:w="150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32" w:hanging="0"/>
              <w:rPr>
                <w:rFonts w:ascii="Arial" w:hAnsi="Arial" w:eastAsia="Times New Roman" w:cs="Arial"/>
                <w:color w:val="00000A"/>
              </w:rPr>
            </w:pPr>
            <w:r>
              <w:rPr>
                <w:rFonts w:eastAsia="Times New Roman" w:cs="Arial" w:ascii="Arial" w:hAnsi="Arial"/>
                <w:color w:val="00000A"/>
              </w:rPr>
              <w:t>140m²</w:t>
            </w:r>
          </w:p>
        </w:tc>
      </w:tr>
    </w:tbl>
    <w:p>
      <w:pPr>
        <w:pStyle w:val="Normal2"/>
        <w:spacing w:lineRule="auto" w:line="288" w:before="0" w:after="140"/>
        <w:rPr>
          <w:rFonts w:ascii="Arial" w:hAnsi="Arial" w:eastAsia="Times New Roman" w:cs="Arial"/>
          <w:b/>
          <w:b/>
          <w:color w:val="00000A"/>
        </w:rPr>
      </w:pPr>
      <w:r>
        <w:rPr>
          <w:rFonts w:eastAsia="Times New Roman" w:cs="Arial" w:ascii="Arial" w:hAnsi="Arial"/>
          <w:b/>
          <w:color w:val="00000A"/>
        </w:rPr>
      </w:r>
    </w:p>
    <w:p>
      <w:pPr>
        <w:pStyle w:val="Normal2"/>
        <w:spacing w:before="0" w:after="37"/>
        <w:ind w:left="418" w:right="425" w:hanging="0"/>
        <w:jc w:val="center"/>
        <w:rPr>
          <w:rFonts w:ascii="Arial" w:hAnsi="Arial" w:eastAsia="Times New Roman" w:cs="Arial"/>
          <w:color w:val="00000A"/>
        </w:rPr>
      </w:pPr>
      <w:r>
        <w:rPr>
          <w:rFonts w:eastAsia="Times New Roman" w:cs="Arial" w:ascii="Arial" w:hAnsi="Arial"/>
          <w:b/>
          <w:color w:val="00000A"/>
        </w:rPr>
        <w:t xml:space="preserve">Quadro 2- Infraestrutura – Disponibilidade de mobiliário para estudos nos cinco </w:t>
      </w:r>
      <w:r>
        <w:rPr>
          <w:rFonts w:eastAsia="Times New Roman" w:cs="Arial" w:ascii="Arial" w:hAnsi="Arial"/>
          <w:b/>
          <w:i/>
          <w:color w:val="00000A"/>
        </w:rPr>
        <w:t xml:space="preserve">campi </w:t>
      </w:r>
      <w:r>
        <w:rPr>
          <w:rFonts w:eastAsia="Times New Roman" w:cs="Arial" w:ascii="Arial" w:hAnsi="Arial"/>
          <w:b/>
          <w:color w:val="00000A"/>
        </w:rPr>
        <w:t>2016</w:t>
      </w:r>
    </w:p>
    <w:tbl>
      <w:tblPr>
        <w:tblW w:w="8994" w:type="dxa"/>
        <w:jc w:val="left"/>
        <w:tblInd w:w="8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2020"/>
        <w:gridCol w:w="1391"/>
        <w:gridCol w:w="1422"/>
        <w:gridCol w:w="1437"/>
        <w:gridCol w:w="1362"/>
        <w:gridCol w:w="1361"/>
      </w:tblGrid>
      <w:tr>
        <w:trPr>
          <w:trHeight w:val="1140"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60" w:right="663" w:hanging="0"/>
              <w:rPr>
                <w:rFonts w:ascii="Arial" w:hAnsi="Arial" w:eastAsia="Times New Roman" w:cs="Arial"/>
                <w:b/>
                <w:b/>
                <w:color w:val="00000A"/>
              </w:rPr>
            </w:pPr>
            <w:r>
              <w:rPr>
                <w:rFonts w:eastAsia="Times New Roman" w:cs="Arial" w:ascii="Arial" w:hAnsi="Arial"/>
                <w:b/>
                <w:color w:val="00000A"/>
              </w:rPr>
              <w:t>ITEM</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81" w:right="187" w:hanging="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I</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1" w:right="95" w:hanging="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JK</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320" w:right="134" w:hanging="18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do Mucuri</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230" w:right="103" w:hanging="12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de Janaúba</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424" w:right="104" w:hanging="315"/>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de Unaí</w:t>
            </w:r>
          </w:p>
        </w:tc>
      </w:tr>
      <w:tr>
        <w:trPr>
          <w:trHeight w:val="760"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112" w:right="106" w:hanging="0"/>
              <w:rPr>
                <w:rFonts w:ascii="Arial" w:hAnsi="Arial" w:eastAsia="Times New Roman" w:cs="Arial"/>
                <w:color w:val="00000A"/>
              </w:rPr>
            </w:pPr>
            <w:r>
              <w:rPr>
                <w:rFonts w:eastAsia="Times New Roman" w:cs="Arial" w:ascii="Arial" w:hAnsi="Arial"/>
                <w:color w:val="00000A"/>
              </w:rPr>
              <w:t>Cabines para estudo individual</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 w:hanging="0"/>
              <w:jc w:val="center"/>
              <w:rPr>
                <w:rFonts w:ascii="Arial" w:hAnsi="Arial" w:eastAsia="Times New Roman" w:cs="Arial"/>
                <w:color w:val="00000A"/>
              </w:rPr>
            </w:pPr>
            <w:r>
              <w:rPr>
                <w:rFonts w:eastAsia="Times New Roman" w:cs="Arial" w:ascii="Arial" w:hAnsi="Arial"/>
                <w:color w:val="00000A"/>
              </w:rPr>
              <w:t>-</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1" w:right="78" w:hanging="0"/>
              <w:jc w:val="center"/>
              <w:rPr>
                <w:rFonts w:ascii="Arial" w:hAnsi="Arial" w:eastAsia="Times New Roman" w:cs="Arial"/>
                <w:color w:val="00000A"/>
              </w:rPr>
            </w:pPr>
            <w:r>
              <w:rPr>
                <w:rFonts w:eastAsia="Times New Roman" w:cs="Arial" w:ascii="Arial" w:hAnsi="Arial"/>
                <w:color w:val="00000A"/>
              </w:rPr>
              <w:t>241</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1" w:hanging="0"/>
              <w:jc w:val="center"/>
              <w:rPr>
                <w:rFonts w:ascii="Arial" w:hAnsi="Arial" w:eastAsia="Times New Roman" w:cs="Arial"/>
                <w:color w:val="00000A"/>
              </w:rPr>
            </w:pPr>
            <w:r>
              <w:rPr>
                <w:rFonts w:eastAsia="Times New Roman" w:cs="Arial" w:ascii="Arial" w:hAnsi="Arial"/>
                <w:color w:val="00000A"/>
              </w:rPr>
              <w:t>44</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jc w:val="center"/>
              <w:rPr>
                <w:rFonts w:ascii="Arial" w:hAnsi="Arial" w:eastAsia="Times New Roman" w:cs="Arial"/>
                <w:color w:val="00000A"/>
              </w:rPr>
            </w:pPr>
            <w:r>
              <w:rPr>
                <w:rFonts w:eastAsia="Times New Roman" w:cs="Arial" w:ascii="Arial" w:hAnsi="Arial"/>
                <w:color w:val="00000A"/>
              </w:rPr>
              <w:t>-</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jc w:val="center"/>
              <w:rPr>
                <w:rFonts w:ascii="Arial" w:hAnsi="Arial" w:eastAsia="Times New Roman" w:cs="Arial"/>
                <w:color w:val="00000A"/>
              </w:rPr>
            </w:pPr>
            <w:r>
              <w:rPr>
                <w:rFonts w:eastAsia="Times New Roman" w:cs="Arial" w:ascii="Arial" w:hAnsi="Arial"/>
                <w:color w:val="00000A"/>
              </w:rPr>
              <w:t>-</w:t>
            </w:r>
          </w:p>
        </w:tc>
      </w:tr>
      <w:tr>
        <w:trPr>
          <w:trHeight w:val="760"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112" w:right="106" w:hanging="0"/>
              <w:rPr>
                <w:rFonts w:ascii="Arial" w:hAnsi="Arial" w:eastAsia="Times New Roman" w:cs="Arial"/>
                <w:color w:val="00000A"/>
              </w:rPr>
            </w:pPr>
            <w:r>
              <w:rPr>
                <w:rFonts w:eastAsia="Times New Roman" w:cs="Arial" w:ascii="Arial" w:hAnsi="Arial"/>
                <w:color w:val="00000A"/>
              </w:rPr>
              <w:t>Mesas para estudos em grupo</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81" w:right="167" w:hanging="0"/>
              <w:jc w:val="center"/>
              <w:rPr>
                <w:rFonts w:ascii="Arial" w:hAnsi="Arial" w:eastAsia="Times New Roman" w:cs="Arial"/>
                <w:color w:val="00000A"/>
              </w:rPr>
            </w:pPr>
            <w:r>
              <w:rPr>
                <w:rFonts w:eastAsia="Times New Roman" w:cs="Arial" w:ascii="Arial" w:hAnsi="Arial"/>
                <w:color w:val="00000A"/>
              </w:rPr>
              <w:t>36</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1" w:right="78" w:hanging="0"/>
              <w:jc w:val="center"/>
              <w:rPr>
                <w:rFonts w:ascii="Arial" w:hAnsi="Arial" w:eastAsia="Times New Roman" w:cs="Arial"/>
                <w:color w:val="00000A"/>
              </w:rPr>
            </w:pPr>
            <w:r>
              <w:rPr>
                <w:rFonts w:eastAsia="Times New Roman" w:cs="Arial" w:ascii="Arial" w:hAnsi="Arial"/>
                <w:color w:val="00000A"/>
              </w:rPr>
              <w:t>32</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589" w:hanging="0"/>
              <w:jc w:val="center"/>
              <w:rPr>
                <w:rFonts w:ascii="Arial" w:hAnsi="Arial" w:eastAsia="Times New Roman" w:cs="Arial"/>
                <w:color w:val="00000A"/>
              </w:rPr>
            </w:pPr>
            <w:r>
              <w:rPr>
                <w:rFonts w:eastAsia="Times New Roman" w:cs="Arial" w:ascii="Arial" w:hAnsi="Arial"/>
                <w:color w:val="00000A"/>
              </w:rPr>
              <w:t>26</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538" w:right="528" w:hanging="0"/>
              <w:jc w:val="center"/>
              <w:rPr>
                <w:rFonts w:ascii="Arial" w:hAnsi="Arial" w:eastAsia="Times New Roman" w:cs="Arial"/>
                <w:color w:val="00000A"/>
              </w:rPr>
            </w:pPr>
            <w:r>
              <w:rPr>
                <w:rFonts w:eastAsia="Times New Roman" w:cs="Arial" w:ascii="Arial" w:hAnsi="Arial"/>
                <w:color w:val="00000A"/>
              </w:rPr>
              <w:t>16</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 w:hanging="0"/>
              <w:jc w:val="center"/>
              <w:rPr>
                <w:rFonts w:ascii="Arial" w:hAnsi="Arial" w:eastAsia="Times New Roman" w:cs="Arial"/>
                <w:color w:val="00000A"/>
              </w:rPr>
            </w:pPr>
            <w:r>
              <w:rPr>
                <w:rFonts w:eastAsia="Times New Roman" w:cs="Arial" w:ascii="Arial" w:hAnsi="Arial"/>
                <w:color w:val="00000A"/>
              </w:rPr>
              <w:t>7</w:t>
            </w:r>
          </w:p>
        </w:tc>
      </w:tr>
      <w:tr>
        <w:trPr>
          <w:trHeight w:val="1060" w:hRule="atLeast"/>
        </w:trPr>
        <w:tc>
          <w:tcPr>
            <w:tcW w:w="202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112" w:right="106" w:hanging="0"/>
              <w:rPr>
                <w:rFonts w:ascii="Arial" w:hAnsi="Arial" w:eastAsia="Times New Roman" w:cs="Arial"/>
                <w:color w:val="00000A"/>
              </w:rPr>
            </w:pPr>
            <w:r>
              <w:rPr>
                <w:rFonts w:eastAsia="Times New Roman" w:cs="Arial" w:ascii="Arial" w:hAnsi="Arial"/>
                <w:color w:val="00000A"/>
              </w:rPr>
              <w:t>Cadeiras para estudo (individual</w:t>
            </w:r>
          </w:p>
          <w:p>
            <w:pPr>
              <w:pStyle w:val="Normal2"/>
              <w:widowControl w:val="false"/>
              <w:ind w:left="112" w:hanging="0"/>
              <w:rPr>
                <w:rFonts w:ascii="Arial" w:hAnsi="Arial" w:eastAsia="Times New Roman" w:cs="Arial"/>
                <w:color w:val="00000A"/>
              </w:rPr>
            </w:pPr>
            <w:r>
              <w:rPr>
                <w:rFonts w:eastAsia="Times New Roman" w:cs="Arial" w:ascii="Arial" w:hAnsi="Arial"/>
                <w:color w:val="00000A"/>
              </w:rPr>
              <w:t>+ em grupo)</w:t>
            </w:r>
          </w:p>
        </w:tc>
        <w:tc>
          <w:tcPr>
            <w:tcW w:w="139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81" w:right="167" w:hanging="0"/>
              <w:jc w:val="center"/>
              <w:rPr>
                <w:rFonts w:ascii="Arial" w:hAnsi="Arial" w:eastAsia="Times New Roman" w:cs="Arial"/>
                <w:color w:val="00000A"/>
              </w:rPr>
            </w:pPr>
            <w:r>
              <w:rPr>
                <w:rFonts w:eastAsia="Times New Roman" w:cs="Arial" w:ascii="Arial" w:hAnsi="Arial"/>
                <w:color w:val="00000A"/>
              </w:rPr>
              <w:t>125</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1" w:right="78" w:hanging="0"/>
              <w:jc w:val="center"/>
              <w:rPr>
                <w:rFonts w:ascii="Arial" w:hAnsi="Arial" w:eastAsia="Times New Roman" w:cs="Arial"/>
                <w:color w:val="00000A"/>
              </w:rPr>
            </w:pPr>
            <w:r>
              <w:rPr>
                <w:rFonts w:eastAsia="Times New Roman" w:cs="Arial" w:ascii="Arial" w:hAnsi="Arial"/>
                <w:color w:val="00000A"/>
              </w:rPr>
              <w:t>413</w:t>
            </w:r>
          </w:p>
        </w:tc>
        <w:tc>
          <w:tcPr>
            <w:tcW w:w="143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529" w:hanging="0"/>
              <w:jc w:val="center"/>
              <w:rPr>
                <w:rFonts w:ascii="Arial" w:hAnsi="Arial" w:eastAsia="Times New Roman" w:cs="Arial"/>
                <w:color w:val="00000A"/>
              </w:rPr>
            </w:pPr>
            <w:r>
              <w:rPr>
                <w:rFonts w:eastAsia="Times New Roman" w:cs="Arial" w:ascii="Arial" w:hAnsi="Arial"/>
                <w:color w:val="00000A"/>
              </w:rPr>
              <w:t>140</w:t>
            </w:r>
          </w:p>
        </w:tc>
        <w:tc>
          <w:tcPr>
            <w:tcW w:w="136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538" w:right="528" w:hanging="0"/>
              <w:jc w:val="center"/>
              <w:rPr>
                <w:rFonts w:ascii="Arial" w:hAnsi="Arial" w:eastAsia="Times New Roman" w:cs="Arial"/>
                <w:color w:val="00000A"/>
              </w:rPr>
            </w:pPr>
            <w:r>
              <w:rPr>
                <w:rFonts w:eastAsia="Times New Roman" w:cs="Arial" w:ascii="Arial" w:hAnsi="Arial"/>
                <w:color w:val="00000A"/>
              </w:rPr>
              <w:t>40</w:t>
            </w:r>
          </w:p>
        </w:tc>
        <w:tc>
          <w:tcPr>
            <w:tcW w:w="136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537" w:right="528" w:hanging="0"/>
              <w:jc w:val="center"/>
              <w:rPr>
                <w:rFonts w:ascii="Arial" w:hAnsi="Arial" w:eastAsia="Times New Roman" w:cs="Arial"/>
                <w:color w:val="00000A"/>
              </w:rPr>
            </w:pPr>
            <w:r>
              <w:rPr>
                <w:rFonts w:eastAsia="Times New Roman" w:cs="Arial" w:ascii="Arial" w:hAnsi="Arial"/>
                <w:color w:val="00000A"/>
              </w:rPr>
              <w:t>22</w:t>
            </w:r>
          </w:p>
        </w:tc>
      </w:tr>
    </w:tbl>
    <w:p>
      <w:pPr>
        <w:pStyle w:val="Normal2"/>
        <w:rPr>
          <w:rFonts w:ascii="Arial" w:hAnsi="Arial" w:eastAsia="Times New Roman" w:cs="Arial"/>
          <w:color w:val="00000A"/>
        </w:rPr>
      </w:pPr>
      <w:r>
        <w:rPr>
          <w:rFonts w:eastAsia="Times New Roman" w:cs="Arial" w:ascii="Arial" w:hAnsi="Arial"/>
          <w:color w:val="00000A"/>
        </w:rPr>
      </w:r>
    </w:p>
    <w:p>
      <w:pPr>
        <w:pStyle w:val="Normal2"/>
        <w:spacing w:before="0" w:after="37"/>
        <w:ind w:left="410" w:right="425" w:hanging="0"/>
        <w:jc w:val="center"/>
        <w:rPr>
          <w:rFonts w:ascii="Arial" w:hAnsi="Arial" w:eastAsia="Times New Roman" w:cs="Arial"/>
          <w:color w:val="00000A"/>
        </w:rPr>
      </w:pPr>
      <w:r>
        <w:rPr>
          <w:rFonts w:eastAsia="Times New Roman" w:cs="Arial" w:ascii="Arial" w:hAnsi="Arial"/>
          <w:b/>
          <w:color w:val="00000A"/>
        </w:rPr>
        <w:t>Quadro 3- Infraestrutura – Número de computadores ligados à rede mundial – 2012 a 2016.</w:t>
      </w:r>
    </w:p>
    <w:tbl>
      <w:tblPr>
        <w:tblW w:w="8993" w:type="dxa"/>
        <w:jc w:val="left"/>
        <w:tblInd w:w="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2559"/>
        <w:gridCol w:w="2439"/>
        <w:gridCol w:w="2080"/>
        <w:gridCol w:w="1914"/>
      </w:tblGrid>
      <w:tr>
        <w:trPr>
          <w:trHeight w:val="520" w:hRule="atLeast"/>
        </w:trPr>
        <w:tc>
          <w:tcPr>
            <w:tcW w:w="255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39" w:right="945" w:hanging="0"/>
              <w:rPr>
                <w:rFonts w:ascii="Arial" w:hAnsi="Arial" w:eastAsia="Times New Roman" w:cs="Arial"/>
                <w:b/>
                <w:b/>
                <w:color w:val="00000A"/>
              </w:rPr>
            </w:pPr>
            <w:r>
              <w:rPr>
                <w:rFonts w:eastAsia="Times New Roman" w:cs="Arial" w:ascii="Arial" w:hAnsi="Arial"/>
                <w:b/>
                <w:color w:val="00000A"/>
              </w:rPr>
              <w:t>Ano</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799" w:hanging="0"/>
              <w:rPr>
                <w:rFonts w:ascii="Arial" w:hAnsi="Arial" w:eastAsia="Times New Roman" w:cs="Arial"/>
                <w:b/>
                <w:b/>
                <w:i/>
                <w:i/>
                <w:color w:val="00000A"/>
              </w:rPr>
            </w:pPr>
            <w:r>
              <w:rPr>
                <w:rFonts w:eastAsia="Times New Roman" w:cs="Arial" w:ascii="Arial" w:hAnsi="Arial"/>
                <w:b/>
                <w:i/>
                <w:color w:val="00000A"/>
              </w:rPr>
              <w:t>Campus</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08" w:right="162" w:hanging="0"/>
              <w:rPr>
                <w:rFonts w:ascii="Arial" w:hAnsi="Arial" w:eastAsia="Times New Roman" w:cs="Arial"/>
                <w:b/>
                <w:b/>
                <w:color w:val="00000A"/>
              </w:rPr>
            </w:pPr>
            <w:r>
              <w:rPr>
                <w:rFonts w:eastAsia="Times New Roman" w:cs="Arial" w:ascii="Arial" w:hAnsi="Arial"/>
                <w:b/>
                <w:color w:val="00000A"/>
              </w:rPr>
              <w:t>Administrativos</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509" w:right="444" w:hanging="0"/>
              <w:rPr>
                <w:rFonts w:ascii="Arial" w:hAnsi="Arial" w:eastAsia="Times New Roman" w:cs="Arial"/>
                <w:b/>
                <w:b/>
                <w:color w:val="00000A"/>
              </w:rPr>
            </w:pPr>
            <w:r>
              <w:rPr>
                <w:rFonts w:eastAsia="Times New Roman" w:cs="Arial" w:ascii="Arial" w:hAnsi="Arial"/>
                <w:b/>
                <w:color w:val="00000A"/>
              </w:rPr>
              <w:t>Usuários</w:t>
            </w:r>
          </w:p>
        </w:tc>
      </w:tr>
      <w:tr>
        <w:trPr>
          <w:trHeight w:val="480"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spacing w:before="10" w:after="200"/>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959" w:right="945" w:hanging="0"/>
              <w:rPr>
                <w:rFonts w:ascii="Arial" w:hAnsi="Arial" w:eastAsia="Times New Roman" w:cs="Arial"/>
                <w:b/>
                <w:b/>
                <w:color w:val="00000A"/>
              </w:rPr>
            </w:pPr>
            <w:r>
              <w:rPr>
                <w:rFonts w:eastAsia="Times New Roman" w:cs="Arial" w:ascii="Arial" w:hAnsi="Arial"/>
                <w:b/>
                <w:color w:val="00000A"/>
              </w:rPr>
              <w:t>2012</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5</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15</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75" w:right="162" w:hanging="0"/>
              <w:jc w:val="center"/>
              <w:rPr>
                <w:rFonts w:ascii="Arial" w:hAnsi="Arial" w:eastAsia="Times New Roman" w:cs="Arial"/>
                <w:color w:val="00000A"/>
              </w:rPr>
            </w:pPr>
            <w:r>
              <w:rPr>
                <w:rFonts w:eastAsia="Times New Roman" w:cs="Arial" w:ascii="Arial" w:hAnsi="Arial"/>
                <w:color w:val="00000A"/>
              </w:rPr>
              <w:t>14</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23</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7</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10</w:t>
            </w:r>
          </w:p>
        </w:tc>
      </w:tr>
      <w:tr>
        <w:trPr>
          <w:trHeight w:val="480"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spacing w:before="10" w:after="200"/>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1019" w:right="885" w:hanging="0"/>
              <w:rPr>
                <w:rFonts w:ascii="Arial" w:hAnsi="Arial" w:eastAsia="Times New Roman" w:cs="Arial"/>
                <w:b/>
                <w:b/>
                <w:color w:val="00000A"/>
              </w:rPr>
            </w:pPr>
            <w:r>
              <w:rPr>
                <w:rFonts w:eastAsia="Times New Roman" w:cs="Arial" w:ascii="Arial" w:hAnsi="Arial"/>
                <w:b/>
                <w:color w:val="00000A"/>
              </w:rPr>
              <w:t>2013</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5</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15</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75" w:right="162" w:hanging="0"/>
              <w:jc w:val="center"/>
              <w:rPr>
                <w:rFonts w:ascii="Arial" w:hAnsi="Arial" w:eastAsia="Times New Roman" w:cs="Arial"/>
                <w:color w:val="00000A"/>
              </w:rPr>
            </w:pPr>
            <w:r>
              <w:rPr>
                <w:rFonts w:eastAsia="Times New Roman" w:cs="Arial" w:ascii="Arial" w:hAnsi="Arial"/>
                <w:color w:val="00000A"/>
              </w:rPr>
              <w:t>18</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 w:hanging="0"/>
              <w:jc w:val="center"/>
              <w:rPr>
                <w:rFonts w:ascii="Arial" w:hAnsi="Arial" w:eastAsia="Times New Roman" w:cs="Arial"/>
                <w:color w:val="00000A"/>
              </w:rPr>
            </w:pPr>
            <w:r>
              <w:rPr>
                <w:rFonts w:eastAsia="Times New Roman" w:cs="Arial" w:ascii="Arial" w:hAnsi="Arial"/>
                <w:color w:val="00000A"/>
              </w:rPr>
              <w:t>8</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7</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10</w:t>
            </w:r>
          </w:p>
        </w:tc>
      </w:tr>
      <w:tr>
        <w:trPr>
          <w:trHeight w:val="480"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spacing w:before="3" w:after="200"/>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959" w:right="945" w:hanging="0"/>
              <w:rPr>
                <w:rFonts w:ascii="Arial" w:hAnsi="Arial" w:eastAsia="Times New Roman" w:cs="Arial"/>
                <w:b/>
                <w:b/>
                <w:color w:val="00000A"/>
              </w:rPr>
            </w:pPr>
            <w:r>
              <w:rPr>
                <w:rFonts w:eastAsia="Times New Roman" w:cs="Arial" w:ascii="Arial" w:hAnsi="Arial"/>
                <w:b/>
                <w:color w:val="00000A"/>
              </w:rPr>
              <w:t>2014</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15</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75" w:right="162" w:hanging="0"/>
              <w:jc w:val="center"/>
              <w:rPr>
                <w:rFonts w:ascii="Arial" w:hAnsi="Arial" w:eastAsia="Times New Roman" w:cs="Arial"/>
                <w:color w:val="00000A"/>
              </w:rPr>
            </w:pPr>
            <w:r>
              <w:rPr>
                <w:rFonts w:eastAsia="Times New Roman" w:cs="Arial" w:ascii="Arial" w:hAnsi="Arial"/>
                <w:color w:val="00000A"/>
              </w:rPr>
              <w:t>16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10</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75" w:right="162" w:hanging="0"/>
              <w:jc w:val="center"/>
              <w:rPr>
                <w:rFonts w:ascii="Arial" w:hAnsi="Arial" w:eastAsia="Times New Roman" w:cs="Arial"/>
                <w:color w:val="00000A"/>
              </w:rPr>
            </w:pPr>
            <w:r>
              <w:rPr>
                <w:rFonts w:eastAsia="Times New Roman" w:cs="Arial" w:ascii="Arial" w:hAnsi="Arial"/>
                <w:color w:val="00000A"/>
              </w:rPr>
              <w:t>10</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10</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Janaúba</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 w:hanging="0"/>
              <w:jc w:val="center"/>
              <w:rPr>
                <w:rFonts w:ascii="Arial" w:hAnsi="Arial" w:eastAsia="Times New Roman" w:cs="Arial"/>
                <w:color w:val="00000A"/>
              </w:rPr>
            </w:pPr>
            <w:r>
              <w:rPr>
                <w:rFonts w:eastAsia="Times New Roman" w:cs="Arial" w:ascii="Arial" w:hAnsi="Arial"/>
                <w:color w:val="00000A"/>
              </w:rPr>
              <w:t>3</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Unaí</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2</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9" w:hanging="0"/>
              <w:jc w:val="center"/>
              <w:rPr>
                <w:rFonts w:ascii="Arial" w:hAnsi="Arial" w:eastAsia="Times New Roman" w:cs="Arial"/>
                <w:color w:val="00000A"/>
              </w:rPr>
            </w:pPr>
            <w:r>
              <w:rPr>
                <w:rFonts w:eastAsia="Times New Roman" w:cs="Arial" w:ascii="Arial" w:hAnsi="Arial"/>
                <w:color w:val="00000A"/>
              </w:rPr>
              <w:t>-</w:t>
            </w:r>
          </w:p>
        </w:tc>
      </w:tr>
      <w:tr>
        <w:trPr>
          <w:trHeight w:val="480"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spacing w:before="3" w:after="200"/>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959" w:right="945" w:hanging="0"/>
              <w:rPr>
                <w:rFonts w:ascii="Arial" w:hAnsi="Arial" w:eastAsia="Times New Roman" w:cs="Arial"/>
                <w:b/>
                <w:b/>
                <w:color w:val="00000A"/>
              </w:rPr>
            </w:pPr>
            <w:r>
              <w:rPr>
                <w:rFonts w:eastAsia="Times New Roman" w:cs="Arial" w:ascii="Arial" w:hAnsi="Arial"/>
                <w:b/>
                <w:color w:val="00000A"/>
              </w:rPr>
              <w:t>2015</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15</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75" w:right="162" w:hanging="0"/>
              <w:jc w:val="center"/>
              <w:rPr>
                <w:rFonts w:ascii="Arial" w:hAnsi="Arial" w:eastAsia="Times New Roman" w:cs="Arial"/>
                <w:color w:val="00000A"/>
              </w:rPr>
            </w:pPr>
            <w:r>
              <w:rPr>
                <w:rFonts w:eastAsia="Times New Roman" w:cs="Arial" w:ascii="Arial" w:hAnsi="Arial"/>
                <w:color w:val="00000A"/>
              </w:rPr>
              <w:t>18</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13</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75" w:right="162" w:hanging="0"/>
              <w:jc w:val="center"/>
              <w:rPr>
                <w:rFonts w:ascii="Arial" w:hAnsi="Arial" w:eastAsia="Times New Roman" w:cs="Arial"/>
                <w:color w:val="00000A"/>
              </w:rPr>
            </w:pPr>
            <w:r>
              <w:rPr>
                <w:rFonts w:eastAsia="Times New Roman" w:cs="Arial" w:ascii="Arial" w:hAnsi="Arial"/>
                <w:color w:val="00000A"/>
              </w:rPr>
              <w:t>10</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43" w:right="444" w:hanging="0"/>
              <w:jc w:val="center"/>
              <w:rPr>
                <w:rFonts w:ascii="Arial" w:hAnsi="Arial" w:eastAsia="Times New Roman" w:cs="Arial"/>
                <w:color w:val="00000A"/>
              </w:rPr>
            </w:pPr>
            <w:r>
              <w:rPr>
                <w:rFonts w:eastAsia="Times New Roman" w:cs="Arial" w:ascii="Arial" w:hAnsi="Arial"/>
                <w:color w:val="00000A"/>
              </w:rPr>
              <w:t>11</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Janaúba</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 w:hanging="0"/>
              <w:jc w:val="center"/>
              <w:rPr>
                <w:rFonts w:ascii="Arial" w:hAnsi="Arial" w:eastAsia="Times New Roman" w:cs="Arial"/>
                <w:color w:val="00000A"/>
              </w:rPr>
            </w:pPr>
            <w:r>
              <w:rPr>
                <w:rFonts w:eastAsia="Times New Roman" w:cs="Arial" w:ascii="Arial" w:hAnsi="Arial"/>
                <w:color w:val="00000A"/>
              </w:rPr>
              <w:t>3</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Unaí</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 w:hanging="0"/>
              <w:jc w:val="center"/>
              <w:rPr>
                <w:rFonts w:ascii="Arial" w:hAnsi="Arial" w:eastAsia="Times New Roman" w:cs="Arial"/>
                <w:color w:val="00000A"/>
              </w:rPr>
            </w:pPr>
            <w:r>
              <w:rPr>
                <w:rFonts w:eastAsia="Times New Roman" w:cs="Arial" w:ascii="Arial" w:hAnsi="Arial"/>
                <w:color w:val="00000A"/>
              </w:rPr>
              <w:t>6</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 w:hanging="0"/>
              <w:jc w:val="center"/>
              <w:rPr>
                <w:rFonts w:ascii="Arial" w:hAnsi="Arial" w:eastAsia="Times New Roman" w:cs="Arial"/>
                <w:color w:val="00000A"/>
              </w:rPr>
            </w:pPr>
            <w:r>
              <w:rPr>
                <w:rFonts w:eastAsia="Times New Roman" w:cs="Arial" w:ascii="Arial" w:hAnsi="Arial"/>
                <w:color w:val="00000A"/>
              </w:rPr>
              <w:t>1</w:t>
            </w:r>
          </w:p>
        </w:tc>
      </w:tr>
      <w:tr>
        <w:trPr>
          <w:trHeight w:val="480" w:hRule="atLeast"/>
        </w:trPr>
        <w:tc>
          <w:tcPr>
            <w:tcW w:w="2559" w:type="dxa"/>
            <w:vMerge w:val="restart"/>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25" w:hanging="0"/>
              <w:rPr>
                <w:rFonts w:ascii="Arial" w:hAnsi="Arial" w:eastAsia="Times New Roman" w:cs="Arial"/>
                <w:b/>
                <w:b/>
                <w:color w:val="00000A"/>
              </w:rPr>
            </w:pPr>
            <w:r>
              <w:rPr>
                <w:rFonts w:eastAsia="Times New Roman" w:cs="Arial" w:ascii="Arial" w:hAnsi="Arial"/>
                <w:b/>
                <w:color w:val="00000A"/>
              </w:rPr>
            </w:r>
          </w:p>
          <w:p>
            <w:pPr>
              <w:pStyle w:val="Normal2"/>
              <w:widowControl w:val="false"/>
              <w:ind w:left="959" w:right="945" w:hanging="0"/>
              <w:rPr>
                <w:rFonts w:ascii="Arial" w:hAnsi="Arial" w:eastAsia="Times New Roman" w:cs="Arial"/>
                <w:b/>
                <w:b/>
                <w:color w:val="00000A"/>
              </w:rPr>
            </w:pPr>
            <w:r>
              <w:rPr>
                <w:rFonts w:eastAsia="Times New Roman" w:cs="Arial" w:ascii="Arial" w:hAnsi="Arial"/>
                <w:b/>
                <w:color w:val="00000A"/>
              </w:rPr>
              <w:t>2016</w:t>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979" w:hanging="0"/>
              <w:rPr>
                <w:rFonts w:ascii="Arial" w:hAnsi="Arial" w:eastAsia="Times New Roman" w:cs="Arial"/>
                <w:color w:val="00000A"/>
              </w:rPr>
            </w:pPr>
            <w:r>
              <w:rPr>
                <w:rFonts w:eastAsia="Times New Roman" w:cs="Arial" w:ascii="Arial" w:hAnsi="Arial"/>
                <w:color w:val="00000A"/>
              </w:rPr>
              <w:t>5</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829" w:hanging="0"/>
              <w:jc w:val="right"/>
              <w:rPr>
                <w:rFonts w:ascii="Arial" w:hAnsi="Arial" w:eastAsia="Times New Roman" w:cs="Arial"/>
                <w:color w:val="00000A"/>
              </w:rPr>
            </w:pPr>
            <w:r>
              <w:rPr>
                <w:rFonts w:eastAsia="Times New Roman" w:cs="Arial" w:ascii="Arial" w:hAnsi="Arial"/>
                <w:color w:val="00000A"/>
              </w:rPr>
              <w:t>15</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JK</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919" w:hanging="0"/>
              <w:rPr>
                <w:rFonts w:ascii="Arial" w:hAnsi="Arial" w:eastAsia="Times New Roman" w:cs="Arial"/>
                <w:color w:val="00000A"/>
              </w:rPr>
            </w:pPr>
            <w:r>
              <w:rPr>
                <w:rFonts w:eastAsia="Times New Roman" w:cs="Arial" w:ascii="Arial" w:hAnsi="Arial"/>
                <w:color w:val="00000A"/>
              </w:rPr>
              <w:t>21</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829" w:hanging="0"/>
              <w:jc w:val="right"/>
              <w:rPr>
                <w:rFonts w:ascii="Arial" w:hAnsi="Arial" w:eastAsia="Times New Roman" w:cs="Arial"/>
                <w:color w:val="00000A"/>
              </w:rPr>
            </w:pPr>
            <w:r>
              <w:rPr>
                <w:rFonts w:eastAsia="Times New Roman" w:cs="Arial" w:ascii="Arial" w:hAnsi="Arial"/>
                <w:color w:val="00000A"/>
              </w:rPr>
              <w:t>26</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do Mucuri</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919" w:hanging="0"/>
              <w:rPr>
                <w:rFonts w:ascii="Arial" w:hAnsi="Arial" w:eastAsia="Times New Roman" w:cs="Arial"/>
                <w:color w:val="00000A"/>
              </w:rPr>
            </w:pPr>
            <w:r>
              <w:rPr>
                <w:rFonts w:eastAsia="Times New Roman" w:cs="Arial" w:ascii="Arial" w:hAnsi="Arial"/>
                <w:color w:val="00000A"/>
              </w:rPr>
              <w:t>10</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829" w:hanging="0"/>
              <w:jc w:val="right"/>
              <w:rPr>
                <w:rFonts w:ascii="Arial" w:hAnsi="Arial" w:eastAsia="Times New Roman" w:cs="Arial"/>
                <w:color w:val="00000A"/>
              </w:rPr>
            </w:pPr>
            <w:r>
              <w:rPr>
                <w:rFonts w:eastAsia="Times New Roman" w:cs="Arial" w:ascii="Arial" w:hAnsi="Arial"/>
                <w:color w:val="00000A"/>
              </w:rPr>
              <w:t>28</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Janaúba</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979" w:hanging="0"/>
              <w:rPr>
                <w:rFonts w:ascii="Arial" w:hAnsi="Arial" w:eastAsia="Times New Roman" w:cs="Arial"/>
                <w:color w:val="00000A"/>
              </w:rPr>
            </w:pPr>
            <w:r>
              <w:rPr>
                <w:rFonts w:eastAsia="Times New Roman" w:cs="Arial" w:ascii="Arial" w:hAnsi="Arial"/>
                <w:color w:val="00000A"/>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888" w:hanging="0"/>
              <w:jc w:val="right"/>
              <w:rPr>
                <w:rFonts w:ascii="Arial" w:hAnsi="Arial" w:eastAsia="Times New Roman" w:cs="Arial"/>
                <w:color w:val="00000A"/>
              </w:rPr>
            </w:pPr>
            <w:r>
              <w:rPr>
                <w:rFonts w:eastAsia="Times New Roman" w:cs="Arial" w:ascii="Arial" w:hAnsi="Arial"/>
                <w:color w:val="00000A"/>
              </w:rPr>
              <w:t>3</w:t>
            </w:r>
          </w:p>
        </w:tc>
      </w:tr>
      <w:tr>
        <w:trPr>
          <w:trHeight w:val="480" w:hRule="atLeast"/>
        </w:trPr>
        <w:tc>
          <w:tcPr>
            <w:tcW w:w="2559" w:type="dxa"/>
            <w:vMerge w:val="continue"/>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rPr>
                <w:rFonts w:ascii="Arial" w:hAnsi="Arial" w:cs="Arial"/>
                <w:color w:val="00000A"/>
              </w:rPr>
            </w:pPr>
            <w:r>
              <w:rPr>
                <w:rFonts w:cs="Arial" w:ascii="Arial" w:hAnsi="Arial"/>
                <w:color w:val="00000A"/>
              </w:rPr>
            </w:r>
          </w:p>
        </w:tc>
        <w:tc>
          <w:tcPr>
            <w:tcW w:w="243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11" w:hanging="0"/>
              <w:rPr>
                <w:rFonts w:ascii="Arial" w:hAnsi="Arial" w:eastAsia="Times New Roman" w:cs="Arial"/>
                <w:color w:val="00000A"/>
              </w:rPr>
            </w:pPr>
            <w:r>
              <w:rPr>
                <w:rFonts w:eastAsia="Times New Roman" w:cs="Arial" w:ascii="Arial" w:hAnsi="Arial"/>
                <w:i/>
                <w:color w:val="00000A"/>
              </w:rPr>
              <w:t xml:space="preserve">Campus </w:t>
            </w:r>
            <w:r>
              <w:rPr>
                <w:rFonts w:eastAsia="Times New Roman" w:cs="Arial" w:ascii="Arial" w:hAnsi="Arial"/>
                <w:color w:val="00000A"/>
              </w:rPr>
              <w:t>Unaí</w:t>
            </w:r>
          </w:p>
        </w:tc>
        <w:tc>
          <w:tcPr>
            <w:tcW w:w="20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979" w:hanging="0"/>
              <w:rPr>
                <w:rFonts w:ascii="Arial" w:hAnsi="Arial" w:eastAsia="Times New Roman" w:cs="Arial"/>
                <w:color w:val="00000A"/>
              </w:rPr>
            </w:pPr>
            <w:r>
              <w:rPr>
                <w:rFonts w:eastAsia="Times New Roman" w:cs="Arial" w:ascii="Arial" w:hAnsi="Arial"/>
                <w:color w:val="00000A"/>
              </w:rPr>
              <w:t>3</w:t>
            </w:r>
          </w:p>
        </w:tc>
        <w:tc>
          <w:tcPr>
            <w:tcW w:w="19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888" w:hanging="0"/>
              <w:jc w:val="right"/>
              <w:rPr>
                <w:rFonts w:ascii="Arial" w:hAnsi="Arial" w:eastAsia="Times New Roman" w:cs="Arial"/>
                <w:color w:val="00000A"/>
              </w:rPr>
            </w:pPr>
            <w:r>
              <w:rPr>
                <w:rFonts w:eastAsia="Times New Roman" w:cs="Arial" w:ascii="Arial" w:hAnsi="Arial"/>
                <w:color w:val="00000A"/>
              </w:rPr>
              <w:t>1</w:t>
            </w:r>
          </w:p>
        </w:tc>
      </w:tr>
    </w:tbl>
    <w:p>
      <w:pPr>
        <w:pStyle w:val="Normal2"/>
        <w:spacing w:lineRule="auto" w:line="288" w:before="0" w:after="140"/>
        <w:rPr>
          <w:rFonts w:ascii="Arial" w:hAnsi="Arial" w:eastAsia="Times New Roman" w:cs="Arial"/>
          <w:b/>
          <w:b/>
          <w:color w:val="00000A"/>
        </w:rPr>
      </w:pPr>
      <w:r>
        <w:rPr>
          <w:rFonts w:eastAsia="Times New Roman" w:cs="Arial" w:ascii="Arial" w:hAnsi="Arial"/>
          <w:b/>
          <w:color w:val="00000A"/>
        </w:rPr>
      </w:r>
    </w:p>
    <w:p>
      <w:pPr>
        <w:pStyle w:val="Normal2"/>
        <w:spacing w:before="0" w:after="37"/>
        <w:ind w:left="467" w:right="425" w:hanging="0"/>
        <w:jc w:val="center"/>
        <w:rPr>
          <w:rFonts w:ascii="Arial" w:hAnsi="Arial" w:eastAsia="Times New Roman" w:cs="Arial"/>
          <w:color w:val="00000A"/>
        </w:rPr>
      </w:pPr>
      <w:r>
        <w:rPr>
          <w:rFonts w:eastAsia="Times New Roman" w:cs="Arial" w:ascii="Arial" w:hAnsi="Arial"/>
          <w:b/>
          <w:color w:val="00000A"/>
        </w:rPr>
        <w:t>Quadro 4- Quantidade e Perfil Técnico-Administrativo das Bibliotecas da UFVJM – 2012 a 2016.</w:t>
      </w:r>
    </w:p>
    <w:tbl>
      <w:tblPr>
        <w:tblW w:w="8997" w:type="dxa"/>
        <w:jc w:val="left"/>
        <w:tblInd w:w="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972"/>
        <w:gridCol w:w="1407"/>
        <w:gridCol w:w="1138"/>
        <w:gridCol w:w="1422"/>
        <w:gridCol w:w="1527"/>
        <w:gridCol w:w="1377"/>
        <w:gridCol w:w="1153"/>
      </w:tblGrid>
      <w:tr>
        <w:trPr>
          <w:trHeight w:val="740"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2" w:after="200"/>
              <w:ind w:left="142" w:hanging="0"/>
              <w:rPr>
                <w:rFonts w:ascii="Arial" w:hAnsi="Arial" w:eastAsia="Times New Roman" w:cs="Arial"/>
                <w:b/>
                <w:b/>
                <w:color w:val="00000A"/>
              </w:rPr>
            </w:pPr>
            <w:r>
              <w:rPr>
                <w:rFonts w:eastAsia="Times New Roman" w:cs="Arial" w:ascii="Arial" w:hAnsi="Arial"/>
                <w:b/>
                <w:color w:val="00000A"/>
              </w:rPr>
              <w:t>Período</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2" w:after="200"/>
              <w:ind w:left="90" w:right="84" w:hanging="0"/>
              <w:rPr>
                <w:rFonts w:ascii="Arial" w:hAnsi="Arial" w:eastAsia="Times New Roman" w:cs="Arial"/>
                <w:b/>
                <w:b/>
                <w:color w:val="00000A"/>
              </w:rPr>
            </w:pPr>
            <w:r>
              <w:rPr>
                <w:rFonts w:eastAsia="Times New Roman" w:cs="Arial" w:ascii="Arial" w:hAnsi="Arial"/>
                <w:b/>
                <w:color w:val="00000A"/>
              </w:rPr>
              <w:t>Bibliotecários</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76" w:before="112" w:after="200"/>
              <w:ind w:left="141" w:hanging="15"/>
              <w:rPr>
                <w:rFonts w:ascii="Arial" w:hAnsi="Arial" w:eastAsia="Times New Roman" w:cs="Arial"/>
                <w:b/>
                <w:b/>
                <w:color w:val="00000A"/>
              </w:rPr>
            </w:pPr>
            <w:r>
              <w:rPr>
                <w:rFonts w:eastAsia="Times New Roman" w:cs="Arial" w:ascii="Arial" w:hAnsi="Arial"/>
                <w:b/>
                <w:color w:val="00000A"/>
              </w:rPr>
              <w:t>Secretária Executiva</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76" w:before="112" w:after="200"/>
              <w:ind w:left="589" w:right="211" w:hanging="375"/>
              <w:rPr>
                <w:rFonts w:ascii="Arial" w:hAnsi="Arial" w:eastAsia="Times New Roman" w:cs="Arial"/>
                <w:b/>
                <w:b/>
                <w:color w:val="00000A"/>
              </w:rPr>
            </w:pPr>
            <w:r>
              <w:rPr>
                <w:rFonts w:eastAsia="Times New Roman" w:cs="Arial" w:ascii="Arial" w:hAnsi="Arial"/>
                <w:b/>
                <w:color w:val="00000A"/>
              </w:rPr>
              <w:t>Analista de TI</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76" w:before="112" w:after="200"/>
              <w:ind w:left="124" w:firstLine="44"/>
              <w:rPr>
                <w:rFonts w:ascii="Arial" w:hAnsi="Arial" w:eastAsia="Times New Roman" w:cs="Arial"/>
                <w:b/>
                <w:b/>
                <w:color w:val="00000A"/>
              </w:rPr>
            </w:pPr>
            <w:r>
              <w:rPr>
                <w:rFonts w:eastAsia="Times New Roman" w:cs="Arial" w:ascii="Arial" w:hAnsi="Arial"/>
                <w:b/>
                <w:color w:val="00000A"/>
              </w:rPr>
              <w:t>Assistente em Administração</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76" w:before="112" w:after="200"/>
              <w:ind w:left="632" w:right="115" w:hanging="494"/>
              <w:rPr>
                <w:rFonts w:ascii="Arial" w:hAnsi="Arial" w:eastAsia="Times New Roman" w:cs="Arial"/>
                <w:b/>
                <w:b/>
                <w:color w:val="00000A"/>
              </w:rPr>
            </w:pPr>
            <w:r>
              <w:rPr>
                <w:rFonts w:eastAsia="Times New Roman" w:cs="Arial" w:ascii="Arial" w:hAnsi="Arial"/>
                <w:b/>
                <w:color w:val="00000A"/>
              </w:rPr>
              <w:t>Terceirizado s</w:t>
            </w:r>
          </w:p>
        </w:tc>
        <w:tc>
          <w:tcPr>
            <w:tcW w:w="115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76" w:before="112" w:after="200"/>
              <w:ind w:left="272" w:hanging="75"/>
              <w:rPr>
                <w:rFonts w:ascii="Arial" w:hAnsi="Arial" w:eastAsia="Times New Roman" w:cs="Arial"/>
                <w:color w:val="00000A"/>
              </w:rPr>
            </w:pPr>
            <w:r>
              <w:rPr>
                <w:rFonts w:eastAsia="Times New Roman" w:cs="Arial" w:ascii="Arial" w:hAnsi="Arial"/>
                <w:b/>
                <w:color w:val="00000A"/>
              </w:rPr>
              <w:t>Guardas Mirins</w:t>
            </w:r>
          </w:p>
        </w:tc>
      </w:tr>
      <w:tr>
        <w:trPr>
          <w:trHeight w:val="480"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2012</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 w:hanging="0"/>
              <w:jc w:val="center"/>
              <w:rPr>
                <w:rFonts w:ascii="Arial" w:hAnsi="Arial" w:eastAsia="Times New Roman" w:cs="Arial"/>
                <w:color w:val="00000A"/>
              </w:rPr>
            </w:pPr>
            <w:r>
              <w:rPr>
                <w:rFonts w:eastAsia="Times New Roman" w:cs="Arial" w:ascii="Arial" w:hAnsi="Arial"/>
                <w:color w:val="00000A"/>
              </w:rPr>
              <w:t>8</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jc w:val="center"/>
              <w:rPr>
                <w:rFonts w:ascii="Arial" w:hAnsi="Arial" w:eastAsia="Times New Roman" w:cs="Arial"/>
                <w:color w:val="00000A"/>
              </w:rPr>
            </w:pPr>
            <w:r>
              <w:rPr>
                <w:rFonts w:eastAsia="Times New Roman" w:cs="Arial" w:ascii="Arial" w:hAnsi="Arial"/>
                <w:color w:val="00000A"/>
              </w:rPr>
              <w:t>1</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63" w:hanging="0"/>
              <w:jc w:val="center"/>
              <w:rPr>
                <w:rFonts w:ascii="Arial" w:hAnsi="Arial" w:eastAsia="Times New Roman" w:cs="Arial"/>
                <w:color w:val="00000A"/>
              </w:rPr>
            </w:pPr>
            <w:r>
              <w:rPr>
                <w:rFonts w:eastAsia="Times New Roman" w:cs="Arial" w:ascii="Arial" w:hAnsi="Arial"/>
                <w:color w:val="00000A"/>
              </w:rPr>
              <w:t>-</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14" w:right="617" w:hanging="0"/>
              <w:jc w:val="center"/>
              <w:rPr>
                <w:rFonts w:ascii="Arial" w:hAnsi="Arial" w:eastAsia="Times New Roman" w:cs="Arial"/>
                <w:color w:val="00000A"/>
              </w:rPr>
            </w:pPr>
            <w:r>
              <w:rPr>
                <w:rFonts w:eastAsia="Times New Roman" w:cs="Arial" w:ascii="Arial" w:hAnsi="Arial"/>
                <w:color w:val="00000A"/>
              </w:rPr>
              <w:t>10</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622" w:hanging="0"/>
              <w:jc w:val="center"/>
              <w:rPr>
                <w:rFonts w:ascii="Arial" w:hAnsi="Arial" w:eastAsia="Times New Roman" w:cs="Arial"/>
                <w:color w:val="00000A"/>
              </w:rPr>
            </w:pPr>
            <w:r>
              <w:rPr>
                <w:rFonts w:eastAsia="Times New Roman" w:cs="Arial" w:ascii="Arial" w:hAnsi="Arial"/>
                <w:color w:val="00000A"/>
              </w:rPr>
              <w:t>6</w:t>
            </w:r>
          </w:p>
        </w:tc>
        <w:tc>
          <w:tcPr>
            <w:tcW w:w="115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503" w:hanging="0"/>
              <w:jc w:val="center"/>
              <w:rPr>
                <w:rFonts w:ascii="Arial" w:hAnsi="Arial" w:eastAsia="Times New Roman" w:cs="Arial"/>
                <w:color w:val="00000A"/>
              </w:rPr>
            </w:pPr>
            <w:r>
              <w:rPr>
                <w:rFonts w:eastAsia="Times New Roman" w:cs="Arial" w:ascii="Arial" w:hAnsi="Arial"/>
                <w:color w:val="00000A"/>
              </w:rPr>
              <w:t>4</w:t>
            </w:r>
          </w:p>
        </w:tc>
      </w:tr>
      <w:tr>
        <w:trPr>
          <w:trHeight w:val="480"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2013</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83" w:right="84" w:hanging="0"/>
              <w:jc w:val="center"/>
              <w:rPr>
                <w:rFonts w:ascii="Arial" w:hAnsi="Arial" w:eastAsia="Times New Roman" w:cs="Arial"/>
                <w:color w:val="00000A"/>
              </w:rPr>
            </w:pPr>
            <w:r>
              <w:rPr>
                <w:rFonts w:eastAsia="Times New Roman" w:cs="Arial" w:ascii="Arial" w:hAnsi="Arial"/>
                <w:color w:val="00000A"/>
              </w:rPr>
              <w:t>10</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jc w:val="center"/>
              <w:rPr>
                <w:rFonts w:ascii="Arial" w:hAnsi="Arial" w:eastAsia="Times New Roman" w:cs="Arial"/>
                <w:color w:val="00000A"/>
              </w:rPr>
            </w:pPr>
            <w:r>
              <w:rPr>
                <w:rFonts w:eastAsia="Times New Roman" w:cs="Arial" w:ascii="Arial" w:hAnsi="Arial"/>
                <w:color w:val="00000A"/>
              </w:rPr>
              <w:t>1</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48" w:hanging="0"/>
              <w:jc w:val="center"/>
              <w:rPr>
                <w:rFonts w:ascii="Arial" w:hAnsi="Arial" w:eastAsia="Times New Roman" w:cs="Arial"/>
                <w:color w:val="00000A"/>
              </w:rPr>
            </w:pPr>
            <w:r>
              <w:rPr>
                <w:rFonts w:eastAsia="Times New Roman" w:cs="Arial" w:ascii="Arial" w:hAnsi="Arial"/>
                <w:color w:val="00000A"/>
              </w:rPr>
              <w:t>1</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14" w:right="617" w:hanging="0"/>
              <w:jc w:val="center"/>
              <w:rPr>
                <w:rFonts w:ascii="Arial" w:hAnsi="Arial" w:eastAsia="Times New Roman" w:cs="Arial"/>
                <w:color w:val="00000A"/>
              </w:rPr>
            </w:pPr>
            <w:r>
              <w:rPr>
                <w:rFonts w:eastAsia="Times New Roman" w:cs="Arial" w:ascii="Arial" w:hAnsi="Arial"/>
                <w:color w:val="00000A"/>
              </w:rPr>
              <w:t>10</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622" w:hanging="0"/>
              <w:jc w:val="center"/>
              <w:rPr>
                <w:rFonts w:ascii="Arial" w:hAnsi="Arial" w:eastAsia="Times New Roman" w:cs="Arial"/>
                <w:color w:val="00000A"/>
              </w:rPr>
            </w:pPr>
            <w:r>
              <w:rPr>
                <w:rFonts w:eastAsia="Times New Roman" w:cs="Arial" w:ascii="Arial" w:hAnsi="Arial"/>
                <w:color w:val="00000A"/>
              </w:rPr>
              <w:t>7</w:t>
            </w:r>
          </w:p>
        </w:tc>
        <w:tc>
          <w:tcPr>
            <w:tcW w:w="115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503" w:hanging="0"/>
              <w:jc w:val="center"/>
              <w:rPr>
                <w:rFonts w:ascii="Arial" w:hAnsi="Arial" w:eastAsia="Times New Roman" w:cs="Arial"/>
                <w:color w:val="00000A"/>
              </w:rPr>
            </w:pPr>
            <w:r>
              <w:rPr>
                <w:rFonts w:eastAsia="Times New Roman" w:cs="Arial" w:ascii="Arial" w:hAnsi="Arial"/>
                <w:color w:val="00000A"/>
              </w:rPr>
              <w:t>4</w:t>
            </w:r>
          </w:p>
        </w:tc>
      </w:tr>
      <w:tr>
        <w:trPr>
          <w:trHeight w:val="480"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2014</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83" w:right="84" w:hanging="0"/>
              <w:jc w:val="center"/>
              <w:rPr>
                <w:rFonts w:ascii="Arial" w:hAnsi="Arial" w:eastAsia="Times New Roman" w:cs="Arial"/>
                <w:color w:val="00000A"/>
              </w:rPr>
            </w:pPr>
            <w:r>
              <w:rPr>
                <w:rFonts w:eastAsia="Times New Roman" w:cs="Arial" w:ascii="Arial" w:hAnsi="Arial"/>
                <w:color w:val="00000A"/>
              </w:rPr>
              <w:t>12</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jc w:val="center"/>
              <w:rPr>
                <w:rFonts w:ascii="Arial" w:hAnsi="Arial" w:eastAsia="Times New Roman" w:cs="Arial"/>
                <w:color w:val="00000A"/>
              </w:rPr>
            </w:pPr>
            <w:r>
              <w:rPr>
                <w:rFonts w:eastAsia="Times New Roman" w:cs="Arial" w:ascii="Arial" w:hAnsi="Arial"/>
                <w:color w:val="00000A"/>
              </w:rPr>
              <w:t>1</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48" w:hanging="0"/>
              <w:jc w:val="center"/>
              <w:rPr>
                <w:rFonts w:ascii="Arial" w:hAnsi="Arial" w:eastAsia="Times New Roman" w:cs="Arial"/>
                <w:color w:val="00000A"/>
              </w:rPr>
            </w:pPr>
            <w:r>
              <w:rPr>
                <w:rFonts w:eastAsia="Times New Roman" w:cs="Arial" w:ascii="Arial" w:hAnsi="Arial"/>
                <w:color w:val="00000A"/>
              </w:rPr>
              <w:t>1</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14" w:right="617" w:hanging="0"/>
              <w:jc w:val="center"/>
              <w:rPr>
                <w:rFonts w:ascii="Arial" w:hAnsi="Arial" w:eastAsia="Times New Roman" w:cs="Arial"/>
                <w:color w:val="00000A"/>
              </w:rPr>
            </w:pPr>
            <w:r>
              <w:rPr>
                <w:rFonts w:eastAsia="Times New Roman" w:cs="Arial" w:ascii="Arial" w:hAnsi="Arial"/>
                <w:color w:val="00000A"/>
              </w:rPr>
              <w:t>15</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622" w:hanging="0"/>
              <w:jc w:val="center"/>
              <w:rPr>
                <w:rFonts w:ascii="Arial" w:hAnsi="Arial" w:eastAsia="Times New Roman" w:cs="Arial"/>
                <w:color w:val="00000A"/>
              </w:rPr>
            </w:pPr>
            <w:r>
              <w:rPr>
                <w:rFonts w:eastAsia="Times New Roman" w:cs="Arial" w:ascii="Arial" w:hAnsi="Arial"/>
                <w:color w:val="00000A"/>
              </w:rPr>
              <w:t>9</w:t>
            </w:r>
          </w:p>
        </w:tc>
        <w:tc>
          <w:tcPr>
            <w:tcW w:w="115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528" w:hanging="0"/>
              <w:jc w:val="center"/>
              <w:rPr>
                <w:rFonts w:ascii="Arial" w:hAnsi="Arial" w:eastAsia="Times New Roman" w:cs="Arial"/>
                <w:color w:val="00000A"/>
              </w:rPr>
            </w:pPr>
            <w:r>
              <w:rPr>
                <w:rFonts w:eastAsia="Times New Roman" w:cs="Arial" w:ascii="Arial" w:hAnsi="Arial"/>
                <w:color w:val="00000A"/>
              </w:rPr>
              <w:t>-</w:t>
            </w:r>
          </w:p>
        </w:tc>
      </w:tr>
      <w:tr>
        <w:trPr>
          <w:trHeight w:val="480"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2015</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83" w:right="84" w:hanging="0"/>
              <w:jc w:val="center"/>
              <w:rPr>
                <w:rFonts w:ascii="Arial" w:hAnsi="Arial" w:eastAsia="Times New Roman" w:cs="Arial"/>
                <w:color w:val="00000A"/>
              </w:rPr>
            </w:pPr>
            <w:r>
              <w:rPr>
                <w:rFonts w:eastAsia="Times New Roman" w:cs="Arial" w:ascii="Arial" w:hAnsi="Arial"/>
                <w:color w:val="00000A"/>
              </w:rPr>
              <w:t>12</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jc w:val="center"/>
              <w:rPr>
                <w:rFonts w:ascii="Arial" w:hAnsi="Arial" w:eastAsia="Times New Roman" w:cs="Arial"/>
                <w:color w:val="00000A"/>
              </w:rPr>
            </w:pPr>
            <w:r>
              <w:rPr>
                <w:rFonts w:eastAsia="Times New Roman" w:cs="Arial" w:ascii="Arial" w:hAnsi="Arial"/>
                <w:color w:val="00000A"/>
              </w:rPr>
              <w:t>1</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48" w:hanging="0"/>
              <w:jc w:val="center"/>
              <w:rPr>
                <w:rFonts w:ascii="Arial" w:hAnsi="Arial" w:eastAsia="Times New Roman" w:cs="Arial"/>
                <w:color w:val="00000A"/>
              </w:rPr>
            </w:pPr>
            <w:r>
              <w:rPr>
                <w:rFonts w:eastAsia="Times New Roman" w:cs="Arial" w:ascii="Arial" w:hAnsi="Arial"/>
                <w:color w:val="00000A"/>
              </w:rPr>
              <w:t>1</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14" w:right="617" w:hanging="0"/>
              <w:jc w:val="center"/>
              <w:rPr>
                <w:rFonts w:ascii="Arial" w:hAnsi="Arial" w:eastAsia="Times New Roman" w:cs="Arial"/>
                <w:color w:val="00000A"/>
              </w:rPr>
            </w:pPr>
            <w:r>
              <w:rPr>
                <w:rFonts w:eastAsia="Times New Roman" w:cs="Arial" w:ascii="Arial" w:hAnsi="Arial"/>
                <w:color w:val="00000A"/>
              </w:rPr>
              <w:t>16</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562" w:hanging="0"/>
              <w:jc w:val="center"/>
              <w:rPr>
                <w:rFonts w:ascii="Arial" w:hAnsi="Arial" w:eastAsia="Times New Roman" w:cs="Arial"/>
                <w:color w:val="00000A"/>
              </w:rPr>
            </w:pPr>
            <w:r>
              <w:rPr>
                <w:rFonts w:eastAsia="Times New Roman" w:cs="Arial" w:ascii="Arial" w:hAnsi="Arial"/>
                <w:color w:val="00000A"/>
              </w:rPr>
              <w:t>10</w:t>
            </w:r>
          </w:p>
        </w:tc>
        <w:tc>
          <w:tcPr>
            <w:tcW w:w="115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528" w:hanging="0"/>
              <w:jc w:val="center"/>
              <w:rPr>
                <w:rFonts w:ascii="Arial" w:hAnsi="Arial" w:eastAsia="Times New Roman" w:cs="Arial"/>
                <w:color w:val="00000A"/>
              </w:rPr>
            </w:pPr>
            <w:r>
              <w:rPr>
                <w:rFonts w:eastAsia="Times New Roman" w:cs="Arial" w:ascii="Arial" w:hAnsi="Arial"/>
                <w:color w:val="00000A"/>
              </w:rPr>
              <w:t>-</w:t>
            </w:r>
          </w:p>
        </w:tc>
      </w:tr>
      <w:tr>
        <w:trPr>
          <w:trHeight w:val="480" w:hRule="atLeast"/>
        </w:trPr>
        <w:tc>
          <w:tcPr>
            <w:tcW w:w="9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2016</w:t>
            </w:r>
          </w:p>
        </w:tc>
        <w:tc>
          <w:tcPr>
            <w:tcW w:w="140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83" w:right="84" w:hanging="0"/>
              <w:jc w:val="center"/>
              <w:rPr>
                <w:rFonts w:ascii="Arial" w:hAnsi="Arial" w:eastAsia="Times New Roman" w:cs="Arial"/>
                <w:color w:val="00000A"/>
              </w:rPr>
            </w:pPr>
            <w:r>
              <w:rPr>
                <w:rFonts w:eastAsia="Times New Roman" w:cs="Arial" w:ascii="Arial" w:hAnsi="Arial"/>
                <w:color w:val="00000A"/>
              </w:rPr>
              <w:t>12</w:t>
            </w:r>
          </w:p>
        </w:tc>
        <w:tc>
          <w:tcPr>
            <w:tcW w:w="113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jc w:val="center"/>
              <w:rPr>
                <w:rFonts w:ascii="Arial" w:hAnsi="Arial" w:eastAsia="Times New Roman" w:cs="Arial"/>
                <w:color w:val="00000A"/>
              </w:rPr>
            </w:pPr>
            <w:r>
              <w:rPr>
                <w:rFonts w:eastAsia="Times New Roman" w:cs="Arial" w:ascii="Arial" w:hAnsi="Arial"/>
                <w:color w:val="00000A"/>
              </w:rPr>
              <w:t>1</w:t>
            </w:r>
          </w:p>
        </w:tc>
        <w:tc>
          <w:tcPr>
            <w:tcW w:w="142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63" w:hanging="0"/>
              <w:jc w:val="center"/>
              <w:rPr>
                <w:rFonts w:ascii="Arial" w:hAnsi="Arial" w:eastAsia="Times New Roman" w:cs="Arial"/>
                <w:color w:val="00000A"/>
              </w:rPr>
            </w:pPr>
            <w:r>
              <w:rPr>
                <w:rFonts w:eastAsia="Times New Roman" w:cs="Arial" w:ascii="Arial" w:hAnsi="Arial"/>
                <w:color w:val="00000A"/>
              </w:rPr>
              <w:t>-</w:t>
            </w:r>
          </w:p>
        </w:tc>
        <w:tc>
          <w:tcPr>
            <w:tcW w:w="152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614" w:right="617" w:hanging="0"/>
              <w:jc w:val="center"/>
              <w:rPr>
                <w:rFonts w:ascii="Arial" w:hAnsi="Arial" w:eastAsia="Times New Roman" w:cs="Arial"/>
                <w:color w:val="00000A"/>
              </w:rPr>
            </w:pPr>
            <w:r>
              <w:rPr>
                <w:rFonts w:eastAsia="Times New Roman" w:cs="Arial" w:ascii="Arial" w:hAnsi="Arial"/>
                <w:color w:val="00000A"/>
              </w:rPr>
              <w:t>15</w:t>
            </w:r>
          </w:p>
        </w:tc>
        <w:tc>
          <w:tcPr>
            <w:tcW w:w="137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562" w:hanging="0"/>
              <w:jc w:val="center"/>
              <w:rPr>
                <w:rFonts w:ascii="Arial" w:hAnsi="Arial" w:eastAsia="Times New Roman" w:cs="Arial"/>
                <w:color w:val="00000A"/>
              </w:rPr>
            </w:pPr>
            <w:r>
              <w:rPr>
                <w:rFonts w:eastAsia="Times New Roman" w:cs="Arial" w:ascii="Arial" w:hAnsi="Arial"/>
                <w:color w:val="00000A"/>
              </w:rPr>
              <w:t>10</w:t>
            </w:r>
          </w:p>
        </w:tc>
        <w:tc>
          <w:tcPr>
            <w:tcW w:w="115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528" w:hanging="0"/>
              <w:jc w:val="center"/>
              <w:rPr>
                <w:rFonts w:ascii="Arial" w:hAnsi="Arial" w:eastAsia="Times New Roman" w:cs="Arial"/>
                <w:color w:val="00000A"/>
              </w:rPr>
            </w:pPr>
            <w:r>
              <w:rPr>
                <w:rFonts w:eastAsia="Times New Roman" w:cs="Arial" w:ascii="Arial" w:hAnsi="Arial"/>
                <w:color w:val="00000A"/>
              </w:rPr>
              <w:t>-</w:t>
            </w:r>
          </w:p>
        </w:tc>
      </w:tr>
    </w:tbl>
    <w:p>
      <w:pPr>
        <w:sectPr>
          <w:footerReference w:type="default" r:id="rId7"/>
          <w:footnotePr>
            <w:numFmt w:val="decimal"/>
          </w:footnotePr>
          <w:type w:val="nextPage"/>
          <w:pgSz w:w="11880" w:h="16820"/>
          <w:pgMar w:left="1320" w:right="1160" w:header="0" w:top="1600" w:footer="720" w:bottom="1320" w:gutter="0"/>
          <w:pgNumType w:start="1" w:fmt="decimal"/>
          <w:formProt w:val="false"/>
          <w:textDirection w:val="lrTb"/>
          <w:docGrid w:type="default" w:linePitch="240" w:charSpace="4294961151"/>
        </w:sectPr>
        <w:pStyle w:val="Normal2"/>
        <w:rPr>
          <w:rFonts w:ascii="Arial" w:hAnsi="Arial" w:cs="Arial"/>
          <w:color w:val="00000A"/>
        </w:rPr>
      </w:pPr>
      <w:r>
        <w:rPr>
          <w:rFonts w:cs="Arial" w:ascii="Arial" w:hAnsi="Arial"/>
          <w:color w:val="00000A"/>
        </w:rPr>
      </w:r>
    </w:p>
    <w:p>
      <w:pPr>
        <w:pStyle w:val="Normal2"/>
        <w:spacing w:before="181" w:after="38"/>
        <w:ind w:left="1747" w:hanging="0"/>
        <w:rPr>
          <w:rFonts w:ascii="Arial" w:hAnsi="Arial" w:eastAsia="Times New Roman" w:cs="Arial"/>
          <w:color w:val="00000A"/>
        </w:rPr>
      </w:pPr>
      <w:r>
        <w:rPr>
          <w:rFonts w:eastAsia="Times New Roman" w:cs="Arial" w:ascii="Arial" w:hAnsi="Arial"/>
          <w:b/>
          <w:color w:val="00000A"/>
        </w:rPr>
        <w:t xml:space="preserve">Quadro 6- Arrecadação emolumentos nos cinco </w:t>
      </w:r>
      <w:r>
        <w:rPr>
          <w:rFonts w:eastAsia="Times New Roman" w:cs="Arial" w:ascii="Arial" w:hAnsi="Arial"/>
          <w:b/>
          <w:i/>
          <w:color w:val="00000A"/>
        </w:rPr>
        <w:t xml:space="preserve">campi </w:t>
      </w:r>
      <w:r>
        <w:rPr>
          <w:rFonts w:eastAsia="Times New Roman" w:cs="Arial" w:ascii="Arial" w:hAnsi="Arial"/>
          <w:b/>
          <w:color w:val="00000A"/>
        </w:rPr>
        <w:t>– 2012 a 2016.</w:t>
      </w:r>
    </w:p>
    <w:tbl>
      <w:tblPr>
        <w:tblW w:w="8933" w:type="dxa"/>
        <w:jc w:val="left"/>
        <w:tblInd w:w="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703"/>
        <w:gridCol w:w="1180"/>
        <w:gridCol w:w="1214"/>
        <w:gridCol w:w="1272"/>
        <w:gridCol w:w="1181"/>
        <w:gridCol w:w="1181"/>
        <w:gridCol w:w="973"/>
        <w:gridCol w:w="1228"/>
      </w:tblGrid>
      <w:tr>
        <w:trPr>
          <w:trHeight w:val="1180"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27" w:hanging="0"/>
              <w:rPr>
                <w:rFonts w:ascii="Arial" w:hAnsi="Arial" w:eastAsia="Times New Roman" w:cs="Arial"/>
                <w:b/>
                <w:b/>
                <w:color w:val="00000A"/>
              </w:rPr>
            </w:pPr>
            <w:r>
              <w:rPr>
                <w:rFonts w:eastAsia="Times New Roman" w:cs="Arial" w:ascii="Arial" w:hAnsi="Arial"/>
                <w:b/>
                <w:color w:val="00000A"/>
              </w:rPr>
              <w:t>Ano</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37" w:right="145" w:hanging="0"/>
              <w:rPr>
                <w:rFonts w:ascii="Arial" w:hAnsi="Arial" w:eastAsia="Times New Roman" w:cs="Arial"/>
                <w:b/>
                <w:b/>
                <w:i/>
                <w:i/>
                <w:color w:val="00000A"/>
              </w:rPr>
            </w:pPr>
            <w:r>
              <w:rPr>
                <w:rFonts w:eastAsia="Times New Roman" w:cs="Arial" w:ascii="Arial" w:hAnsi="Arial"/>
                <w:b/>
                <w:i/>
                <w:color w:val="00000A"/>
              </w:rPr>
              <w:t>Campus</w:t>
            </w:r>
          </w:p>
          <w:p>
            <w:pPr>
              <w:pStyle w:val="Normal2"/>
              <w:widowControl w:val="false"/>
              <w:spacing w:before="53" w:after="200"/>
              <w:ind w:left="25" w:right="9" w:hanging="0"/>
              <w:rPr>
                <w:rFonts w:ascii="Arial" w:hAnsi="Arial" w:eastAsia="Times New Roman" w:cs="Arial"/>
                <w:b/>
                <w:b/>
                <w:color w:val="00000A"/>
              </w:rPr>
            </w:pPr>
            <w:r>
              <w:rPr>
                <w:rFonts w:eastAsia="Times New Roman" w:cs="Arial" w:ascii="Arial" w:hAnsi="Arial"/>
                <w:b/>
                <w:color w:val="00000A"/>
              </w:rPr>
              <w:t>I</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67" w:right="175" w:hanging="0"/>
              <w:rPr>
                <w:rFonts w:ascii="Arial" w:hAnsi="Arial" w:eastAsia="Times New Roman" w:cs="Arial"/>
                <w:b/>
                <w:b/>
                <w:i/>
                <w:i/>
                <w:color w:val="00000A"/>
              </w:rPr>
            </w:pPr>
            <w:r>
              <w:rPr>
                <w:rFonts w:eastAsia="Times New Roman" w:cs="Arial" w:ascii="Arial" w:hAnsi="Arial"/>
                <w:b/>
                <w:i/>
                <w:color w:val="00000A"/>
              </w:rPr>
              <w:t>Campus</w:t>
            </w:r>
          </w:p>
          <w:p>
            <w:pPr>
              <w:pStyle w:val="Normal2"/>
              <w:widowControl w:val="false"/>
              <w:spacing w:before="53" w:after="200"/>
              <w:ind w:left="167" w:right="172" w:hanging="0"/>
              <w:rPr>
                <w:rFonts w:ascii="Arial" w:hAnsi="Arial" w:eastAsia="Times New Roman" w:cs="Arial"/>
                <w:b/>
                <w:b/>
                <w:color w:val="00000A"/>
              </w:rPr>
            </w:pPr>
            <w:r>
              <w:rPr>
                <w:rFonts w:eastAsia="Times New Roman" w:cs="Arial" w:ascii="Arial" w:hAnsi="Arial"/>
                <w:b/>
                <w:color w:val="00000A"/>
              </w:rPr>
              <w:t>JK</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217" w:right="226" w:hanging="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do Mucuri</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142" w:right="144" w:hanging="6"/>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de  Janaúba</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72" w:hanging="0"/>
              <w:rPr>
                <w:rFonts w:ascii="Arial" w:hAnsi="Arial" w:eastAsia="Times New Roman" w:cs="Arial"/>
                <w:b/>
                <w:b/>
                <w:i/>
                <w:i/>
                <w:color w:val="00000A"/>
              </w:rPr>
            </w:pPr>
            <w:r>
              <w:rPr>
                <w:rFonts w:eastAsia="Times New Roman" w:cs="Arial" w:ascii="Arial" w:hAnsi="Arial"/>
                <w:b/>
                <w:i/>
                <w:color w:val="00000A"/>
              </w:rPr>
              <w:t>Campus</w:t>
            </w:r>
          </w:p>
          <w:p>
            <w:pPr>
              <w:pStyle w:val="Normal2"/>
              <w:widowControl w:val="false"/>
              <w:spacing w:before="8" w:after="200"/>
              <w:ind w:left="186" w:hanging="0"/>
              <w:rPr>
                <w:rFonts w:ascii="Arial" w:hAnsi="Arial" w:eastAsia="Times New Roman" w:cs="Arial"/>
                <w:b/>
                <w:b/>
                <w:color w:val="00000A"/>
              </w:rPr>
            </w:pPr>
            <w:r>
              <w:rPr>
                <w:rFonts w:eastAsia="Times New Roman" w:cs="Arial" w:ascii="Arial" w:hAnsi="Arial"/>
                <w:b/>
                <w:color w:val="00000A"/>
              </w:rPr>
              <w:t>de Unaí</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6" w:right="95" w:hanging="0"/>
              <w:rPr>
                <w:rFonts w:ascii="Arial" w:hAnsi="Arial" w:eastAsia="Times New Roman" w:cs="Arial"/>
                <w:b/>
                <w:b/>
                <w:color w:val="00000A"/>
              </w:rPr>
            </w:pPr>
            <w:r>
              <w:rPr>
                <w:rFonts w:eastAsia="Times New Roman" w:cs="Arial" w:ascii="Arial" w:hAnsi="Arial"/>
                <w:b/>
                <w:color w:val="00000A"/>
              </w:rPr>
              <w:t>EAD</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306" w:right="280" w:firstLine="58"/>
              <w:rPr>
                <w:rFonts w:ascii="Arial" w:hAnsi="Arial" w:eastAsia="Times New Roman" w:cs="Arial"/>
                <w:b/>
                <w:b/>
                <w:color w:val="00000A"/>
              </w:rPr>
            </w:pPr>
            <w:r>
              <w:rPr>
                <w:rFonts w:eastAsia="Times New Roman" w:cs="Arial" w:ascii="Arial" w:hAnsi="Arial"/>
                <w:b/>
                <w:color w:val="00000A"/>
              </w:rPr>
              <w:t>Total Geral</w:t>
            </w:r>
          </w:p>
        </w:tc>
      </w:tr>
      <w:tr>
        <w:trPr>
          <w:trHeight w:val="480"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2012</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57" w:hanging="0"/>
              <w:rPr>
                <w:rFonts w:ascii="Arial" w:hAnsi="Arial" w:eastAsia="Times New Roman" w:cs="Arial"/>
                <w:color w:val="00000A"/>
              </w:rPr>
            </w:pPr>
            <w:r>
              <w:rPr>
                <w:rFonts w:eastAsia="Times New Roman" w:cs="Arial" w:ascii="Arial" w:hAnsi="Arial"/>
                <w:color w:val="00000A"/>
              </w:rPr>
              <w:t>R$6.457,80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7" w:hanging="0"/>
              <w:rPr>
                <w:rFonts w:ascii="Arial" w:hAnsi="Arial" w:eastAsia="Times New Roman" w:cs="Arial"/>
                <w:color w:val="00000A"/>
              </w:rPr>
            </w:pPr>
            <w:r>
              <w:rPr>
                <w:rFonts w:eastAsia="Times New Roman" w:cs="Arial" w:ascii="Arial" w:hAnsi="Arial"/>
                <w:color w:val="00000A"/>
              </w:rPr>
              <w:t>R$17.380,88</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02" w:hanging="0"/>
              <w:rPr>
                <w:rFonts w:ascii="Arial" w:hAnsi="Arial" w:eastAsia="Times New Roman" w:cs="Arial"/>
                <w:color w:val="00000A"/>
              </w:rPr>
            </w:pPr>
            <w:r>
              <w:rPr>
                <w:rFonts w:eastAsia="Times New Roman" w:cs="Arial" w:ascii="Arial" w:hAnsi="Arial"/>
                <w:color w:val="00000A"/>
              </w:rPr>
              <w:t>R$8.195,00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4" w:hanging="0"/>
              <w:rPr>
                <w:rFonts w:ascii="Arial" w:hAnsi="Arial" w:eastAsia="Times New Roman" w:cs="Arial"/>
                <w:color w:val="00000A"/>
              </w:rPr>
            </w:pPr>
            <w:r>
              <w:rPr>
                <w:rFonts w:eastAsia="Times New Roman" w:cs="Arial" w:ascii="Arial" w:hAnsi="Arial"/>
                <w:color w:val="00000A"/>
              </w:rPr>
              <w:t>-</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4" w:hanging="0"/>
              <w:rPr>
                <w:rFonts w:ascii="Arial" w:hAnsi="Arial" w:eastAsia="Times New Roman" w:cs="Arial"/>
                <w:color w:val="00000A"/>
              </w:rPr>
            </w:pPr>
            <w:r>
              <w:rPr>
                <w:rFonts w:eastAsia="Times New Roman" w:cs="Arial" w:ascii="Arial" w:hAnsi="Arial"/>
                <w:color w:val="00000A"/>
              </w:rPr>
              <w:t>-</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4" w:hanging="0"/>
              <w:rPr>
                <w:rFonts w:ascii="Arial" w:hAnsi="Arial" w:eastAsia="Times New Roman" w:cs="Arial"/>
                <w:color w:val="00000A"/>
              </w:rPr>
            </w:pPr>
            <w:r>
              <w:rPr>
                <w:rFonts w:eastAsia="Times New Roman" w:cs="Arial" w:ascii="Arial" w:hAnsi="Arial"/>
                <w:color w:val="00000A"/>
              </w:rPr>
              <w:t>-</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0" w:right="120" w:hanging="0"/>
              <w:rPr>
                <w:rFonts w:ascii="Arial" w:hAnsi="Arial" w:eastAsia="Times New Roman" w:cs="Arial"/>
                <w:color w:val="00000A"/>
              </w:rPr>
            </w:pPr>
            <w:r>
              <w:rPr>
                <w:rFonts w:eastAsia="Times New Roman" w:cs="Arial" w:ascii="Arial" w:hAnsi="Arial"/>
                <w:color w:val="00000A"/>
              </w:rPr>
              <w:t>R$32.033,68</w:t>
            </w:r>
          </w:p>
        </w:tc>
      </w:tr>
      <w:tr>
        <w:trPr>
          <w:trHeight w:val="480"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2013</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57" w:hanging="0"/>
              <w:rPr>
                <w:rFonts w:ascii="Arial" w:hAnsi="Arial" w:eastAsia="Times New Roman" w:cs="Arial"/>
                <w:color w:val="00000A"/>
              </w:rPr>
            </w:pPr>
            <w:r>
              <w:rPr>
                <w:rFonts w:eastAsia="Times New Roman" w:cs="Arial" w:ascii="Arial" w:hAnsi="Arial"/>
                <w:color w:val="00000A"/>
              </w:rPr>
              <w:t>R$9.420,00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7" w:hanging="0"/>
              <w:rPr>
                <w:rFonts w:ascii="Arial" w:hAnsi="Arial" w:eastAsia="Times New Roman" w:cs="Arial"/>
                <w:color w:val="00000A"/>
              </w:rPr>
            </w:pPr>
            <w:r>
              <w:rPr>
                <w:rFonts w:eastAsia="Times New Roman" w:cs="Arial" w:ascii="Arial" w:hAnsi="Arial"/>
                <w:color w:val="00000A"/>
              </w:rPr>
              <w:t>R$42.859,00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57" w:hanging="0"/>
              <w:rPr>
                <w:rFonts w:ascii="Arial" w:hAnsi="Arial" w:eastAsia="Times New Roman" w:cs="Arial"/>
                <w:color w:val="00000A"/>
              </w:rPr>
            </w:pPr>
            <w:r>
              <w:rPr>
                <w:rFonts w:eastAsia="Times New Roman" w:cs="Arial" w:ascii="Arial" w:hAnsi="Arial"/>
                <w:color w:val="00000A"/>
              </w:rPr>
              <w:t>R$20.176,00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4" w:hanging="0"/>
              <w:rPr>
                <w:rFonts w:ascii="Arial" w:hAnsi="Arial" w:eastAsia="Times New Roman" w:cs="Arial"/>
                <w:color w:val="00000A"/>
              </w:rPr>
            </w:pPr>
            <w:r>
              <w:rPr>
                <w:rFonts w:eastAsia="Times New Roman" w:cs="Arial" w:ascii="Arial" w:hAnsi="Arial"/>
                <w:color w:val="00000A"/>
              </w:rPr>
              <w:t>-</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4" w:hanging="0"/>
              <w:rPr>
                <w:rFonts w:ascii="Arial" w:hAnsi="Arial" w:eastAsia="Times New Roman" w:cs="Arial"/>
                <w:color w:val="00000A"/>
              </w:rPr>
            </w:pPr>
            <w:r>
              <w:rPr>
                <w:rFonts w:eastAsia="Times New Roman" w:cs="Arial" w:ascii="Arial" w:hAnsi="Arial"/>
                <w:color w:val="00000A"/>
              </w:rPr>
              <w:t>-</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color w:val="00000A"/>
              </w:rPr>
            </w:pPr>
            <w:r>
              <w:rPr>
                <w:rFonts w:eastAsia="Times New Roman" w:cs="Arial" w:ascii="Arial" w:hAnsi="Arial"/>
                <w:color w:val="00000A"/>
              </w:rPr>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0" w:right="120" w:hanging="0"/>
              <w:rPr>
                <w:rFonts w:ascii="Arial" w:hAnsi="Arial" w:eastAsia="Times New Roman" w:cs="Arial"/>
                <w:color w:val="00000A"/>
              </w:rPr>
            </w:pPr>
            <w:r>
              <w:rPr>
                <w:rFonts w:eastAsia="Times New Roman" w:cs="Arial" w:ascii="Arial" w:hAnsi="Arial"/>
                <w:color w:val="00000A"/>
              </w:rPr>
              <w:t>R$72.455,00</w:t>
            </w:r>
          </w:p>
        </w:tc>
      </w:tr>
      <w:tr>
        <w:trPr>
          <w:trHeight w:val="480"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2014</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57" w:hanging="0"/>
              <w:rPr>
                <w:rFonts w:ascii="Arial" w:hAnsi="Arial" w:eastAsia="Times New Roman" w:cs="Arial"/>
                <w:color w:val="00000A"/>
              </w:rPr>
            </w:pPr>
            <w:r>
              <w:rPr>
                <w:rFonts w:eastAsia="Times New Roman" w:cs="Arial" w:ascii="Arial" w:hAnsi="Arial"/>
                <w:color w:val="00000A"/>
              </w:rPr>
              <w:t>R$7.216,00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7" w:hanging="0"/>
              <w:rPr>
                <w:rFonts w:ascii="Arial" w:hAnsi="Arial" w:eastAsia="Times New Roman" w:cs="Arial"/>
                <w:color w:val="00000A"/>
              </w:rPr>
            </w:pPr>
            <w:r>
              <w:rPr>
                <w:rFonts w:eastAsia="Times New Roman" w:cs="Arial" w:ascii="Arial" w:hAnsi="Arial"/>
                <w:color w:val="00000A"/>
              </w:rPr>
              <w:t>R$37.931,00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57" w:hanging="0"/>
              <w:rPr>
                <w:rFonts w:ascii="Arial" w:hAnsi="Arial" w:eastAsia="Times New Roman" w:cs="Arial"/>
                <w:color w:val="00000A"/>
              </w:rPr>
            </w:pPr>
            <w:r>
              <w:rPr>
                <w:rFonts w:eastAsia="Times New Roman" w:cs="Arial" w:ascii="Arial" w:hAnsi="Arial"/>
                <w:color w:val="00000A"/>
              </w:rPr>
              <w:t>R$20.352,00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37" w:right="137" w:hanging="0"/>
              <w:rPr>
                <w:rFonts w:ascii="Arial" w:hAnsi="Arial" w:eastAsia="Times New Roman" w:cs="Arial"/>
                <w:color w:val="00000A"/>
              </w:rPr>
            </w:pPr>
            <w:r>
              <w:rPr>
                <w:rFonts w:eastAsia="Times New Roman" w:cs="Arial" w:ascii="Arial" w:hAnsi="Arial"/>
                <w:color w:val="00000A"/>
              </w:rPr>
              <w:t>R$472,00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229" w:hanging="0"/>
              <w:jc w:val="right"/>
              <w:rPr>
                <w:rFonts w:ascii="Arial" w:hAnsi="Arial" w:eastAsia="Times New Roman" w:cs="Arial"/>
                <w:color w:val="00000A"/>
              </w:rPr>
            </w:pPr>
            <w:r>
              <w:rPr>
                <w:rFonts w:eastAsia="Times New Roman" w:cs="Arial" w:ascii="Arial" w:hAnsi="Arial"/>
                <w:color w:val="00000A"/>
              </w:rPr>
              <w:t>R$456,00</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06" w:right="106" w:hanging="0"/>
              <w:rPr>
                <w:rFonts w:ascii="Arial" w:hAnsi="Arial" w:eastAsia="Times New Roman" w:cs="Arial"/>
                <w:color w:val="00000A"/>
              </w:rPr>
            </w:pPr>
            <w:r>
              <w:rPr>
                <w:rFonts w:eastAsia="Times New Roman" w:cs="Arial" w:ascii="Arial" w:hAnsi="Arial"/>
                <w:color w:val="00000A"/>
              </w:rPr>
              <w:t>R$336,00</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0" w:right="120" w:hanging="0"/>
              <w:rPr>
                <w:rFonts w:ascii="Arial" w:hAnsi="Arial" w:eastAsia="Times New Roman" w:cs="Arial"/>
                <w:color w:val="00000A"/>
              </w:rPr>
            </w:pPr>
            <w:r>
              <w:rPr>
                <w:rFonts w:eastAsia="Times New Roman" w:cs="Arial" w:ascii="Arial" w:hAnsi="Arial"/>
                <w:color w:val="00000A"/>
              </w:rPr>
              <w:t>R$66.763,00</w:t>
            </w:r>
          </w:p>
        </w:tc>
      </w:tr>
      <w:tr>
        <w:trPr>
          <w:trHeight w:val="480"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2015</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42" w:hanging="0"/>
              <w:rPr>
                <w:rFonts w:ascii="Arial" w:hAnsi="Arial" w:eastAsia="Times New Roman" w:cs="Arial"/>
                <w:color w:val="00000A"/>
              </w:rPr>
            </w:pPr>
            <w:r>
              <w:rPr>
                <w:rFonts w:eastAsia="Times New Roman" w:cs="Arial" w:ascii="Arial" w:hAnsi="Arial"/>
                <w:color w:val="00000A"/>
              </w:rPr>
              <w:t>R$ 5.162,00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7" w:hanging="0"/>
              <w:rPr>
                <w:rFonts w:ascii="Arial" w:hAnsi="Arial" w:eastAsia="Times New Roman" w:cs="Arial"/>
                <w:color w:val="00000A"/>
              </w:rPr>
            </w:pPr>
            <w:r>
              <w:rPr>
                <w:rFonts w:eastAsia="Times New Roman" w:cs="Arial" w:ascii="Arial" w:hAnsi="Arial"/>
                <w:color w:val="00000A"/>
              </w:rPr>
              <w:t>R$23.687,00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57" w:hanging="0"/>
              <w:rPr>
                <w:rFonts w:ascii="Arial" w:hAnsi="Arial" w:eastAsia="Times New Roman" w:cs="Arial"/>
                <w:color w:val="00000A"/>
              </w:rPr>
            </w:pPr>
            <w:r>
              <w:rPr>
                <w:rFonts w:eastAsia="Times New Roman" w:cs="Arial" w:ascii="Arial" w:hAnsi="Arial"/>
                <w:color w:val="00000A"/>
              </w:rPr>
              <w:t>R$10.631,00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37" w:right="149" w:hanging="0"/>
              <w:rPr>
                <w:rFonts w:ascii="Arial" w:hAnsi="Arial" w:eastAsia="Times New Roman" w:cs="Arial"/>
                <w:color w:val="00000A"/>
              </w:rPr>
            </w:pPr>
            <w:r>
              <w:rPr>
                <w:rFonts w:eastAsia="Times New Roman" w:cs="Arial" w:ascii="Arial" w:hAnsi="Arial"/>
                <w:color w:val="00000A"/>
              </w:rPr>
              <w:t>R$1.506,00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169" w:hanging="0"/>
              <w:jc w:val="right"/>
              <w:rPr>
                <w:rFonts w:ascii="Arial" w:hAnsi="Arial" w:eastAsia="Times New Roman" w:cs="Arial"/>
                <w:color w:val="00000A"/>
              </w:rPr>
            </w:pPr>
            <w:r>
              <w:rPr>
                <w:rFonts w:eastAsia="Times New Roman" w:cs="Arial" w:ascii="Arial" w:hAnsi="Arial"/>
                <w:color w:val="00000A"/>
              </w:rPr>
              <w:t>R$1.364,00</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06" w:right="106" w:hanging="0"/>
              <w:rPr>
                <w:rFonts w:ascii="Arial" w:hAnsi="Arial" w:eastAsia="Times New Roman" w:cs="Arial"/>
                <w:color w:val="00000A"/>
              </w:rPr>
            </w:pPr>
            <w:r>
              <w:rPr>
                <w:rFonts w:eastAsia="Times New Roman" w:cs="Arial" w:ascii="Arial" w:hAnsi="Arial"/>
                <w:color w:val="00000A"/>
              </w:rPr>
              <w:t>R$100,00</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0" w:right="120" w:hanging="0"/>
              <w:rPr>
                <w:rFonts w:ascii="Arial" w:hAnsi="Arial" w:eastAsia="Times New Roman" w:cs="Arial"/>
                <w:color w:val="00000A"/>
              </w:rPr>
            </w:pPr>
            <w:r>
              <w:rPr>
                <w:rFonts w:eastAsia="Times New Roman" w:cs="Arial" w:ascii="Arial" w:hAnsi="Arial"/>
                <w:color w:val="00000A"/>
              </w:rPr>
              <w:t>R$42.450,00</w:t>
            </w:r>
          </w:p>
        </w:tc>
      </w:tr>
      <w:tr>
        <w:trPr>
          <w:trHeight w:val="480" w:hRule="atLeast"/>
        </w:trPr>
        <w:tc>
          <w:tcPr>
            <w:tcW w:w="70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2016</w:t>
            </w:r>
          </w:p>
        </w:tc>
        <w:tc>
          <w:tcPr>
            <w:tcW w:w="118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42" w:hanging="0"/>
              <w:rPr>
                <w:rFonts w:ascii="Arial" w:hAnsi="Arial" w:eastAsia="Times New Roman" w:cs="Arial"/>
                <w:color w:val="00000A"/>
              </w:rPr>
            </w:pPr>
            <w:r>
              <w:rPr>
                <w:rFonts w:eastAsia="Times New Roman" w:cs="Arial" w:ascii="Arial" w:hAnsi="Arial"/>
                <w:color w:val="00000A"/>
              </w:rPr>
              <w:t>R$ 3.960,00</w:t>
            </w:r>
          </w:p>
        </w:tc>
        <w:tc>
          <w:tcPr>
            <w:tcW w:w="12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7" w:hanging="0"/>
              <w:rPr>
                <w:rFonts w:ascii="Arial" w:hAnsi="Arial" w:eastAsia="Times New Roman" w:cs="Arial"/>
                <w:color w:val="00000A"/>
              </w:rPr>
            </w:pPr>
            <w:r>
              <w:rPr>
                <w:rFonts w:eastAsia="Times New Roman" w:cs="Arial" w:ascii="Arial" w:hAnsi="Arial"/>
                <w:color w:val="00000A"/>
              </w:rPr>
              <w:t>R$33.754,00</w:t>
            </w:r>
          </w:p>
        </w:tc>
        <w:tc>
          <w:tcPr>
            <w:tcW w:w="127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57" w:hanging="0"/>
              <w:rPr>
                <w:rFonts w:ascii="Arial" w:hAnsi="Arial" w:eastAsia="Times New Roman" w:cs="Arial"/>
                <w:color w:val="00000A"/>
              </w:rPr>
            </w:pPr>
            <w:r>
              <w:rPr>
                <w:rFonts w:eastAsia="Times New Roman" w:cs="Arial" w:ascii="Arial" w:hAnsi="Arial"/>
                <w:color w:val="00000A"/>
              </w:rPr>
              <w:t>R$15.834,00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37" w:right="149" w:hanging="0"/>
              <w:rPr>
                <w:rFonts w:ascii="Arial" w:hAnsi="Arial" w:eastAsia="Times New Roman" w:cs="Arial"/>
                <w:color w:val="00000A"/>
              </w:rPr>
            </w:pPr>
            <w:r>
              <w:rPr>
                <w:rFonts w:eastAsia="Times New Roman" w:cs="Arial" w:ascii="Arial" w:hAnsi="Arial"/>
                <w:color w:val="00000A"/>
              </w:rPr>
              <w:t>R$2.368,00</w:t>
            </w:r>
          </w:p>
        </w:tc>
        <w:tc>
          <w:tcPr>
            <w:tcW w:w="118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25" w:right="169" w:hanging="0"/>
              <w:jc w:val="right"/>
              <w:rPr>
                <w:rFonts w:ascii="Arial" w:hAnsi="Arial" w:eastAsia="Times New Roman" w:cs="Arial"/>
                <w:color w:val="00000A"/>
              </w:rPr>
            </w:pPr>
            <w:r>
              <w:rPr>
                <w:rFonts w:eastAsia="Times New Roman" w:cs="Arial" w:ascii="Arial" w:hAnsi="Arial"/>
                <w:color w:val="00000A"/>
              </w:rPr>
              <w:t>R$1.740,00</w:t>
            </w:r>
          </w:p>
        </w:tc>
        <w:tc>
          <w:tcPr>
            <w:tcW w:w="97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06" w:right="106" w:hanging="0"/>
              <w:rPr>
                <w:rFonts w:ascii="Arial" w:hAnsi="Arial" w:eastAsia="Times New Roman" w:cs="Arial"/>
                <w:color w:val="00000A"/>
              </w:rPr>
            </w:pPr>
            <w:r>
              <w:rPr>
                <w:rFonts w:eastAsia="Times New Roman" w:cs="Arial" w:ascii="Arial" w:hAnsi="Arial"/>
                <w:color w:val="00000A"/>
              </w:rPr>
              <w:t>R$2,00</w:t>
            </w:r>
          </w:p>
        </w:tc>
        <w:tc>
          <w:tcPr>
            <w:tcW w:w="122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before="116" w:after="200"/>
              <w:ind w:left="120" w:right="120" w:hanging="0"/>
              <w:rPr>
                <w:rFonts w:ascii="Arial" w:hAnsi="Arial" w:eastAsia="Times New Roman" w:cs="Arial"/>
                <w:color w:val="00000A"/>
              </w:rPr>
            </w:pPr>
            <w:r>
              <w:rPr>
                <w:rFonts w:eastAsia="Times New Roman" w:cs="Arial" w:ascii="Arial" w:hAnsi="Arial"/>
                <w:color w:val="00000A"/>
              </w:rPr>
              <w:t>R$57.658,00</w:t>
            </w:r>
          </w:p>
        </w:tc>
      </w:tr>
    </w:tbl>
    <w:p>
      <w:pPr>
        <w:pStyle w:val="Normal2"/>
        <w:spacing w:before="71" w:after="37"/>
        <w:ind w:right="425" w:hanging="0"/>
        <w:jc w:val="center"/>
        <w:rPr>
          <w:rFonts w:ascii="Arial" w:hAnsi="Arial" w:eastAsia="Times New Roman" w:cs="Arial"/>
          <w:b/>
          <w:b/>
          <w:color w:val="00000A"/>
        </w:rPr>
      </w:pPr>
      <w:r>
        <w:rPr>
          <w:rFonts w:eastAsia="Times New Roman" w:cs="Arial" w:ascii="Arial" w:hAnsi="Arial"/>
          <w:b/>
          <w:color w:val="00000A"/>
        </w:rPr>
      </w:r>
    </w:p>
    <w:p>
      <w:pPr>
        <w:pStyle w:val="Normal2"/>
        <w:spacing w:before="71" w:after="37"/>
        <w:ind w:right="425" w:hanging="0"/>
        <w:jc w:val="center"/>
        <w:rPr>
          <w:rFonts w:ascii="Arial" w:hAnsi="Arial" w:eastAsia="Times New Roman" w:cs="Arial"/>
          <w:color w:val="00000A"/>
        </w:rPr>
      </w:pPr>
      <w:r>
        <w:rPr>
          <w:rFonts w:eastAsia="Times New Roman" w:cs="Arial" w:ascii="Arial" w:hAnsi="Arial"/>
          <w:b/>
          <w:color w:val="00000A"/>
        </w:rPr>
        <w:t>Quadro 7- Recursos Orçamentários para as Bibliotecas</w:t>
      </w:r>
    </w:p>
    <w:tbl>
      <w:tblPr>
        <w:tblW w:w="8978" w:type="dxa"/>
        <w:jc w:val="left"/>
        <w:tblInd w:w="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4113"/>
        <w:gridCol w:w="4864"/>
      </w:tblGrid>
      <w:tr>
        <w:trPr>
          <w:trHeight w:val="480" w:hRule="atLeast"/>
        </w:trPr>
        <w:tc>
          <w:tcPr>
            <w:tcW w:w="411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813" w:right="1819" w:hanging="0"/>
              <w:rPr>
                <w:rFonts w:ascii="Arial" w:hAnsi="Arial" w:eastAsia="Times New Roman" w:cs="Arial"/>
                <w:b/>
                <w:b/>
                <w:color w:val="00000A"/>
              </w:rPr>
            </w:pPr>
            <w:r>
              <w:rPr>
                <w:rFonts w:eastAsia="Times New Roman" w:cs="Arial" w:ascii="Arial" w:hAnsi="Arial"/>
                <w:b/>
                <w:color w:val="00000A"/>
              </w:rPr>
              <w:t>Ano</w:t>
            </w:r>
          </w:p>
        </w:tc>
        <w:tc>
          <w:tcPr>
            <w:tcW w:w="486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110" w:right="2110" w:hanging="0"/>
              <w:rPr>
                <w:rFonts w:ascii="Arial" w:hAnsi="Arial" w:eastAsia="Times New Roman" w:cs="Arial"/>
                <w:b/>
                <w:b/>
                <w:color w:val="00000A"/>
              </w:rPr>
            </w:pPr>
            <w:r>
              <w:rPr>
                <w:rFonts w:eastAsia="Times New Roman" w:cs="Arial" w:ascii="Arial" w:hAnsi="Arial"/>
                <w:b/>
                <w:color w:val="00000A"/>
              </w:rPr>
              <w:t>Valor</w:t>
            </w:r>
          </w:p>
        </w:tc>
      </w:tr>
      <w:tr>
        <w:trPr>
          <w:trHeight w:val="480" w:hRule="atLeast"/>
        </w:trPr>
        <w:tc>
          <w:tcPr>
            <w:tcW w:w="411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2012</w:t>
            </w:r>
          </w:p>
        </w:tc>
        <w:tc>
          <w:tcPr>
            <w:tcW w:w="486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00" w:hanging="0"/>
              <w:jc w:val="right"/>
              <w:rPr>
                <w:rFonts w:ascii="Arial" w:hAnsi="Arial" w:eastAsia="Times New Roman" w:cs="Arial"/>
                <w:color w:val="00000A"/>
              </w:rPr>
            </w:pPr>
            <w:r>
              <w:rPr>
                <w:rFonts w:eastAsia="Times New Roman" w:cs="Arial" w:ascii="Arial" w:hAnsi="Arial"/>
                <w:color w:val="00000A"/>
              </w:rPr>
              <w:t>R$1.147.584,13</w:t>
            </w:r>
          </w:p>
        </w:tc>
      </w:tr>
      <w:tr>
        <w:trPr>
          <w:trHeight w:val="480" w:hRule="atLeast"/>
        </w:trPr>
        <w:tc>
          <w:tcPr>
            <w:tcW w:w="411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2013</w:t>
            </w:r>
          </w:p>
        </w:tc>
        <w:tc>
          <w:tcPr>
            <w:tcW w:w="486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00" w:hanging="0"/>
              <w:jc w:val="right"/>
              <w:rPr>
                <w:rFonts w:ascii="Arial" w:hAnsi="Arial" w:eastAsia="Times New Roman" w:cs="Arial"/>
                <w:color w:val="00000A"/>
              </w:rPr>
            </w:pPr>
            <w:r>
              <w:rPr>
                <w:rFonts w:eastAsia="Times New Roman" w:cs="Arial" w:ascii="Arial" w:hAnsi="Arial"/>
                <w:color w:val="00000A"/>
              </w:rPr>
              <w:t>R$3.285.143,71</w:t>
            </w:r>
          </w:p>
        </w:tc>
      </w:tr>
      <w:tr>
        <w:trPr>
          <w:trHeight w:val="480" w:hRule="atLeast"/>
        </w:trPr>
        <w:tc>
          <w:tcPr>
            <w:tcW w:w="411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highlight w:val="lightGray"/>
              </w:rPr>
            </w:pPr>
            <w:r>
              <w:rPr>
                <w:rFonts w:eastAsia="Times New Roman" w:cs="Arial" w:ascii="Arial" w:hAnsi="Arial"/>
                <w:b/>
                <w:color w:val="00000A"/>
                <w:highlight w:val="lightGray"/>
              </w:rPr>
              <w:t>2014</w:t>
            </w:r>
          </w:p>
        </w:tc>
        <w:tc>
          <w:tcPr>
            <w:tcW w:w="486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05" w:hanging="0"/>
              <w:jc w:val="right"/>
              <w:rPr>
                <w:rFonts w:ascii="Arial" w:hAnsi="Arial" w:eastAsia="Times New Roman" w:cs="Arial"/>
                <w:color w:val="00000A"/>
                <w:highlight w:val="lightGray"/>
              </w:rPr>
            </w:pPr>
            <w:r>
              <w:rPr>
                <w:rFonts w:eastAsia="Times New Roman" w:cs="Arial" w:ascii="Arial" w:hAnsi="Arial"/>
                <w:color w:val="00000A"/>
                <w:highlight w:val="lightGray"/>
              </w:rPr>
              <w:t>-</w:t>
            </w:r>
          </w:p>
        </w:tc>
      </w:tr>
      <w:tr>
        <w:trPr>
          <w:trHeight w:val="480" w:hRule="atLeast"/>
        </w:trPr>
        <w:tc>
          <w:tcPr>
            <w:tcW w:w="411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highlight w:val="lightGray"/>
              </w:rPr>
            </w:pPr>
            <w:r>
              <w:rPr>
                <w:rFonts w:eastAsia="Times New Roman" w:cs="Arial" w:ascii="Arial" w:hAnsi="Arial"/>
                <w:b/>
                <w:color w:val="00000A"/>
                <w:highlight w:val="lightGray"/>
              </w:rPr>
              <w:t>2015</w:t>
            </w:r>
          </w:p>
        </w:tc>
        <w:tc>
          <w:tcPr>
            <w:tcW w:w="486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05" w:hanging="0"/>
              <w:jc w:val="right"/>
              <w:rPr>
                <w:rFonts w:ascii="Arial" w:hAnsi="Arial" w:eastAsia="Times New Roman" w:cs="Arial"/>
                <w:color w:val="00000A"/>
                <w:highlight w:val="lightGray"/>
              </w:rPr>
            </w:pPr>
            <w:r>
              <w:rPr>
                <w:rFonts w:eastAsia="Times New Roman" w:cs="Arial" w:ascii="Arial" w:hAnsi="Arial"/>
                <w:color w:val="00000A"/>
                <w:highlight w:val="lightGray"/>
              </w:rPr>
              <w:t>-</w:t>
            </w:r>
          </w:p>
        </w:tc>
      </w:tr>
      <w:tr>
        <w:trPr>
          <w:trHeight w:val="480" w:hRule="atLeast"/>
        </w:trPr>
        <w:tc>
          <w:tcPr>
            <w:tcW w:w="4113"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12" w:hanging="0"/>
              <w:rPr>
                <w:rFonts w:ascii="Arial" w:hAnsi="Arial" w:eastAsia="Times New Roman" w:cs="Arial"/>
                <w:b/>
                <w:b/>
                <w:color w:val="00000A"/>
              </w:rPr>
            </w:pPr>
            <w:r>
              <w:rPr>
                <w:rFonts w:eastAsia="Times New Roman" w:cs="Arial" w:ascii="Arial" w:hAnsi="Arial"/>
                <w:b/>
                <w:color w:val="00000A"/>
              </w:rPr>
              <w:t>2016</w:t>
            </w:r>
          </w:p>
        </w:tc>
        <w:tc>
          <w:tcPr>
            <w:tcW w:w="486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00" w:hanging="0"/>
              <w:jc w:val="right"/>
              <w:rPr>
                <w:rFonts w:ascii="Arial" w:hAnsi="Arial" w:eastAsia="Times New Roman" w:cs="Arial"/>
                <w:color w:val="00000A"/>
              </w:rPr>
            </w:pPr>
            <w:r>
              <w:rPr>
                <w:rFonts w:eastAsia="Times New Roman" w:cs="Arial" w:ascii="Arial" w:hAnsi="Arial"/>
                <w:color w:val="00000A"/>
              </w:rPr>
              <w:t>R$908.139,38</w:t>
            </w:r>
          </w:p>
        </w:tc>
      </w:tr>
    </w:tbl>
    <w:p>
      <w:pPr>
        <w:pStyle w:val="Normal2"/>
        <w:spacing w:lineRule="auto" w:line="288" w:before="0" w:after="140"/>
        <w:rPr>
          <w:rFonts w:ascii="Arial" w:hAnsi="Arial" w:eastAsia="Times New Roman" w:cs="Arial"/>
          <w:color w:val="00000A"/>
        </w:rPr>
      </w:pPr>
      <w:r>
        <w:rPr>
          <w:rFonts w:eastAsia="Times New Roman" w:cs="Arial" w:ascii="Arial" w:hAnsi="Arial"/>
          <w:color w:val="00000A"/>
        </w:rPr>
      </w:r>
    </w:p>
    <w:p>
      <w:pPr>
        <w:pStyle w:val="Normal2"/>
        <w:spacing w:lineRule="auto" w:line="288" w:before="0" w:after="140"/>
        <w:rPr>
          <w:rFonts w:ascii="Arial" w:hAnsi="Arial" w:eastAsia="Times New Roman" w:cs="Arial"/>
          <w:color w:val="00000A"/>
        </w:rPr>
      </w:pPr>
      <w:r>
        <w:rPr>
          <w:rFonts w:eastAsia="Times New Roman" w:cs="Arial" w:ascii="Arial" w:hAnsi="Arial"/>
          <w:color w:val="00000A"/>
          <w:highlight w:val="cyan"/>
        </w:rPr>
        <w:t>(SOLICITANTE: TAs JANAÚBA)</w:t>
      </w:r>
    </w:p>
    <w:p>
      <w:pPr>
        <w:pStyle w:val="Normal2"/>
        <w:spacing w:lineRule="auto" w:line="288" w:before="0" w:after="140"/>
        <w:jc w:val="both"/>
        <w:rPr>
          <w:rFonts w:ascii="Arial" w:hAnsi="Arial" w:eastAsia="Times New Roman" w:cs="Arial"/>
          <w:color w:val="0070C0"/>
        </w:rPr>
      </w:pPr>
      <w:r>
        <w:rPr>
          <w:rFonts w:cs="Arial" w:ascii="Arial" w:hAnsi="Arial"/>
          <w:color w:val="0070C0"/>
        </w:rPr>
        <w:t>O que houve com os anos 2014 e 2015 não houve recurso ou não foi disponibilizado a informação?</w:t>
      </w:r>
    </w:p>
    <w:p>
      <w:pPr>
        <w:pStyle w:val="Normal2"/>
        <w:spacing w:lineRule="auto" w:line="360"/>
        <w:jc w:val="center"/>
        <w:rPr>
          <w:rFonts w:ascii="Arial" w:hAnsi="Arial" w:eastAsia="Times New Roman" w:cs="Arial"/>
          <w:b/>
          <w:b/>
          <w:color w:val="0070C0"/>
        </w:rPr>
      </w:pPr>
      <w:r>
        <w:rPr>
          <w:rFonts w:eastAsia="Times New Roman" w:cs="Arial" w:ascii="Arial" w:hAnsi="Arial"/>
          <w:b/>
          <w:color w:val="0070C0"/>
        </w:rPr>
      </w:r>
    </w:p>
    <w:p>
      <w:pPr>
        <w:pStyle w:val="Normal2"/>
        <w:spacing w:lineRule="auto" w:line="360"/>
        <w:jc w:val="center"/>
        <w:rPr>
          <w:rFonts w:ascii="Arial" w:hAnsi="Arial" w:eastAsia="Times New Roman" w:cs="Arial"/>
          <w:b/>
          <w:b/>
          <w:color w:val="0070C0"/>
        </w:rPr>
      </w:pPr>
      <w:r>
        <w:rPr>
          <w:rFonts w:eastAsia="Times New Roman" w:cs="Arial" w:ascii="Arial" w:hAnsi="Arial"/>
          <w:b/>
          <w:color w:val="0070C0"/>
        </w:rPr>
      </w:r>
    </w:p>
    <w:p>
      <w:pPr>
        <w:pStyle w:val="Normal2"/>
        <w:spacing w:lineRule="auto" w:line="360"/>
        <w:jc w:val="center"/>
        <w:rPr>
          <w:rFonts w:ascii="Arial" w:hAnsi="Arial" w:eastAsia="Times New Roman" w:cs="Arial"/>
          <w:b/>
          <w:b/>
          <w:color w:val="0070C0"/>
        </w:rPr>
      </w:pPr>
      <w:r>
        <w:rPr>
          <w:rFonts w:eastAsia="Times New Roman" w:cs="Arial" w:ascii="Arial" w:hAnsi="Arial"/>
          <w:b/>
          <w:color w:val="0070C0"/>
        </w:rPr>
      </w:r>
    </w:p>
    <w:p>
      <w:pPr>
        <w:pStyle w:val="Normal2"/>
        <w:spacing w:lineRule="auto" w:line="360"/>
        <w:jc w:val="center"/>
        <w:rPr>
          <w:rFonts w:ascii="Arial" w:hAnsi="Arial" w:eastAsia="Times New Roman" w:cs="Arial"/>
          <w:b/>
          <w:b/>
          <w:color w:val="00000A"/>
        </w:rPr>
      </w:pPr>
      <w:r>
        <w:rPr>
          <w:rFonts w:eastAsia="Times New Roman" w:cs="Arial" w:ascii="Arial" w:hAnsi="Arial"/>
          <w:b/>
          <w:color w:val="00000A"/>
        </w:rPr>
        <w:t>ACERVO</w:t>
      </w:r>
    </w:p>
    <w:p>
      <w:pPr>
        <w:pStyle w:val="Normal2"/>
        <w:spacing w:lineRule="auto" w:line="360"/>
        <w:jc w:val="center"/>
        <w:rPr>
          <w:rFonts w:ascii="Arial" w:hAnsi="Arial" w:eastAsia="Times New Roman" w:cs="Arial"/>
          <w:b/>
          <w:b/>
          <w:color w:val="00000A"/>
        </w:rPr>
      </w:pPr>
      <w:r>
        <w:rPr>
          <w:rFonts w:eastAsia="Times New Roman" w:cs="Arial" w:ascii="Arial" w:hAnsi="Arial"/>
          <w:b/>
          <w:color w:val="00000A"/>
        </w:rPr>
      </w:r>
    </w:p>
    <w:p>
      <w:pPr>
        <w:pStyle w:val="Normal2"/>
        <w:spacing w:lineRule="auto" w:line="360"/>
        <w:jc w:val="both"/>
        <w:rPr>
          <w:rFonts w:ascii="Arial" w:hAnsi="Arial" w:eastAsia="Times New Roman" w:cs="Arial"/>
          <w:color w:val="00000A"/>
        </w:rPr>
      </w:pPr>
      <w:r>
        <w:rPr>
          <w:rFonts w:eastAsia="Times New Roman" w:cs="Arial" w:ascii="Arial" w:hAnsi="Arial"/>
          <w:color w:val="00000A"/>
        </w:rPr>
        <w:tab/>
        <w:t>Acompanhando o processo de expansão da Universidade, o acervo bibliográfico do SISBI cresceu consideravelmente, como se pode observar no quadro abaixo:</w:t>
      </w:r>
    </w:p>
    <w:p>
      <w:pPr>
        <w:pStyle w:val="Ttulo1"/>
        <w:spacing w:lineRule="auto" w:line="374" w:before="71" w:after="37"/>
        <w:ind w:left="394" w:hanging="0"/>
        <w:jc w:val="both"/>
        <w:rPr>
          <w:rFonts w:ascii="Arial" w:hAnsi="Arial" w:eastAsia="Times New Roman" w:cs="Arial"/>
          <w:color w:val="00000A"/>
          <w:sz w:val="24"/>
          <w:szCs w:val="24"/>
        </w:rPr>
      </w:pPr>
      <w:r>
        <w:rPr>
          <w:rFonts w:eastAsia="Times New Roman" w:cs="Arial" w:ascii="Arial" w:hAnsi="Arial"/>
          <w:color w:val="00000A"/>
          <w:sz w:val="24"/>
          <w:szCs w:val="24"/>
        </w:rPr>
        <w:t>Quadro 8- Número de Títulos e Exemplares e assinatura de periódicos – 2012 a 2016</w:t>
      </w:r>
    </w:p>
    <w:p>
      <w:pPr>
        <w:pStyle w:val="Normal2"/>
        <w:jc w:val="both"/>
        <w:rPr>
          <w:rFonts w:ascii="Arial" w:hAnsi="Arial" w:eastAsia="Times New Roman" w:cs="Arial"/>
          <w:color w:val="00000A"/>
        </w:rPr>
      </w:pPr>
      <w:r>
        <w:rPr>
          <w:rFonts w:eastAsia="Times New Roman" w:cs="Arial" w:ascii="Arial" w:hAnsi="Arial"/>
          <w:color w:val="00000A"/>
        </w:rPr>
      </w:r>
    </w:p>
    <w:tbl>
      <w:tblPr>
        <w:tblW w:w="8995" w:type="dxa"/>
        <w:jc w:val="left"/>
        <w:tblInd w:w="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957"/>
        <w:gridCol w:w="1602"/>
        <w:gridCol w:w="1751"/>
        <w:gridCol w:w="1796"/>
        <w:gridCol w:w="1512"/>
        <w:gridCol w:w="1376"/>
      </w:tblGrid>
      <w:tr>
        <w:trPr>
          <w:trHeight w:val="520"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11" w:right="205" w:hanging="0"/>
              <w:rPr>
                <w:rFonts w:ascii="Arial" w:hAnsi="Arial" w:eastAsia="Times New Roman" w:cs="Arial"/>
                <w:b/>
                <w:b/>
                <w:color w:val="00000A"/>
              </w:rPr>
            </w:pPr>
            <w:r>
              <w:rPr>
                <w:rFonts w:eastAsia="Times New Roman" w:cs="Arial" w:ascii="Arial" w:hAnsi="Arial"/>
                <w:b/>
                <w:color w:val="00000A"/>
              </w:rPr>
              <w:t>Ano</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439" w:hanging="0"/>
              <w:jc w:val="right"/>
              <w:rPr>
                <w:rFonts w:ascii="Arial" w:hAnsi="Arial" w:eastAsia="Times New Roman" w:cs="Arial"/>
                <w:b/>
                <w:b/>
                <w:color w:val="00000A"/>
              </w:rPr>
            </w:pPr>
            <w:r>
              <w:rPr>
                <w:rFonts w:eastAsia="Times New Roman" w:cs="Arial" w:ascii="Arial" w:hAnsi="Arial"/>
                <w:b/>
                <w:color w:val="00000A"/>
              </w:rPr>
              <w:t>Títulos</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40" w:right="241" w:hanging="0"/>
              <w:rPr>
                <w:rFonts w:ascii="Arial" w:hAnsi="Arial" w:eastAsia="Times New Roman" w:cs="Arial"/>
                <w:b/>
                <w:b/>
                <w:color w:val="00000A"/>
              </w:rPr>
            </w:pPr>
            <w:r>
              <w:rPr>
                <w:rFonts w:eastAsia="Times New Roman" w:cs="Arial" w:ascii="Arial" w:hAnsi="Arial"/>
                <w:b/>
                <w:color w:val="00000A"/>
              </w:rPr>
              <w:t>Exemplares</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245" w:firstLine="43"/>
              <w:rPr>
                <w:rFonts w:ascii="Arial" w:hAnsi="Arial" w:eastAsia="Arial" w:cs="Arial"/>
                <w:color w:val="00000A"/>
              </w:rPr>
            </w:pPr>
            <w:r>
              <w:rPr>
                <w:rFonts w:eastAsia="Times New Roman" w:cs="Arial" w:ascii="Arial" w:hAnsi="Arial"/>
                <w:b/>
                <w:color w:val="00000A"/>
              </w:rPr>
              <w:t>Repositório Institucional</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69" w:right="268" w:hanging="0"/>
              <w:rPr>
                <w:rFonts w:ascii="Arial" w:hAnsi="Arial" w:eastAsia="Times New Roman" w:cs="Arial"/>
                <w:b/>
                <w:b/>
                <w:color w:val="00000A"/>
              </w:rPr>
            </w:pPr>
            <w:r>
              <w:rPr>
                <w:rFonts w:eastAsia="Times New Roman" w:cs="Arial" w:ascii="Arial" w:hAnsi="Arial"/>
                <w:b/>
                <w:color w:val="00000A"/>
              </w:rPr>
              <w:t>COMUT</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color w:val="00000A"/>
              </w:rPr>
            </w:pPr>
            <w:r>
              <w:rPr>
                <w:rFonts w:eastAsia="Times New Roman" w:cs="Arial" w:ascii="Arial" w:hAnsi="Arial"/>
                <w:color w:val="00000A"/>
              </w:rPr>
            </w:r>
          </w:p>
        </w:tc>
      </w:tr>
      <w:tr>
        <w:trPr>
          <w:trHeight w:val="520"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11" w:right="211" w:hanging="0"/>
              <w:rPr>
                <w:rFonts w:ascii="Arial" w:hAnsi="Arial" w:eastAsia="Times New Roman" w:cs="Arial"/>
                <w:b/>
                <w:b/>
                <w:color w:val="00000A"/>
              </w:rPr>
            </w:pPr>
            <w:r>
              <w:rPr>
                <w:rFonts w:eastAsia="Times New Roman" w:cs="Arial" w:ascii="Arial" w:hAnsi="Arial"/>
                <w:b/>
                <w:color w:val="00000A"/>
              </w:rPr>
              <w:t>2012</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454" w:hanging="0"/>
              <w:jc w:val="right"/>
              <w:rPr>
                <w:rFonts w:ascii="Arial" w:hAnsi="Arial" w:eastAsia="Times New Roman" w:cs="Arial"/>
                <w:color w:val="00000A"/>
              </w:rPr>
            </w:pPr>
            <w:r>
              <w:rPr>
                <w:rFonts w:eastAsia="Times New Roman" w:cs="Arial" w:ascii="Arial" w:hAnsi="Arial"/>
                <w:color w:val="00000A"/>
              </w:rPr>
              <w:t>20.214</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40" w:right="227" w:hanging="0"/>
              <w:rPr>
                <w:rFonts w:ascii="Arial" w:hAnsi="Arial" w:eastAsia="Times New Roman" w:cs="Arial"/>
                <w:color w:val="00000A"/>
              </w:rPr>
            </w:pPr>
            <w:r>
              <w:rPr>
                <w:rFonts w:eastAsia="Times New Roman" w:cs="Arial" w:ascii="Arial" w:hAnsi="Arial"/>
                <w:color w:val="00000A"/>
              </w:rPr>
              <w:t>85.047</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869" w:right="632" w:hanging="0"/>
              <w:rPr>
                <w:rFonts w:ascii="Arial" w:hAnsi="Arial" w:eastAsia="Times New Roman" w:cs="Arial"/>
                <w:color w:val="00000A"/>
              </w:rPr>
            </w:pPr>
            <w:r>
              <w:rPr>
                <w:rFonts w:eastAsia="Times New Roman" w:cs="Arial" w:ascii="Arial" w:hAnsi="Arial"/>
                <w:color w:val="00000A"/>
              </w:rPr>
              <w:t>80</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69" w:right="198" w:hanging="0"/>
              <w:rPr>
                <w:rFonts w:ascii="Arial" w:hAnsi="Arial" w:eastAsia="Times New Roman" w:cs="Arial"/>
                <w:color w:val="00000A"/>
              </w:rPr>
            </w:pPr>
            <w:r>
              <w:rPr>
                <w:rFonts w:eastAsia="Times New Roman" w:cs="Arial" w:ascii="Arial" w:hAnsi="Arial"/>
                <w:color w:val="00000A"/>
              </w:rPr>
              <w:t>139</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color w:val="00000A"/>
              </w:rPr>
            </w:pPr>
            <w:r>
              <w:rPr>
                <w:rFonts w:eastAsia="Times New Roman" w:cs="Arial" w:ascii="Arial" w:hAnsi="Arial"/>
                <w:color w:val="00000A"/>
              </w:rPr>
            </w:r>
          </w:p>
        </w:tc>
      </w:tr>
      <w:tr>
        <w:trPr>
          <w:trHeight w:val="520"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11" w:right="211" w:hanging="0"/>
              <w:rPr>
                <w:rFonts w:ascii="Arial" w:hAnsi="Arial" w:eastAsia="Times New Roman" w:cs="Arial"/>
                <w:b/>
                <w:b/>
                <w:color w:val="00000A"/>
              </w:rPr>
            </w:pPr>
            <w:r>
              <w:rPr>
                <w:rFonts w:eastAsia="Times New Roman" w:cs="Arial" w:ascii="Arial" w:hAnsi="Arial"/>
                <w:b/>
                <w:color w:val="00000A"/>
              </w:rPr>
              <w:t>2013</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454" w:hanging="0"/>
              <w:jc w:val="right"/>
              <w:rPr>
                <w:rFonts w:ascii="Arial" w:hAnsi="Arial" w:eastAsia="Times New Roman" w:cs="Arial"/>
                <w:color w:val="00000A"/>
              </w:rPr>
            </w:pPr>
            <w:r>
              <w:rPr>
                <w:rFonts w:eastAsia="Times New Roman" w:cs="Arial" w:ascii="Arial" w:hAnsi="Arial"/>
                <w:color w:val="00000A"/>
              </w:rPr>
              <w:t>22.766</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40" w:right="227" w:hanging="0"/>
              <w:rPr>
                <w:rFonts w:ascii="Arial" w:hAnsi="Arial" w:eastAsia="Times New Roman" w:cs="Arial"/>
                <w:color w:val="00000A"/>
              </w:rPr>
            </w:pPr>
            <w:r>
              <w:rPr>
                <w:rFonts w:eastAsia="Times New Roman" w:cs="Arial" w:ascii="Arial" w:hAnsi="Arial"/>
                <w:color w:val="00000A"/>
              </w:rPr>
              <w:t>100.689</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709" w:hanging="0"/>
              <w:rPr>
                <w:rFonts w:ascii="Arial" w:hAnsi="Arial" w:eastAsia="Times New Roman" w:cs="Arial"/>
                <w:color w:val="00000A"/>
              </w:rPr>
            </w:pPr>
            <w:r>
              <w:rPr>
                <w:rFonts w:eastAsia="Times New Roman" w:cs="Arial" w:ascii="Arial" w:hAnsi="Arial"/>
                <w:color w:val="00000A"/>
              </w:rPr>
              <w:t>198</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69" w:right="138" w:hanging="0"/>
              <w:rPr>
                <w:rFonts w:ascii="Arial" w:hAnsi="Arial" w:eastAsia="Times New Roman" w:cs="Arial"/>
                <w:color w:val="00000A"/>
              </w:rPr>
            </w:pPr>
            <w:r>
              <w:rPr>
                <w:rFonts w:eastAsia="Times New Roman" w:cs="Arial" w:ascii="Arial" w:hAnsi="Arial"/>
                <w:color w:val="00000A"/>
              </w:rPr>
              <w:t>105</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hanging="0"/>
              <w:rPr>
                <w:rFonts w:ascii="Arial" w:hAnsi="Arial" w:eastAsia="Times New Roman" w:cs="Arial"/>
                <w:color w:val="00000A"/>
              </w:rPr>
            </w:pPr>
            <w:r>
              <w:rPr>
                <w:rFonts w:eastAsia="Times New Roman" w:cs="Arial" w:ascii="Arial" w:hAnsi="Arial"/>
                <w:color w:val="00000A"/>
              </w:rPr>
            </w:r>
          </w:p>
        </w:tc>
      </w:tr>
      <w:tr>
        <w:trPr>
          <w:trHeight w:val="860"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11" w:right="211" w:hanging="0"/>
              <w:rPr>
                <w:rFonts w:ascii="Arial" w:hAnsi="Arial" w:eastAsia="Times New Roman" w:cs="Arial"/>
                <w:b/>
                <w:b/>
                <w:color w:val="00000A"/>
              </w:rPr>
            </w:pPr>
            <w:r>
              <w:rPr>
                <w:rFonts w:eastAsia="Times New Roman" w:cs="Arial" w:ascii="Arial" w:hAnsi="Arial"/>
                <w:b/>
                <w:color w:val="00000A"/>
              </w:rPr>
              <w:t>2014</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454" w:hanging="0"/>
              <w:jc w:val="right"/>
              <w:rPr>
                <w:rFonts w:ascii="Arial" w:hAnsi="Arial" w:eastAsia="Times New Roman" w:cs="Arial"/>
                <w:color w:val="00000A"/>
              </w:rPr>
            </w:pPr>
            <w:r>
              <w:rPr>
                <w:rFonts w:eastAsia="Times New Roman" w:cs="Arial" w:ascii="Arial" w:hAnsi="Arial"/>
                <w:color w:val="00000A"/>
              </w:rPr>
              <w:t>23.689</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40" w:right="227" w:hanging="0"/>
              <w:rPr>
                <w:rFonts w:ascii="Arial" w:hAnsi="Arial" w:eastAsia="Times New Roman" w:cs="Arial"/>
                <w:color w:val="00000A"/>
              </w:rPr>
            </w:pPr>
            <w:r>
              <w:rPr>
                <w:rFonts w:eastAsia="Times New Roman" w:cs="Arial" w:ascii="Arial" w:hAnsi="Arial"/>
                <w:color w:val="00000A"/>
              </w:rPr>
              <w:t>118.640</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709" w:hanging="0"/>
              <w:rPr>
                <w:rFonts w:ascii="Arial" w:hAnsi="Arial" w:eastAsia="Times New Roman" w:cs="Arial"/>
                <w:color w:val="00000A"/>
              </w:rPr>
            </w:pPr>
            <w:r>
              <w:rPr>
                <w:rFonts w:eastAsia="Times New Roman" w:cs="Arial" w:ascii="Arial" w:hAnsi="Arial"/>
                <w:color w:val="00000A"/>
              </w:rPr>
              <w:t>198</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69" w:right="258" w:hanging="0"/>
              <w:rPr>
                <w:rFonts w:ascii="Arial" w:hAnsi="Arial" w:eastAsia="Times New Roman" w:cs="Arial"/>
                <w:color w:val="00000A"/>
              </w:rPr>
            </w:pPr>
            <w:r>
              <w:rPr>
                <w:rFonts w:eastAsia="Times New Roman" w:cs="Arial" w:ascii="Arial" w:hAnsi="Arial"/>
                <w:color w:val="00000A"/>
              </w:rPr>
              <w:t>41</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214" w:right="106" w:firstLine="73"/>
              <w:rPr>
                <w:rFonts w:ascii="Arial" w:hAnsi="Arial" w:eastAsia="Arial" w:cs="Arial"/>
                <w:color w:val="00000A"/>
              </w:rPr>
            </w:pPr>
            <w:r>
              <w:rPr>
                <w:rFonts w:eastAsia="Times New Roman" w:cs="Arial" w:ascii="Arial" w:hAnsi="Arial"/>
                <w:color w:val="00000A"/>
              </w:rPr>
              <w:t>Coleção Completa</w:t>
            </w:r>
          </w:p>
        </w:tc>
      </w:tr>
      <w:tr>
        <w:trPr>
          <w:trHeight w:val="860"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11" w:right="211" w:hanging="0"/>
              <w:rPr>
                <w:rFonts w:ascii="Arial" w:hAnsi="Arial" w:eastAsia="Times New Roman" w:cs="Arial"/>
                <w:b/>
                <w:b/>
                <w:color w:val="00000A"/>
              </w:rPr>
            </w:pPr>
            <w:r>
              <w:rPr>
                <w:rFonts w:eastAsia="Times New Roman" w:cs="Arial" w:ascii="Arial" w:hAnsi="Arial"/>
                <w:b/>
                <w:color w:val="00000A"/>
              </w:rPr>
              <w:t>2015</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454" w:hanging="0"/>
              <w:jc w:val="right"/>
              <w:rPr>
                <w:rFonts w:ascii="Arial" w:hAnsi="Arial" w:eastAsia="Times New Roman" w:cs="Arial"/>
                <w:color w:val="00000A"/>
              </w:rPr>
            </w:pPr>
            <w:r>
              <w:rPr>
                <w:rFonts w:eastAsia="Times New Roman" w:cs="Arial" w:ascii="Arial" w:hAnsi="Arial"/>
                <w:color w:val="00000A"/>
              </w:rPr>
              <w:t>23.689</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40" w:right="227" w:hanging="0"/>
              <w:rPr>
                <w:rFonts w:ascii="Arial" w:hAnsi="Arial" w:eastAsia="Times New Roman" w:cs="Arial"/>
                <w:color w:val="00000A"/>
              </w:rPr>
            </w:pPr>
            <w:r>
              <w:rPr>
                <w:rFonts w:eastAsia="Times New Roman" w:cs="Arial" w:ascii="Arial" w:hAnsi="Arial"/>
                <w:color w:val="00000A"/>
              </w:rPr>
              <w:t>124.646</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709" w:hanging="0"/>
              <w:rPr>
                <w:rFonts w:ascii="Arial" w:hAnsi="Arial" w:eastAsia="Times New Roman" w:cs="Arial"/>
                <w:color w:val="00000A"/>
              </w:rPr>
            </w:pPr>
            <w:r>
              <w:rPr>
                <w:rFonts w:eastAsia="Times New Roman" w:cs="Arial" w:ascii="Arial" w:hAnsi="Arial"/>
                <w:color w:val="00000A"/>
              </w:rPr>
              <w:t>283</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69" w:right="258" w:hanging="0"/>
              <w:rPr>
                <w:rFonts w:ascii="Arial" w:hAnsi="Arial" w:eastAsia="Times New Roman" w:cs="Arial"/>
                <w:color w:val="00000A"/>
              </w:rPr>
            </w:pPr>
            <w:r>
              <w:rPr>
                <w:rFonts w:eastAsia="Times New Roman" w:cs="Arial" w:ascii="Arial" w:hAnsi="Arial"/>
                <w:color w:val="00000A"/>
              </w:rPr>
              <w:t>18</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214" w:right="106" w:firstLine="73"/>
              <w:rPr>
                <w:rFonts w:ascii="Arial" w:hAnsi="Arial" w:eastAsia="Arial" w:cs="Arial"/>
                <w:color w:val="00000A"/>
              </w:rPr>
            </w:pPr>
            <w:r>
              <w:rPr>
                <w:rFonts w:eastAsia="Times New Roman" w:cs="Arial" w:ascii="Arial" w:hAnsi="Arial"/>
                <w:color w:val="00000A"/>
              </w:rPr>
              <w:t>Coleção Completa</w:t>
            </w:r>
          </w:p>
        </w:tc>
      </w:tr>
      <w:tr>
        <w:trPr>
          <w:trHeight w:val="860" w:hRule="atLeast"/>
        </w:trPr>
        <w:tc>
          <w:tcPr>
            <w:tcW w:w="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11" w:right="211" w:hanging="0"/>
              <w:rPr>
                <w:rFonts w:ascii="Arial" w:hAnsi="Arial" w:eastAsia="Times New Roman" w:cs="Arial"/>
                <w:b/>
                <w:b/>
                <w:color w:val="00000A"/>
              </w:rPr>
            </w:pPr>
            <w:r>
              <w:rPr>
                <w:rFonts w:eastAsia="Times New Roman" w:cs="Arial" w:ascii="Arial" w:hAnsi="Arial"/>
                <w:b/>
                <w:color w:val="00000A"/>
              </w:rPr>
              <w:t>2016</w:t>
            </w:r>
          </w:p>
        </w:tc>
        <w:tc>
          <w:tcPr>
            <w:tcW w:w="160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424" w:hanging="0"/>
              <w:jc w:val="right"/>
              <w:rPr>
                <w:rFonts w:ascii="Arial" w:hAnsi="Arial" w:eastAsia="Times New Roman" w:cs="Arial"/>
                <w:color w:val="00000A"/>
              </w:rPr>
            </w:pPr>
            <w:r>
              <w:rPr>
                <w:rFonts w:eastAsia="Times New Roman" w:cs="Arial" w:ascii="Arial" w:hAnsi="Arial"/>
                <w:color w:val="00000A"/>
              </w:rPr>
              <w:t>23.697</w:t>
            </w:r>
          </w:p>
        </w:tc>
        <w:tc>
          <w:tcPr>
            <w:tcW w:w="175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40" w:right="227" w:hanging="0"/>
              <w:rPr>
                <w:rFonts w:ascii="Arial" w:hAnsi="Arial" w:eastAsia="Times New Roman" w:cs="Arial"/>
                <w:color w:val="00000A"/>
              </w:rPr>
            </w:pPr>
            <w:r>
              <w:rPr>
                <w:rFonts w:eastAsia="Times New Roman" w:cs="Arial" w:ascii="Arial" w:hAnsi="Arial"/>
                <w:color w:val="00000A"/>
              </w:rPr>
              <w:t>126.540</w:t>
            </w:r>
          </w:p>
        </w:tc>
        <w:tc>
          <w:tcPr>
            <w:tcW w:w="179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709" w:hanging="0"/>
              <w:rPr>
                <w:rFonts w:ascii="Arial" w:hAnsi="Arial" w:eastAsia="Times New Roman" w:cs="Arial"/>
                <w:color w:val="00000A"/>
              </w:rPr>
            </w:pPr>
            <w:r>
              <w:rPr>
                <w:rFonts w:eastAsia="Times New Roman" w:cs="Arial" w:ascii="Arial" w:hAnsi="Arial"/>
                <w:color w:val="00000A"/>
              </w:rPr>
              <w:t>473</w:t>
            </w:r>
          </w:p>
        </w:tc>
        <w:tc>
          <w:tcPr>
            <w:tcW w:w="151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69" w:right="258" w:hanging="0"/>
              <w:rPr>
                <w:rFonts w:ascii="Arial" w:hAnsi="Arial" w:eastAsia="Times New Roman" w:cs="Arial"/>
                <w:color w:val="00000A"/>
              </w:rPr>
            </w:pPr>
            <w:r>
              <w:rPr>
                <w:rFonts w:eastAsia="Times New Roman" w:cs="Arial" w:ascii="Arial" w:hAnsi="Arial"/>
                <w:color w:val="00000A"/>
              </w:rPr>
              <w:t>23</w:t>
            </w:r>
          </w:p>
        </w:tc>
        <w:tc>
          <w:tcPr>
            <w:tcW w:w="13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80"/>
              <w:ind w:left="214" w:right="106" w:firstLine="73"/>
              <w:rPr>
                <w:rFonts w:ascii="Arial" w:hAnsi="Arial" w:eastAsia="Arial" w:cs="Arial"/>
                <w:color w:val="00000A"/>
              </w:rPr>
            </w:pPr>
            <w:r>
              <w:rPr>
                <w:rFonts w:eastAsia="Times New Roman" w:cs="Arial" w:ascii="Arial" w:hAnsi="Arial"/>
                <w:color w:val="00000A"/>
              </w:rPr>
              <w:t>Coleção Completa</w:t>
            </w:r>
          </w:p>
        </w:tc>
      </w:tr>
    </w:tbl>
    <w:p>
      <w:pPr>
        <w:pStyle w:val="Normal2"/>
        <w:spacing w:lineRule="auto" w:line="360"/>
        <w:ind w:left="116" w:right="117" w:firstLine="822"/>
        <w:jc w:val="both"/>
        <w:rPr>
          <w:rFonts w:ascii="Arial" w:hAnsi="Arial" w:eastAsia="Times New Roman" w:cs="Arial"/>
          <w:b/>
          <w:b/>
          <w:color w:val="00000A"/>
        </w:rPr>
      </w:pPr>
      <w:r>
        <w:rPr>
          <w:rFonts w:eastAsia="Times New Roman" w:cs="Arial" w:ascii="Arial" w:hAnsi="Arial"/>
          <w:b/>
          <w:color w:val="00000A"/>
        </w:rPr>
      </w:r>
    </w:p>
    <w:p>
      <w:pPr>
        <w:pStyle w:val="Normal2"/>
        <w:spacing w:before="0" w:after="37"/>
        <w:ind w:left="407" w:right="425" w:hanging="0"/>
        <w:jc w:val="center"/>
        <w:rPr>
          <w:rFonts w:ascii="Arial" w:hAnsi="Arial" w:eastAsia="Times New Roman" w:cs="Arial"/>
          <w:color w:val="00000A"/>
        </w:rPr>
      </w:pPr>
      <w:r>
        <w:rPr>
          <w:rFonts w:eastAsia="Times New Roman" w:cs="Arial" w:ascii="Arial" w:hAnsi="Arial"/>
          <w:b/>
          <w:color w:val="00000A"/>
        </w:rPr>
        <w:t>Quadro 9- Quantidade de Empréstimo/Ano</w:t>
      </w:r>
    </w:p>
    <w:tbl>
      <w:tblPr>
        <w:tblW w:w="8964" w:type="dxa"/>
        <w:jc w:val="left"/>
        <w:tblInd w:w="9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000"/>
      </w:tblPr>
      <w:tblGrid>
        <w:gridCol w:w="882"/>
        <w:gridCol w:w="1345"/>
        <w:gridCol w:w="1347"/>
        <w:gridCol w:w="1346"/>
        <w:gridCol w:w="1347"/>
        <w:gridCol w:w="1346"/>
        <w:gridCol w:w="1350"/>
      </w:tblGrid>
      <w:tr>
        <w:trPr>
          <w:trHeight w:val="860" w:hRule="atLeast"/>
        </w:trPr>
        <w:tc>
          <w:tcPr>
            <w:tcW w:w="88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23" w:hanging="0"/>
              <w:jc w:val="right"/>
              <w:rPr>
                <w:rFonts w:ascii="Arial" w:hAnsi="Arial" w:eastAsia="Times New Roman" w:cs="Arial"/>
                <w:b/>
                <w:b/>
                <w:color w:val="00000A"/>
              </w:rPr>
            </w:pPr>
            <w:r>
              <w:rPr>
                <w:rFonts w:eastAsia="Times New Roman" w:cs="Arial" w:ascii="Arial" w:hAnsi="Arial"/>
                <w:b/>
                <w:color w:val="00000A"/>
              </w:rPr>
              <w:t>Ano</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4" w:right="38" w:hanging="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I</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1" w:right="100" w:hanging="0"/>
              <w:rPr>
                <w:rFonts w:ascii="Arial" w:hAnsi="Arial" w:eastAsia="Times New Roman" w:cs="Arial"/>
                <w:b/>
                <w:b/>
                <w:i/>
                <w:i/>
                <w:color w:val="00000A"/>
              </w:rPr>
            </w:pPr>
            <w:r>
              <w:rPr>
                <w:rFonts w:eastAsia="Times New Roman" w:cs="Arial" w:ascii="Arial" w:hAnsi="Arial"/>
                <w:b/>
                <w:i/>
                <w:color w:val="00000A"/>
              </w:rPr>
              <w:t>Campus</w:t>
            </w:r>
          </w:p>
          <w:p>
            <w:pPr>
              <w:pStyle w:val="Normal2"/>
              <w:widowControl w:val="false"/>
              <w:spacing w:before="53" w:after="200"/>
              <w:ind w:left="104" w:right="99" w:hanging="0"/>
              <w:rPr>
                <w:rFonts w:ascii="Arial" w:hAnsi="Arial" w:eastAsia="Times New Roman" w:cs="Arial"/>
                <w:b/>
                <w:b/>
                <w:color w:val="00000A"/>
              </w:rPr>
            </w:pPr>
            <w:r>
              <w:rPr>
                <w:rFonts w:eastAsia="Times New Roman" w:cs="Arial" w:ascii="Arial" w:hAnsi="Arial"/>
                <w:b/>
                <w:color w:val="00000A"/>
              </w:rPr>
              <w:t>JK</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1" w:right="100" w:hanging="0"/>
              <w:rPr>
                <w:rFonts w:ascii="Arial" w:hAnsi="Arial" w:eastAsia="Times New Roman" w:cs="Arial"/>
                <w:b/>
                <w:b/>
                <w:i/>
                <w:i/>
                <w:color w:val="00000A"/>
              </w:rPr>
            </w:pPr>
            <w:r>
              <w:rPr>
                <w:rFonts w:eastAsia="Times New Roman" w:cs="Arial" w:ascii="Arial" w:hAnsi="Arial"/>
                <w:b/>
                <w:i/>
                <w:color w:val="00000A"/>
              </w:rPr>
              <w:t>Campus</w:t>
            </w:r>
          </w:p>
          <w:p>
            <w:pPr>
              <w:pStyle w:val="Normal2"/>
              <w:widowControl w:val="false"/>
              <w:spacing w:before="53" w:after="200"/>
              <w:ind w:left="104" w:right="100" w:hanging="0"/>
              <w:rPr>
                <w:rFonts w:ascii="Arial" w:hAnsi="Arial" w:eastAsia="Times New Roman" w:cs="Arial"/>
                <w:b/>
                <w:b/>
                <w:color w:val="00000A"/>
              </w:rPr>
            </w:pPr>
            <w:r>
              <w:rPr>
                <w:rFonts w:eastAsia="Times New Roman" w:cs="Arial" w:ascii="Arial" w:hAnsi="Arial"/>
                <w:b/>
                <w:color w:val="00000A"/>
              </w:rPr>
              <w:t>do Mucuri</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230" w:right="88" w:hanging="120"/>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de Janaúba</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spacing w:lineRule="auto" w:line="244"/>
              <w:ind w:left="424" w:right="89" w:hanging="315"/>
              <w:rPr>
                <w:rFonts w:ascii="Arial" w:hAnsi="Arial" w:eastAsia="Times New Roman" w:cs="Arial"/>
                <w:color w:val="00000A"/>
              </w:rPr>
            </w:pPr>
            <w:r>
              <w:rPr>
                <w:rFonts w:eastAsia="Times New Roman" w:cs="Arial" w:ascii="Arial" w:hAnsi="Arial"/>
                <w:b/>
                <w:i/>
                <w:color w:val="00000A"/>
              </w:rPr>
              <w:t xml:space="preserve">Campus </w:t>
            </w:r>
            <w:r>
              <w:rPr>
                <w:rFonts w:eastAsia="Times New Roman" w:cs="Arial" w:ascii="Arial" w:hAnsi="Arial"/>
                <w:b/>
                <w:color w:val="00000A"/>
              </w:rPr>
              <w:t>de Unaí</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09" w:hanging="0"/>
              <w:rPr>
                <w:rFonts w:ascii="Arial" w:hAnsi="Arial" w:eastAsia="Times New Roman" w:cs="Arial"/>
                <w:b/>
                <w:b/>
                <w:color w:val="00000A"/>
              </w:rPr>
            </w:pPr>
            <w:r>
              <w:rPr>
                <w:rFonts w:eastAsia="Times New Roman" w:cs="Arial" w:ascii="Arial" w:hAnsi="Arial"/>
                <w:b/>
                <w:color w:val="00000A"/>
              </w:rPr>
              <w:t>EAD</w:t>
            </w:r>
          </w:p>
        </w:tc>
      </w:tr>
      <w:tr>
        <w:trPr>
          <w:trHeight w:val="480" w:hRule="atLeast"/>
        </w:trPr>
        <w:tc>
          <w:tcPr>
            <w:tcW w:w="88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75" w:hanging="0"/>
              <w:jc w:val="right"/>
              <w:rPr>
                <w:rFonts w:ascii="Arial" w:hAnsi="Arial" w:eastAsia="Times New Roman" w:cs="Arial"/>
                <w:b/>
                <w:b/>
                <w:color w:val="00000A"/>
              </w:rPr>
            </w:pPr>
            <w:r>
              <w:rPr>
                <w:rFonts w:eastAsia="Times New Roman" w:cs="Arial" w:ascii="Arial" w:hAnsi="Arial"/>
                <w:b/>
                <w:color w:val="00000A"/>
              </w:rPr>
              <w:t>2012</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0" w:right="100" w:hanging="0"/>
              <w:jc w:val="center"/>
              <w:rPr>
                <w:rFonts w:ascii="Arial" w:hAnsi="Arial" w:eastAsia="Times New Roman" w:cs="Arial"/>
                <w:color w:val="00000A"/>
              </w:rPr>
            </w:pPr>
            <w:r>
              <w:rPr>
                <w:rFonts w:eastAsia="Times New Roman" w:cs="Arial" w:ascii="Arial" w:hAnsi="Arial"/>
                <w:color w:val="00000A"/>
              </w:rPr>
              <w:t>11.368</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6" w:hanging="0"/>
              <w:jc w:val="center"/>
              <w:rPr>
                <w:rFonts w:ascii="Arial" w:hAnsi="Arial" w:eastAsia="Times New Roman" w:cs="Arial"/>
                <w:color w:val="00000A"/>
              </w:rPr>
            </w:pPr>
            <w:r>
              <w:rPr>
                <w:rFonts w:eastAsia="Times New Roman" w:cs="Arial" w:ascii="Arial" w:hAnsi="Arial"/>
                <w:color w:val="00000A"/>
              </w:rPr>
              <w:t>29.976</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5" w:hanging="0"/>
              <w:jc w:val="center"/>
              <w:rPr>
                <w:rFonts w:ascii="Arial" w:hAnsi="Arial" w:eastAsia="Times New Roman" w:cs="Arial"/>
                <w:color w:val="00000A"/>
              </w:rPr>
            </w:pPr>
            <w:r>
              <w:rPr>
                <w:rFonts w:eastAsia="Times New Roman" w:cs="Arial" w:ascii="Arial" w:hAnsi="Arial"/>
                <w:color w:val="00000A"/>
              </w:rPr>
              <w:t>13.726</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1" w:hanging="0"/>
              <w:jc w:val="center"/>
              <w:rPr>
                <w:rFonts w:ascii="Arial" w:hAnsi="Arial" w:eastAsia="Times New Roman" w:cs="Arial"/>
                <w:b/>
                <w:b/>
                <w:color w:val="00000A"/>
              </w:rPr>
            </w:pPr>
            <w:r>
              <w:rPr>
                <w:rFonts w:eastAsia="Times New Roman" w:cs="Arial" w:ascii="Arial" w:hAnsi="Arial"/>
                <w:b/>
                <w:color w:val="00000A"/>
              </w:rPr>
              <w:t>-</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2" w:hanging="0"/>
              <w:jc w:val="center"/>
              <w:rPr>
                <w:rFonts w:ascii="Arial" w:hAnsi="Arial" w:eastAsia="Times New Roman" w:cs="Arial"/>
                <w:b/>
                <w:b/>
                <w:color w:val="00000A"/>
              </w:rPr>
            </w:pPr>
            <w:r>
              <w:rPr>
                <w:rFonts w:eastAsia="Times New Roman" w:cs="Arial" w:ascii="Arial" w:hAnsi="Arial"/>
                <w:b/>
                <w:color w:val="00000A"/>
              </w:rPr>
              <w:t>-</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2" w:hanging="0"/>
              <w:jc w:val="center"/>
              <w:rPr>
                <w:rFonts w:ascii="Arial" w:hAnsi="Arial" w:eastAsia="Times New Roman" w:cs="Arial"/>
                <w:b/>
                <w:b/>
                <w:color w:val="00000A"/>
              </w:rPr>
            </w:pPr>
            <w:r>
              <w:rPr>
                <w:rFonts w:eastAsia="Times New Roman" w:cs="Arial" w:ascii="Arial" w:hAnsi="Arial"/>
                <w:b/>
                <w:color w:val="00000A"/>
              </w:rPr>
              <w:t>-</w:t>
            </w:r>
          </w:p>
        </w:tc>
      </w:tr>
      <w:tr>
        <w:trPr>
          <w:trHeight w:val="480" w:hRule="atLeast"/>
        </w:trPr>
        <w:tc>
          <w:tcPr>
            <w:tcW w:w="88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75" w:hanging="0"/>
              <w:jc w:val="right"/>
              <w:rPr>
                <w:rFonts w:ascii="Arial" w:hAnsi="Arial" w:eastAsia="Times New Roman" w:cs="Arial"/>
                <w:b/>
                <w:b/>
                <w:color w:val="00000A"/>
              </w:rPr>
            </w:pPr>
            <w:r>
              <w:rPr>
                <w:rFonts w:eastAsia="Times New Roman" w:cs="Arial" w:ascii="Arial" w:hAnsi="Arial"/>
                <w:b/>
                <w:color w:val="00000A"/>
              </w:rPr>
              <w:t>2013</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0" w:right="100" w:hanging="0"/>
              <w:jc w:val="center"/>
              <w:rPr>
                <w:rFonts w:ascii="Arial" w:hAnsi="Arial" w:eastAsia="Times New Roman" w:cs="Arial"/>
                <w:color w:val="00000A"/>
              </w:rPr>
            </w:pPr>
            <w:r>
              <w:rPr>
                <w:rFonts w:eastAsia="Times New Roman" w:cs="Arial" w:ascii="Arial" w:hAnsi="Arial"/>
                <w:color w:val="00000A"/>
              </w:rPr>
              <w:t>11.641</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6" w:hanging="0"/>
              <w:jc w:val="center"/>
              <w:rPr>
                <w:rFonts w:ascii="Arial" w:hAnsi="Arial" w:eastAsia="Times New Roman" w:cs="Arial"/>
                <w:color w:val="00000A"/>
              </w:rPr>
            </w:pPr>
            <w:r>
              <w:rPr>
                <w:rFonts w:eastAsia="Times New Roman" w:cs="Arial" w:ascii="Arial" w:hAnsi="Arial"/>
                <w:color w:val="00000A"/>
              </w:rPr>
              <w:t>48.506</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5" w:hanging="0"/>
              <w:jc w:val="center"/>
              <w:rPr>
                <w:rFonts w:ascii="Arial" w:hAnsi="Arial" w:eastAsia="Times New Roman" w:cs="Arial"/>
                <w:color w:val="00000A"/>
              </w:rPr>
            </w:pPr>
            <w:r>
              <w:rPr>
                <w:rFonts w:eastAsia="Times New Roman" w:cs="Arial" w:ascii="Arial" w:hAnsi="Arial"/>
                <w:color w:val="00000A"/>
              </w:rPr>
              <w:t>23.075</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1" w:hanging="0"/>
              <w:jc w:val="center"/>
              <w:rPr>
                <w:rFonts w:ascii="Arial" w:hAnsi="Arial" w:eastAsia="Times New Roman" w:cs="Arial"/>
                <w:b/>
                <w:b/>
                <w:color w:val="00000A"/>
              </w:rPr>
            </w:pPr>
            <w:r>
              <w:rPr>
                <w:rFonts w:eastAsia="Times New Roman" w:cs="Arial" w:ascii="Arial" w:hAnsi="Arial"/>
                <w:b/>
                <w:color w:val="00000A"/>
              </w:rPr>
              <w:t>-</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12" w:hanging="0"/>
              <w:jc w:val="center"/>
              <w:rPr>
                <w:rFonts w:ascii="Arial" w:hAnsi="Arial" w:eastAsia="Times New Roman" w:cs="Arial"/>
                <w:b/>
                <w:b/>
                <w:color w:val="00000A"/>
              </w:rPr>
            </w:pPr>
            <w:r>
              <w:rPr>
                <w:rFonts w:eastAsia="Times New Roman" w:cs="Arial" w:ascii="Arial" w:hAnsi="Arial"/>
                <w:b/>
                <w:color w:val="00000A"/>
              </w:rPr>
              <w:t>-</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8" w:right="100" w:hanging="0"/>
              <w:jc w:val="center"/>
              <w:rPr>
                <w:rFonts w:ascii="Arial" w:hAnsi="Arial" w:eastAsia="Times New Roman" w:cs="Arial"/>
                <w:color w:val="00000A"/>
              </w:rPr>
            </w:pPr>
            <w:r>
              <w:rPr>
                <w:rFonts w:eastAsia="Times New Roman" w:cs="Arial" w:ascii="Arial" w:hAnsi="Arial"/>
                <w:color w:val="00000A"/>
              </w:rPr>
              <w:t>84</w:t>
            </w:r>
          </w:p>
        </w:tc>
      </w:tr>
      <w:tr>
        <w:trPr>
          <w:trHeight w:val="480" w:hRule="atLeast"/>
        </w:trPr>
        <w:tc>
          <w:tcPr>
            <w:tcW w:w="88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75" w:hanging="0"/>
              <w:jc w:val="right"/>
              <w:rPr>
                <w:rFonts w:ascii="Arial" w:hAnsi="Arial" w:eastAsia="Times New Roman" w:cs="Arial"/>
                <w:b/>
                <w:b/>
                <w:color w:val="00000A"/>
              </w:rPr>
            </w:pPr>
            <w:r>
              <w:rPr>
                <w:rFonts w:eastAsia="Times New Roman" w:cs="Arial" w:ascii="Arial" w:hAnsi="Arial"/>
                <w:b/>
                <w:color w:val="00000A"/>
              </w:rPr>
              <w:t>2014</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0" w:right="100" w:hanging="0"/>
              <w:jc w:val="center"/>
              <w:rPr>
                <w:rFonts w:ascii="Arial" w:hAnsi="Arial" w:eastAsia="Times New Roman" w:cs="Arial"/>
                <w:color w:val="00000A"/>
              </w:rPr>
            </w:pPr>
            <w:r>
              <w:rPr>
                <w:rFonts w:eastAsia="Times New Roman" w:cs="Arial" w:ascii="Arial" w:hAnsi="Arial"/>
                <w:color w:val="00000A"/>
              </w:rPr>
              <w:t>9.233</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6" w:hanging="0"/>
              <w:jc w:val="center"/>
              <w:rPr>
                <w:rFonts w:ascii="Arial" w:hAnsi="Arial" w:eastAsia="Times New Roman" w:cs="Arial"/>
                <w:color w:val="00000A"/>
              </w:rPr>
            </w:pPr>
            <w:r>
              <w:rPr>
                <w:rFonts w:eastAsia="Times New Roman" w:cs="Arial" w:ascii="Arial" w:hAnsi="Arial"/>
                <w:color w:val="00000A"/>
              </w:rPr>
              <w:t>45.433</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5" w:hanging="0"/>
              <w:jc w:val="center"/>
              <w:rPr>
                <w:rFonts w:ascii="Arial" w:hAnsi="Arial" w:eastAsia="Times New Roman" w:cs="Arial"/>
                <w:color w:val="00000A"/>
              </w:rPr>
            </w:pPr>
            <w:r>
              <w:rPr>
                <w:rFonts w:eastAsia="Times New Roman" w:cs="Arial" w:ascii="Arial" w:hAnsi="Arial"/>
                <w:color w:val="00000A"/>
              </w:rPr>
              <w:t>24.352</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9" w:right="100" w:hanging="0"/>
              <w:jc w:val="center"/>
              <w:rPr>
                <w:rFonts w:ascii="Arial" w:hAnsi="Arial" w:eastAsia="Times New Roman" w:cs="Arial"/>
                <w:color w:val="00000A"/>
              </w:rPr>
            </w:pPr>
            <w:r>
              <w:rPr>
                <w:rFonts w:eastAsia="Times New Roman" w:cs="Arial" w:ascii="Arial" w:hAnsi="Arial"/>
                <w:color w:val="00000A"/>
              </w:rPr>
              <w:t>1.353</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8" w:right="100" w:hanging="0"/>
              <w:jc w:val="center"/>
              <w:rPr>
                <w:rFonts w:ascii="Arial" w:hAnsi="Arial" w:eastAsia="Times New Roman" w:cs="Arial"/>
                <w:color w:val="00000A"/>
              </w:rPr>
            </w:pPr>
            <w:r>
              <w:rPr>
                <w:rFonts w:eastAsia="Times New Roman" w:cs="Arial" w:ascii="Arial" w:hAnsi="Arial"/>
                <w:color w:val="00000A"/>
              </w:rPr>
              <w:t>1.020</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484" w:hanging="0"/>
              <w:jc w:val="center"/>
              <w:rPr>
                <w:rFonts w:ascii="Arial" w:hAnsi="Arial" w:eastAsia="Times New Roman" w:cs="Arial"/>
                <w:color w:val="00000A"/>
              </w:rPr>
            </w:pPr>
            <w:r>
              <w:rPr>
                <w:rFonts w:eastAsia="Times New Roman" w:cs="Arial" w:ascii="Arial" w:hAnsi="Arial"/>
                <w:color w:val="00000A"/>
              </w:rPr>
              <w:t>161</w:t>
            </w:r>
          </w:p>
        </w:tc>
      </w:tr>
      <w:tr>
        <w:trPr>
          <w:trHeight w:val="480" w:hRule="atLeast"/>
        </w:trPr>
        <w:tc>
          <w:tcPr>
            <w:tcW w:w="88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75" w:hanging="0"/>
              <w:jc w:val="right"/>
              <w:rPr>
                <w:rFonts w:ascii="Arial" w:hAnsi="Arial" w:eastAsia="Times New Roman" w:cs="Arial"/>
                <w:b/>
                <w:b/>
                <w:color w:val="00000A"/>
              </w:rPr>
            </w:pPr>
            <w:r>
              <w:rPr>
                <w:rFonts w:eastAsia="Times New Roman" w:cs="Arial" w:ascii="Arial" w:hAnsi="Arial"/>
                <w:b/>
                <w:color w:val="00000A"/>
              </w:rPr>
              <w:t>2015</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0" w:right="100" w:hanging="0"/>
              <w:jc w:val="center"/>
              <w:rPr>
                <w:rFonts w:ascii="Arial" w:hAnsi="Arial" w:eastAsia="Times New Roman" w:cs="Arial"/>
                <w:color w:val="00000A"/>
              </w:rPr>
            </w:pPr>
            <w:r>
              <w:rPr>
                <w:rFonts w:eastAsia="Times New Roman" w:cs="Arial" w:ascii="Arial" w:hAnsi="Arial"/>
                <w:color w:val="00000A"/>
              </w:rPr>
              <w:t>4.687</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6" w:hanging="0"/>
              <w:jc w:val="center"/>
              <w:rPr>
                <w:rFonts w:ascii="Arial" w:hAnsi="Arial" w:eastAsia="Times New Roman" w:cs="Arial"/>
                <w:color w:val="00000A"/>
              </w:rPr>
            </w:pPr>
            <w:r>
              <w:rPr>
                <w:rFonts w:eastAsia="Times New Roman" w:cs="Arial" w:ascii="Arial" w:hAnsi="Arial"/>
                <w:color w:val="00000A"/>
              </w:rPr>
              <w:t>34.436</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5" w:hanging="0"/>
              <w:jc w:val="center"/>
              <w:rPr>
                <w:rFonts w:ascii="Arial" w:hAnsi="Arial" w:eastAsia="Times New Roman" w:cs="Arial"/>
                <w:color w:val="00000A"/>
              </w:rPr>
            </w:pPr>
            <w:r>
              <w:rPr>
                <w:rFonts w:eastAsia="Times New Roman" w:cs="Arial" w:ascii="Arial" w:hAnsi="Arial"/>
                <w:color w:val="00000A"/>
              </w:rPr>
              <w:t>13.161</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9" w:right="100" w:hanging="0"/>
              <w:jc w:val="center"/>
              <w:rPr>
                <w:rFonts w:ascii="Arial" w:hAnsi="Arial" w:eastAsia="Times New Roman" w:cs="Arial"/>
                <w:color w:val="00000A"/>
              </w:rPr>
            </w:pPr>
            <w:r>
              <w:rPr>
                <w:rFonts w:eastAsia="Times New Roman" w:cs="Arial" w:ascii="Arial" w:hAnsi="Arial"/>
                <w:color w:val="00000A"/>
              </w:rPr>
              <w:t>2.848</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8" w:right="100" w:hanging="0"/>
              <w:jc w:val="center"/>
              <w:rPr>
                <w:rFonts w:ascii="Arial" w:hAnsi="Arial" w:eastAsia="Times New Roman" w:cs="Arial"/>
                <w:color w:val="00000A"/>
              </w:rPr>
            </w:pPr>
            <w:r>
              <w:rPr>
                <w:rFonts w:eastAsia="Times New Roman" w:cs="Arial" w:ascii="Arial" w:hAnsi="Arial"/>
                <w:color w:val="00000A"/>
              </w:rPr>
              <w:t>2.449</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8" w:right="100" w:hanging="0"/>
              <w:jc w:val="center"/>
              <w:rPr>
                <w:rFonts w:ascii="Arial" w:hAnsi="Arial" w:eastAsia="Times New Roman" w:cs="Arial"/>
                <w:color w:val="00000A"/>
              </w:rPr>
            </w:pPr>
            <w:r>
              <w:rPr>
                <w:rFonts w:eastAsia="Times New Roman" w:cs="Arial" w:ascii="Arial" w:hAnsi="Arial"/>
                <w:color w:val="00000A"/>
              </w:rPr>
              <w:t>59</w:t>
            </w:r>
          </w:p>
        </w:tc>
      </w:tr>
      <w:tr>
        <w:trPr>
          <w:trHeight w:val="520" w:hRule="atLeast"/>
        </w:trPr>
        <w:tc>
          <w:tcPr>
            <w:tcW w:w="882"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25" w:right="275" w:hanging="0"/>
              <w:jc w:val="right"/>
              <w:rPr>
                <w:rFonts w:ascii="Arial" w:hAnsi="Arial" w:eastAsia="Times New Roman" w:cs="Arial"/>
                <w:b/>
                <w:b/>
                <w:color w:val="00000A"/>
              </w:rPr>
            </w:pPr>
            <w:r>
              <w:rPr>
                <w:rFonts w:eastAsia="Times New Roman" w:cs="Arial" w:ascii="Arial" w:hAnsi="Arial"/>
                <w:b/>
                <w:color w:val="00000A"/>
              </w:rPr>
              <w:t>2016</w:t>
            </w:r>
          </w:p>
        </w:tc>
        <w:tc>
          <w:tcPr>
            <w:tcW w:w="134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100" w:right="100" w:hanging="0"/>
              <w:jc w:val="center"/>
              <w:rPr>
                <w:rFonts w:ascii="Arial" w:hAnsi="Arial" w:eastAsia="Times New Roman" w:cs="Arial"/>
                <w:color w:val="00000A"/>
              </w:rPr>
            </w:pPr>
            <w:r>
              <w:rPr>
                <w:rFonts w:eastAsia="Times New Roman" w:cs="Arial" w:ascii="Arial" w:hAnsi="Arial"/>
                <w:color w:val="00000A"/>
              </w:rPr>
              <w:t>3.515</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6" w:hanging="0"/>
              <w:jc w:val="center"/>
              <w:rPr>
                <w:rFonts w:ascii="Arial" w:hAnsi="Arial" w:eastAsia="Times New Roman" w:cs="Arial"/>
                <w:color w:val="00000A"/>
              </w:rPr>
            </w:pPr>
            <w:r>
              <w:rPr>
                <w:rFonts w:eastAsia="Times New Roman" w:cs="Arial" w:ascii="Arial" w:hAnsi="Arial"/>
                <w:color w:val="00000A"/>
              </w:rPr>
              <w:t>37.267</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335" w:hanging="0"/>
              <w:jc w:val="center"/>
              <w:rPr>
                <w:rFonts w:ascii="Arial" w:hAnsi="Arial" w:eastAsia="Times New Roman" w:cs="Arial"/>
                <w:color w:val="00000A"/>
              </w:rPr>
            </w:pPr>
            <w:r>
              <w:rPr>
                <w:rFonts w:eastAsia="Times New Roman" w:cs="Arial" w:ascii="Arial" w:hAnsi="Arial"/>
                <w:color w:val="00000A"/>
              </w:rPr>
              <w:t>21.908</w:t>
            </w:r>
          </w:p>
        </w:tc>
        <w:tc>
          <w:tcPr>
            <w:tcW w:w="134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9" w:right="100" w:hanging="0"/>
              <w:jc w:val="center"/>
              <w:rPr>
                <w:rFonts w:ascii="Arial" w:hAnsi="Arial" w:eastAsia="Times New Roman" w:cs="Arial"/>
                <w:color w:val="00000A"/>
              </w:rPr>
            </w:pPr>
            <w:r>
              <w:rPr>
                <w:rFonts w:eastAsia="Times New Roman" w:cs="Arial" w:ascii="Arial" w:hAnsi="Arial"/>
                <w:color w:val="00000A"/>
              </w:rPr>
              <w:t>3.087</w:t>
            </w:r>
          </w:p>
        </w:tc>
        <w:tc>
          <w:tcPr>
            <w:tcW w:w="134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8" w:right="100" w:hanging="0"/>
              <w:jc w:val="center"/>
              <w:rPr>
                <w:rFonts w:ascii="Arial" w:hAnsi="Arial" w:eastAsia="Times New Roman" w:cs="Arial"/>
                <w:color w:val="00000A"/>
              </w:rPr>
            </w:pPr>
            <w:r>
              <w:rPr>
                <w:rFonts w:eastAsia="Times New Roman" w:cs="Arial" w:ascii="Arial" w:hAnsi="Arial"/>
                <w:color w:val="00000A"/>
              </w:rPr>
              <w:t>3.103</w:t>
            </w:r>
          </w:p>
        </w:tc>
        <w:tc>
          <w:tcPr>
            <w:tcW w:w="135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2"/>
              <w:widowControl w:val="false"/>
              <w:ind w:left="98" w:right="100" w:hanging="0"/>
              <w:jc w:val="center"/>
              <w:rPr>
                <w:rFonts w:ascii="Arial" w:hAnsi="Arial" w:eastAsia="Times New Roman" w:cs="Arial"/>
                <w:color w:val="00000A"/>
              </w:rPr>
            </w:pPr>
            <w:r>
              <w:rPr>
                <w:rFonts w:eastAsia="Times New Roman" w:cs="Arial" w:ascii="Arial" w:hAnsi="Arial"/>
                <w:color w:val="00000A"/>
              </w:rPr>
              <w:t>13</w:t>
            </w:r>
          </w:p>
        </w:tc>
      </w:tr>
    </w:tbl>
    <w:p>
      <w:pPr>
        <w:pStyle w:val="Normal2"/>
        <w:spacing w:lineRule="auto" w:line="360"/>
        <w:rPr>
          <w:rFonts w:ascii="Arial" w:hAnsi="Arial" w:eastAsia="Times New Roman" w:cs="Arial"/>
          <w:b/>
          <w:b/>
          <w:color w:val="00000A"/>
        </w:rPr>
      </w:pPr>
      <w:r>
        <w:rPr>
          <w:rFonts w:eastAsia="Times New Roman" w:cs="Arial" w:ascii="Arial" w:hAnsi="Arial"/>
          <w:b/>
          <w:color w:val="00000A"/>
        </w:rPr>
      </w:r>
    </w:p>
    <w:p>
      <w:pPr>
        <w:pStyle w:val="Normal2"/>
        <w:spacing w:lineRule="auto" w:line="360"/>
        <w:rPr>
          <w:rFonts w:ascii="Arial" w:hAnsi="Arial" w:eastAsia="Times New Roman" w:cs="Arial"/>
          <w:color w:val="00000A"/>
        </w:rPr>
      </w:pPr>
      <w:r>
        <w:rPr>
          <w:rFonts w:eastAsia="Times New Roman" w:cs="Arial" w:ascii="Arial" w:hAnsi="Arial"/>
          <w:b/>
          <w:color w:val="00000A"/>
        </w:rPr>
        <w:t>Informatização</w:t>
      </w:r>
    </w:p>
    <w:p>
      <w:pPr>
        <w:pStyle w:val="Normal2"/>
        <w:spacing w:lineRule="auto" w:line="360"/>
        <w:jc w:val="both"/>
        <w:rPr>
          <w:rFonts w:ascii="Arial" w:hAnsi="Arial" w:cs="Arial"/>
          <w:color w:val="00000A"/>
        </w:rPr>
      </w:pPr>
      <w:r>
        <w:rPr>
          <w:rFonts w:eastAsia="Times New Roman" w:cs="Arial" w:ascii="Arial" w:hAnsi="Arial"/>
          <w:color w:val="00000A"/>
        </w:rPr>
        <w:tab/>
        <w:t xml:space="preserve">O acervo do Sisbi é informatizado. O SIGA–Biblioteca é o software utilizado para gerenciamento dos serviços prestados pelas Bibliotecas da UFVJM e foi implantado em 27 de março de 2012. É um sistema </w:t>
      </w:r>
      <w:r>
        <w:rPr>
          <w:rFonts w:eastAsia="Times New Roman" w:cs="Arial" w:ascii="Arial" w:hAnsi="Arial"/>
          <w:i/>
          <w:color w:val="00000A"/>
        </w:rPr>
        <w:t xml:space="preserve">on line </w:t>
      </w:r>
      <w:r>
        <w:rPr>
          <w:rFonts w:eastAsia="Times New Roman" w:cs="Arial" w:ascii="Arial" w:hAnsi="Arial"/>
          <w:color w:val="00000A"/>
        </w:rPr>
        <w:t xml:space="preserve">onde se pode realizar consultas, renovações e reservas fora das Bibliotecas. Os dados cadastrais dos usuários são interligados com a Prograd, PRPPG e Progep. Emite relatórios gerenciais. </w:t>
      </w:r>
    </w:p>
    <w:p>
      <w:pPr>
        <w:pStyle w:val="Normal2"/>
        <w:spacing w:lineRule="auto" w:line="360"/>
        <w:ind w:firstLine="708"/>
        <w:jc w:val="both"/>
        <w:rPr>
          <w:rFonts w:ascii="Arial" w:hAnsi="Arial" w:cs="Arial"/>
          <w:color w:val="00000A"/>
        </w:rPr>
      </w:pPr>
      <w:r>
        <w:rPr>
          <w:rFonts w:eastAsia="Times New Roman" w:cs="Arial" w:ascii="Arial" w:hAnsi="Arial"/>
          <w:color w:val="00000A"/>
        </w:rPr>
        <w:t xml:space="preserve">O Sisbi está em fase de aquisição do software </w:t>
      </w:r>
      <w:r>
        <w:rPr>
          <w:rFonts w:eastAsia="Times New Roman" w:cs="Arial" w:ascii="Arial" w:hAnsi="Arial"/>
          <w:i/>
          <w:color w:val="00000A"/>
        </w:rPr>
        <w:t xml:space="preserve">PERGAMUM </w:t>
      </w:r>
      <w:r>
        <w:rPr>
          <w:rFonts w:eastAsia="Times New Roman" w:cs="Arial" w:ascii="Arial" w:hAnsi="Arial"/>
          <w:color w:val="00000A"/>
        </w:rPr>
        <w:t>que contempla as principais funções de uma Biblioteca, funcionando de forma integrada, com o objetivo de facilitar a gestão dos centros de informação, melhorando a rotina diária com os seus usuários. O objetivo do software é obter as melhores práticas de cada Instituição a fim de manter o software atualizado e atuante no mercado, tornando-o capaz de gerenciar qualquer tipo de documento, atendendo em excelência as Bibliotecas.</w:t>
      </w:r>
    </w:p>
    <w:p>
      <w:pPr>
        <w:pStyle w:val="Normal2"/>
        <w:spacing w:lineRule="auto" w:line="360" w:before="0" w:after="280"/>
        <w:jc w:val="both"/>
        <w:rPr>
          <w:rFonts w:ascii="Arial" w:hAnsi="Arial" w:eastAsia="Times New Roman" w:cs="Arial"/>
          <w:b/>
          <w:b/>
          <w:color w:val="00000A"/>
        </w:rPr>
      </w:pPr>
      <w:r>
        <w:rPr>
          <w:rFonts w:eastAsia="Times New Roman" w:cs="Arial" w:ascii="Arial" w:hAnsi="Arial"/>
          <w:b/>
          <w:color w:val="00000A"/>
        </w:rPr>
      </w:r>
    </w:p>
    <w:p>
      <w:pPr>
        <w:pStyle w:val="Normal2"/>
        <w:spacing w:lineRule="auto" w:line="360" w:before="0" w:after="280"/>
        <w:jc w:val="both"/>
        <w:rPr>
          <w:rFonts w:ascii="Arial" w:hAnsi="Arial" w:eastAsia="Times New Roman" w:cs="Arial"/>
          <w:color w:val="00000A"/>
        </w:rPr>
      </w:pPr>
      <w:r>
        <w:rPr>
          <w:rFonts w:eastAsia="Times New Roman" w:cs="Arial" w:ascii="Arial" w:hAnsi="Arial"/>
          <w:b/>
          <w:color w:val="00000A"/>
        </w:rPr>
        <w:t>Expansão e atualização</w:t>
      </w:r>
    </w:p>
    <w:p>
      <w:pPr>
        <w:pStyle w:val="Normal2"/>
        <w:spacing w:lineRule="auto" w:line="360"/>
        <w:ind w:left="15" w:hanging="15"/>
        <w:jc w:val="both"/>
        <w:rPr>
          <w:rFonts w:ascii="Arial" w:hAnsi="Arial" w:cs="Arial"/>
          <w:color w:val="00000A"/>
        </w:rPr>
      </w:pPr>
      <w:r>
        <w:rPr>
          <w:rFonts w:eastAsia="Times New Roman" w:cs="Arial" w:ascii="Arial" w:hAnsi="Arial"/>
          <w:color w:val="00000A"/>
          <w:highlight w:val="white"/>
        </w:rPr>
        <w:tab/>
        <w:tab/>
        <w:t>As bibliotecas universitárias são um reflexo direto da importância e relevância da qualidade do ensino, pesquisa e extensão no contexto das instituições.</w:t>
      </w:r>
    </w:p>
    <w:p>
      <w:pPr>
        <w:pStyle w:val="Normal2"/>
        <w:spacing w:lineRule="auto" w:line="360"/>
        <w:ind w:left="15" w:hanging="15"/>
        <w:jc w:val="both"/>
        <w:rPr>
          <w:rFonts w:ascii="Arial" w:hAnsi="Arial" w:eastAsia="Times New Roman" w:cs="Arial"/>
          <w:color w:val="00000A"/>
          <w:highlight w:val="white"/>
        </w:rPr>
      </w:pPr>
      <w:r>
        <w:rPr>
          <w:rFonts w:eastAsia="Times New Roman" w:cs="Arial" w:ascii="Arial" w:hAnsi="Arial"/>
          <w:color w:val="00000A"/>
          <w:highlight w:val="white"/>
        </w:rPr>
      </w:r>
    </w:p>
    <w:p>
      <w:pPr>
        <w:pStyle w:val="Normal2"/>
        <w:spacing w:lineRule="auto" w:line="360" w:before="0" w:after="140"/>
        <w:jc w:val="both"/>
        <w:rPr>
          <w:rFonts w:ascii="Arial" w:hAnsi="Arial" w:eastAsia="Times New Roman" w:cs="Arial"/>
          <w:color w:val="00000A"/>
        </w:rPr>
      </w:pPr>
      <w:r>
        <w:rPr>
          <w:rFonts w:eastAsia="Times New Roman" w:cs="Arial" w:ascii="Arial" w:hAnsi="Arial"/>
          <w:color w:val="00000A"/>
        </w:rPr>
        <w:tab/>
        <w:t xml:space="preserve">Os Projetos Pedagógicos dos Cursos contemplam as bibliografias básicas e complementares indicadas para todas as disciplinas. Com base nessas indicações bibliográficas, as Bibliotecas do SISBI adquirem os livros constantes dessas bibliografias </w:t>
      </w:r>
      <w:r>
        <w:rPr>
          <w:rFonts w:eastAsia="Times New Roman" w:cs="Arial" w:ascii="Arial" w:hAnsi="Arial"/>
          <w:color w:val="00000A"/>
          <w:highlight w:val="white"/>
        </w:rPr>
        <w:t>em número suficiente para atender aos alunos, professores e pesquisadores, de acordo com a própria determinação do MEC.</w:t>
      </w:r>
      <w:r>
        <w:rPr>
          <w:rFonts w:eastAsia="Times New Roman" w:cs="Arial" w:ascii="Arial" w:hAnsi="Arial"/>
          <w:color w:val="00000A"/>
        </w:rPr>
        <w:t xml:space="preserve"> Qualquer mudança no currículo dos cursos gera atualização das indicações bibliográficas que, por isso, estão contempladas, permanentemente, no processo de aquisição de livros e outros materiais bibliográficos.</w:t>
      </w:r>
    </w:p>
    <w:p>
      <w:pPr>
        <w:pStyle w:val="Normal2"/>
        <w:spacing w:lineRule="auto" w:line="360" w:before="0" w:after="140"/>
        <w:jc w:val="both"/>
        <w:rPr>
          <w:rFonts w:ascii="Arial" w:hAnsi="Arial" w:eastAsia="Times New Roman" w:cs="Arial"/>
          <w:color w:val="00000A"/>
        </w:rPr>
      </w:pPr>
      <w:r>
        <w:rPr>
          <w:rFonts w:eastAsia="Times New Roman" w:cs="Arial" w:ascii="Arial" w:hAnsi="Arial"/>
          <w:color w:val="00000A"/>
        </w:rPr>
        <w:tab/>
        <w:t>A Política de Formação, Desenvolvimento e Atualização do Acervo do Sistema de Bibliotecas está em fase de elaboração. A mesma, traça um planejamento de aquisição, expansão e atualização dos acervos, com revisão semestral dos quantitativos estabelecidos, procurando adequá-los aos atuais programas, às novas necessidades dos Cursos e aos padrões recomendados pelo MEC.</w:t>
      </w:r>
    </w:p>
    <w:p>
      <w:pPr>
        <w:pStyle w:val="Normal2"/>
        <w:spacing w:lineRule="auto" w:line="360" w:before="0" w:after="140"/>
        <w:jc w:val="both"/>
        <w:rPr>
          <w:rFonts w:ascii="Arial" w:hAnsi="Arial" w:eastAsia="Times New Roman" w:cs="Arial"/>
          <w:color w:val="00000A"/>
        </w:rPr>
      </w:pPr>
      <w:r>
        <w:rPr>
          <w:rFonts w:eastAsia="Times New Roman" w:cs="Arial" w:ascii="Arial" w:hAnsi="Arial"/>
          <w:color w:val="00000A"/>
        </w:rPr>
        <w:tab/>
        <w:t>Com essas medidas, procura-se assegurar uma evidente relação dos acervos das Bibliotecas do SISBI com os Projetos Pedagógicos dos Cursos, assim como, manter uma constante atualização das indicações bibliográficas das disciplinas que compõem a estrutura curricular de cada curso.</w:t>
      </w:r>
    </w:p>
    <w:p>
      <w:pPr>
        <w:pStyle w:val="Normal2"/>
        <w:spacing w:lineRule="auto" w:line="360" w:before="0" w:after="140"/>
        <w:jc w:val="both"/>
        <w:rPr>
          <w:rFonts w:ascii="Arial" w:hAnsi="Arial" w:eastAsia="Times New Roman" w:cs="Arial"/>
          <w:color w:val="00000A"/>
        </w:rPr>
      </w:pPr>
      <w:r>
        <w:rPr>
          <w:rFonts w:eastAsia="Times New Roman" w:cs="Arial" w:ascii="Arial" w:hAnsi="Arial"/>
          <w:color w:val="00000A"/>
        </w:rPr>
        <w:tab/>
        <w:t>Durante todo o decorrer do ano, a Universidade disponibiliza recursos financeiros no seu orçamento para aquisição de material bibliográfico permanente.</w:t>
      </w:r>
    </w:p>
    <w:p>
      <w:pPr>
        <w:pStyle w:val="Normal2"/>
        <w:spacing w:lineRule="auto" w:line="360" w:before="0" w:after="280"/>
        <w:jc w:val="both"/>
        <w:rPr>
          <w:rFonts w:ascii="Arial" w:hAnsi="Arial" w:eastAsia="Times New Roman" w:cs="Arial"/>
          <w:color w:val="00000A"/>
        </w:rPr>
      </w:pPr>
      <w:r>
        <w:rPr>
          <w:rFonts w:eastAsia="Times New Roman" w:cs="Arial" w:ascii="Arial" w:hAnsi="Arial"/>
          <w:color w:val="00000A"/>
        </w:rPr>
        <w:tab/>
        <w:t>Para acompanhar a evolução das tecnologias na relação ensino-aprendizagem, nota-se uma necessidade de investimentos em multimeios – suporte da informação com utilização de som, imagem e vídeo, bases de dados e documentos eletrônicos, ebooks e Bibliotecas digitais.</w:t>
      </w:r>
    </w:p>
    <w:p>
      <w:pPr>
        <w:pStyle w:val="Normal2"/>
        <w:spacing w:lineRule="auto" w:line="360" w:before="0" w:after="280"/>
        <w:jc w:val="both"/>
        <w:rPr>
          <w:rFonts w:ascii="Arial" w:hAnsi="Arial" w:eastAsia="Times New Roman" w:cs="Arial"/>
          <w:b/>
          <w:b/>
          <w:color w:val="00000A"/>
        </w:rPr>
      </w:pPr>
      <w:r>
        <w:rPr>
          <w:rFonts w:eastAsia="Times New Roman" w:cs="Arial" w:ascii="Arial" w:hAnsi="Arial"/>
          <w:b/>
          <w:color w:val="00000A"/>
        </w:rPr>
        <w:t>Periódicos</w:t>
      </w:r>
    </w:p>
    <w:p>
      <w:pPr>
        <w:pStyle w:val="Normal2"/>
        <w:spacing w:lineRule="auto" w:line="360" w:before="0" w:after="280"/>
        <w:ind w:firstLine="708"/>
        <w:jc w:val="both"/>
        <w:rPr>
          <w:rFonts w:ascii="Arial" w:hAnsi="Arial" w:eastAsia="Times New Roman" w:cs="Arial"/>
          <w:b/>
          <w:b/>
          <w:color w:val="00000A"/>
        </w:rPr>
      </w:pPr>
      <w:r>
        <w:rPr>
          <w:rFonts w:eastAsia="Times New Roman" w:cs="Arial" w:ascii="Arial" w:hAnsi="Arial"/>
          <w:color w:val="00000A"/>
        </w:rPr>
        <w:t>Acesso ao Portal de Periódicos, da Coordenação de Aperfeiçoamento de Pessoal de Nível Superior (Capes), que é uma biblioteca virtual que reúne e disponibiliza a instituições de ensino e pesquisa no Brasil o melhor da produção científica internacional. Ele conta com um acervo de mais de 37 mil títulos com texto completo, 128 bases referenciais, 11 bases dedicadas exclusivamente a patentes, além de livros, enciclopédias e obras de referência, normas técnicas, estatísticas e conteúdo audiovisual.</w:t>
      </w:r>
      <w:r>
        <w:rPr>
          <w:rFonts w:eastAsia="Times New Roman" w:cs="Arial" w:ascii="Arial" w:hAnsi="Arial"/>
          <w:b/>
          <w:color w:val="00000A"/>
        </w:rPr>
        <w:br/>
        <w:tab/>
      </w:r>
      <w:r>
        <w:rPr>
          <w:rFonts w:eastAsia="Times New Roman" w:cs="Arial" w:ascii="Arial" w:hAnsi="Arial"/>
          <w:color w:val="00000A"/>
        </w:rPr>
        <w:t>O Portal de Periódicos atende às demandas dos setores acadêmico, produtivo e governamental e propicia o aumento da produção científica nacional e o crescimento da inserção científica brasileira no exterior. É, portanto, uma ferramenta fundamental às atribuições da Capes de fomento, avaliação e regulação dos cursos de Pós-Graduação e desenvolvimento da pesquisa científica no Brasil.</w:t>
      </w:r>
    </w:p>
    <w:p>
      <w:pPr>
        <w:pStyle w:val="Normal2"/>
        <w:spacing w:lineRule="auto" w:line="360" w:before="0" w:after="280"/>
        <w:jc w:val="both"/>
        <w:rPr>
          <w:rFonts w:ascii="Arial" w:hAnsi="Arial" w:eastAsia="Times New Roman" w:cs="Arial"/>
          <w:b/>
          <w:b/>
          <w:color w:val="00000A"/>
        </w:rPr>
      </w:pPr>
      <w:r>
        <w:rPr>
          <w:rFonts w:eastAsia="Times New Roman" w:cs="Arial" w:ascii="Arial" w:hAnsi="Arial"/>
          <w:b/>
          <w:color w:val="00000A"/>
        </w:rPr>
        <w:t>Repositório Institucional</w:t>
      </w:r>
    </w:p>
    <w:p>
      <w:pPr>
        <w:pStyle w:val="Normal2"/>
        <w:spacing w:lineRule="auto" w:line="360" w:before="0" w:after="280"/>
        <w:jc w:val="both"/>
        <w:rPr>
          <w:rFonts w:ascii="Arial" w:hAnsi="Arial" w:cs="Arial"/>
          <w:color w:val="00000A"/>
        </w:rPr>
      </w:pPr>
      <w:r>
        <w:rPr>
          <w:rFonts w:eastAsia="Times New Roman" w:cs="Arial" w:ascii="Arial" w:hAnsi="Arial"/>
          <w:color w:val="00000A"/>
        </w:rPr>
        <w:tab/>
        <w:t xml:space="preserve">O RI/UFVJM tem por objetivos a gestão, preservação e ampla disseminação da produção científica da Universidade permitindo, quando possível, acesso ao conteúdo em formato integral. O Repositório Institucional é uma ferramenta que visa armazenar e disseminar, através de acesso livre, a produção científica da Comunidade Acadêmica da Instituição. </w:t>
      </w:r>
    </w:p>
    <w:p>
      <w:pPr>
        <w:pStyle w:val="Normal2"/>
        <w:jc w:val="center"/>
        <w:rPr>
          <w:rFonts w:ascii="Arial" w:hAnsi="Arial" w:eastAsia="Times New Roman" w:cs="Arial"/>
          <w:b/>
          <w:b/>
          <w:color w:val="00000A"/>
        </w:rPr>
      </w:pPr>
      <w:r>
        <w:rPr>
          <w:rFonts w:eastAsia="Times New Roman" w:cs="Arial" w:ascii="Arial" w:hAnsi="Arial"/>
          <w:b/>
          <w:color w:val="00000A"/>
        </w:rPr>
        <w:t>PLANO DE DESENVOLVIMENTO INSTITUCIONAL – 2017-2021</w:t>
      </w:r>
    </w:p>
    <w:p>
      <w:pPr>
        <w:pStyle w:val="Normal2"/>
        <w:spacing w:lineRule="auto" w:line="360" w:before="0" w:after="280"/>
        <w:jc w:val="center"/>
        <w:rPr>
          <w:rFonts w:ascii="Arial" w:hAnsi="Arial" w:eastAsia="Times New Roman" w:cs="Arial"/>
          <w:b/>
          <w:b/>
          <w:color w:val="00000A"/>
        </w:rPr>
      </w:pPr>
      <w:r>
        <w:rPr>
          <w:rFonts w:eastAsia="Times New Roman" w:cs="Arial" w:ascii="Arial" w:hAnsi="Arial"/>
          <w:b/>
          <w:color w:val="00000A"/>
        </w:rPr>
      </w:r>
    </w:p>
    <w:p>
      <w:pPr>
        <w:pStyle w:val="Normal2"/>
        <w:spacing w:lineRule="auto" w:line="360" w:before="0" w:after="280"/>
        <w:jc w:val="center"/>
        <w:rPr>
          <w:rFonts w:ascii="Arial" w:hAnsi="Arial" w:eastAsia="Times New Roman" w:cs="Arial"/>
          <w:b/>
          <w:b/>
          <w:color w:val="00000A"/>
        </w:rPr>
      </w:pPr>
      <w:r>
        <w:rPr>
          <w:rFonts w:eastAsia="Times New Roman" w:cs="Arial" w:ascii="Arial" w:hAnsi="Arial"/>
          <w:b/>
          <w:color w:val="00000A"/>
        </w:rPr>
        <w:t>METAS E AÇÕES</w:t>
      </w:r>
    </w:p>
    <w:p>
      <w:pPr>
        <w:pStyle w:val="Normal2"/>
        <w:spacing w:lineRule="auto" w:line="360" w:before="0" w:after="280"/>
        <w:jc w:val="both"/>
        <w:rPr>
          <w:rFonts w:ascii="Arial" w:hAnsi="Arial" w:eastAsia="Times New Roman" w:cs="Arial"/>
          <w:color w:val="00000A"/>
        </w:rPr>
      </w:pPr>
      <w:r>
        <w:rPr>
          <w:rFonts w:eastAsia="Times New Roman" w:cs="Arial" w:ascii="Arial" w:hAnsi="Arial"/>
          <w:color w:val="00000A"/>
        </w:rPr>
        <w:tab/>
        <w:t>A última parte desta sessão traz, no quadro a seguir, as propostas que permanecerão no próximo quadriênio, bem como novas propostas. As metas estão divididas em cinco eixos, cada uma delas com uma série de ações que visam alcançar o objetivo proposto para cada uma: (1) Melhoria dos serviços e produtos; (2) Educação continuada para os usuários das bibliotecas; (3) Atualização e manutenção do acervo; (4) Modernização do sistema de automação das bibliotecas. (5) Adequação das instalações físicas das Bibliotecas.</w:t>
      </w:r>
    </w:p>
    <w:p>
      <w:pPr>
        <w:pStyle w:val="Normal2"/>
        <w:rPr>
          <w:rFonts w:ascii="Arial" w:hAnsi="Arial" w:eastAsia="Times New Roman" w:cs="Arial"/>
          <w:color w:val="00000A"/>
        </w:rPr>
      </w:pPr>
      <w:r>
        <w:rPr>
          <w:rFonts w:eastAsia="Times New Roman" w:cs="Arial" w:ascii="Arial" w:hAnsi="Arial"/>
          <w:color w:val="00000A"/>
        </w:rPr>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Meta 1: Melhoria dos serviços e produtos</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Objetivo:</w:t>
      </w:r>
      <w:r>
        <w:rPr>
          <w:rFonts w:eastAsia="Times New Roman" w:cs="Arial" w:ascii="Arial" w:hAnsi="Arial"/>
          <w:color w:val="00000A"/>
        </w:rPr>
        <w:t xml:space="preserve"> Melhorar a qualidade dos serviços e produtos ofertados.</w:t>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Ações:</w:t>
      </w:r>
      <w:r>
        <w:rPr>
          <w:rFonts w:eastAsia="Times New Roman" w:cs="Arial" w:ascii="Arial" w:hAnsi="Arial"/>
          <w:color w:val="00000A"/>
        </w:rPr>
        <w:t xml:space="preserve">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1. Incentivar a realização de diagnósticos de avaliação dos acervos, produtos e serviços ofertados pelas Bibliotecas do SISBI;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2. Promover ações de integração das bibliotecas com a comunidade universitária, visando atender suas demandas;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3. Aprovar a proposta do Novo Regimento do Sistema de Bibliotecas no CONSU (setembro de 2017).</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6. Reestruturar a página do SISBI.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 xml:space="preserve">Meta 2: Incentivo para capacitação de servidores </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Objetivo:</w:t>
      </w:r>
      <w:r>
        <w:rPr>
          <w:rFonts w:eastAsia="Times New Roman" w:cs="Arial" w:ascii="Arial" w:hAnsi="Arial"/>
          <w:color w:val="00000A"/>
        </w:rPr>
        <w:t xml:space="preserve"> Incentivar a capacitação os servidores do SISBI </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 xml:space="preserve">Ações: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1. Solicitar junto a CIS curso de conservação preventiva do acervo;</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2. Mapear cursos e profissionais capacitados que oferecem curso na área;</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3. Estimular a participação de servidores em congressos, eventos e outros relacionados à área.</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 </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 xml:space="preserve">Meta 3: Atualização e manutenção do acervo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Objetivo:</w:t>
      </w:r>
      <w:r>
        <w:rPr>
          <w:rFonts w:eastAsia="Times New Roman" w:cs="Arial" w:ascii="Arial" w:hAnsi="Arial"/>
          <w:color w:val="00000A"/>
        </w:rPr>
        <w:t xml:space="preserve"> Garantir a manutenção e atualização do acervo informacional das bibliotecas. </w:t>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Ações:</w:t>
      </w:r>
      <w:r>
        <w:rPr>
          <w:rFonts w:eastAsia="Times New Roman" w:cs="Arial" w:ascii="Arial" w:hAnsi="Arial"/>
          <w:color w:val="00000A"/>
        </w:rPr>
        <w:t xml:space="preserve">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1. Atender às bibliografias básicas e complementares dos cursos em números suficientes para atender a determinação do MEC;</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2. Manter o acervo atualizado e condizente com as necessidades dos cursos;</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3. Contemplar a demanda de usuários</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4.  Adquirir livros eletrônicos ou biblioteca virtual;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5. Modernizar e tornar mais eficiente e eficaz o sitema de segurança do acervo e de todo o patrimônio pertencente às bibliotecas.</w:t>
      </w:r>
    </w:p>
    <w:p>
      <w:pPr>
        <w:pStyle w:val="Normal2"/>
        <w:spacing w:lineRule="auto" w:line="360"/>
        <w:jc w:val="both"/>
        <w:rPr>
          <w:rFonts w:ascii="Arial" w:hAnsi="Arial" w:eastAsia="Times New Roman" w:cs="Arial"/>
          <w:color w:val="00000A"/>
        </w:rPr>
      </w:pPr>
      <w:r>
        <w:rPr>
          <w:rFonts w:eastAsia="Times New Roman" w:cs="Arial" w:ascii="Arial" w:hAnsi="Arial"/>
          <w:color w:val="00000A"/>
        </w:rPr>
      </w:r>
    </w:p>
    <w:p>
      <w:pPr>
        <w:pStyle w:val="Normal2"/>
        <w:spacing w:lineRule="auto" w:line="360"/>
        <w:jc w:val="both"/>
        <w:rPr>
          <w:rFonts w:ascii="Arial" w:hAnsi="Arial" w:eastAsia="Times New Roman" w:cs="Arial"/>
          <w:color w:val="00000A"/>
        </w:rPr>
      </w:pPr>
      <w:r>
        <w:rPr>
          <w:rFonts w:eastAsia="Times New Roman" w:cs="Arial" w:ascii="Arial" w:hAnsi="Arial"/>
          <w:b/>
          <w:color w:val="00000A"/>
        </w:rPr>
        <w:t xml:space="preserve">Meta 4: Implantação do novo </w:t>
      </w:r>
      <w:r>
        <w:rPr>
          <w:rFonts w:eastAsia="Times New Roman" w:cs="Arial" w:ascii="Arial" w:hAnsi="Arial"/>
          <w:b/>
          <w:i/>
          <w:color w:val="00000A"/>
        </w:rPr>
        <w:t xml:space="preserve">software </w:t>
      </w:r>
      <w:r>
        <w:rPr>
          <w:rFonts w:eastAsia="Times New Roman" w:cs="Arial" w:ascii="Arial" w:hAnsi="Arial"/>
          <w:b/>
          <w:color w:val="00000A"/>
        </w:rPr>
        <w:t>de gestão das bibliotecas</w:t>
      </w:r>
      <w:r>
        <w:rPr>
          <w:rFonts w:eastAsia="Times New Roman" w:cs="Arial" w:ascii="Arial" w:hAnsi="Arial"/>
          <w:color w:val="00000A"/>
        </w:rPr>
        <w:t xml:space="preserve"> </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 xml:space="preserve">Objetivo: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Dar continuidade processo de aquisição d um novo software de gestão do SISBI.</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 xml:space="preserve">Ações: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1. Acompanhar o processo de licitação do software;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2. Realizar treinamento de servidores para utilização do software;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3. Acompanhar o processo de migração do </w:t>
      </w:r>
      <w:r>
        <w:rPr>
          <w:rFonts w:eastAsia="Times New Roman" w:cs="Arial" w:ascii="Arial" w:hAnsi="Arial"/>
          <w:i/>
          <w:color w:val="00000A"/>
        </w:rPr>
        <w:t>software.</w:t>
      </w:r>
    </w:p>
    <w:p>
      <w:pPr>
        <w:pStyle w:val="Normal2"/>
        <w:spacing w:lineRule="auto" w:line="360"/>
        <w:jc w:val="both"/>
        <w:rPr>
          <w:rFonts w:ascii="Arial" w:hAnsi="Arial" w:eastAsia="Times New Roman" w:cs="Arial"/>
          <w:i/>
          <w:i/>
          <w:color w:val="00000A"/>
        </w:rPr>
      </w:pPr>
      <w:r>
        <w:rPr>
          <w:rFonts w:eastAsia="Times New Roman" w:cs="Arial" w:ascii="Arial" w:hAnsi="Arial"/>
          <w:i/>
          <w:color w:val="00000A"/>
        </w:rPr>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Meta 5: Adequação das instalações físicas</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Objetivo:</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Adequar as instalações físicas das Bibliotecas</w:t>
      </w:r>
    </w:p>
    <w:p>
      <w:pPr>
        <w:pStyle w:val="Normal2"/>
        <w:spacing w:lineRule="auto" w:line="360"/>
        <w:jc w:val="both"/>
        <w:rPr>
          <w:rFonts w:ascii="Arial" w:hAnsi="Arial" w:eastAsia="Times New Roman" w:cs="Arial"/>
          <w:b/>
          <w:b/>
          <w:color w:val="00000A"/>
        </w:rPr>
      </w:pPr>
      <w:r>
        <w:rPr>
          <w:rFonts w:eastAsia="Times New Roman" w:cs="Arial" w:ascii="Arial" w:hAnsi="Arial"/>
          <w:b/>
          <w:color w:val="00000A"/>
        </w:rPr>
        <w:t xml:space="preserve">Ações: </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1. Adequar o prédio da Biblioteca Central em Diamantina em relação ao isolamento acústico (segundo semestre de 2017);</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 xml:space="preserve">2. Fiscalizar, em conjunto com os bibliotecários responsáveis, a construção das Bibliotecas nos </w:t>
      </w:r>
      <w:r>
        <w:rPr>
          <w:rFonts w:eastAsia="Times New Roman" w:cs="Arial" w:ascii="Arial" w:hAnsi="Arial"/>
          <w:i/>
          <w:color w:val="00000A"/>
        </w:rPr>
        <w:t xml:space="preserve">campi </w:t>
      </w:r>
      <w:r>
        <w:rPr>
          <w:rFonts w:eastAsia="Times New Roman" w:cs="Arial" w:ascii="Arial" w:hAnsi="Arial"/>
          <w:color w:val="00000A"/>
        </w:rPr>
        <w:t>de Janaúba e Unaí;</w:t>
      </w:r>
    </w:p>
    <w:p>
      <w:pPr>
        <w:pStyle w:val="Normal2"/>
        <w:spacing w:lineRule="auto" w:line="360"/>
        <w:jc w:val="both"/>
        <w:rPr>
          <w:rFonts w:ascii="Arial" w:hAnsi="Arial" w:eastAsia="Times New Roman" w:cs="Arial"/>
          <w:color w:val="00000A"/>
        </w:rPr>
      </w:pPr>
      <w:r>
        <w:rPr>
          <w:rFonts w:eastAsia="Times New Roman" w:cs="Arial" w:ascii="Arial" w:hAnsi="Arial"/>
          <w:color w:val="00000A"/>
        </w:rPr>
        <w:t>3. Remanejar o mobiliário das Bibliotecas para atender demanda de todos os Campi.</w:t>
      </w:r>
    </w:p>
    <w:p>
      <w:pPr>
        <w:pStyle w:val="Normal2"/>
        <w:spacing w:lineRule="auto" w:line="360"/>
        <w:jc w:val="both"/>
        <w:rPr>
          <w:rFonts w:ascii="Arial" w:hAnsi="Arial" w:eastAsia="Times New Roman" w:cs="Arial"/>
          <w:color w:val="0070C0"/>
        </w:rPr>
      </w:pPr>
      <w:r>
        <w:rPr>
          <w:rFonts w:eastAsia="Times New Roman" w:cs="Arial" w:ascii="Arial" w:hAnsi="Arial"/>
          <w:color w:val="0070C0"/>
        </w:rPr>
      </w:r>
    </w:p>
    <w:p>
      <w:pPr>
        <w:pStyle w:val="Normal1"/>
        <w:spacing w:lineRule="auto" w:line="360"/>
        <w:jc w:val="both"/>
        <w:rPr>
          <w:rFonts w:ascii="Arial" w:hAnsi="Arial" w:cs="Arial"/>
          <w:b/>
          <w:b/>
          <w:bCs/>
        </w:rPr>
      </w:pPr>
      <w:r>
        <w:rPr>
          <w:rFonts w:cs="Arial"/>
          <w:b/>
          <w:bCs/>
        </w:rPr>
        <w:t xml:space="preserve">3.4. Gestão Orçamentária e Financeira </w:t>
      </w:r>
    </w:p>
    <w:p>
      <w:pPr>
        <w:pStyle w:val="Normal1"/>
        <w:spacing w:lineRule="auto" w:line="360"/>
        <w:jc w:val="both"/>
        <w:rPr>
          <w:rFonts w:ascii="Arial" w:hAnsi="Arial" w:cs="Arial"/>
          <w:b/>
          <w:b/>
          <w:bCs/>
        </w:rPr>
      </w:pPr>
      <w:r>
        <w:rPr>
          <w:rFonts w:cs="Arial"/>
          <w:b/>
          <w:bCs/>
        </w:rPr>
      </w:r>
    </w:p>
    <w:p>
      <w:pPr>
        <w:pStyle w:val="Normal1"/>
        <w:spacing w:lineRule="auto" w:line="360"/>
        <w:ind w:firstLine="708"/>
        <w:jc w:val="both"/>
        <w:rPr>
          <w:rFonts w:ascii="Arial" w:hAnsi="Arial" w:cs="Arial"/>
        </w:rPr>
      </w:pPr>
      <w:r>
        <w:rPr>
          <w:rFonts w:cs="Arial"/>
          <w:shd w:fill="FFFFFF" w:val="clear"/>
        </w:rPr>
        <w:t>O planejamento orçamentário e financeiro da instituição deve alinhar-se com o PDI, tendo por objetivo o desenvolvimento das ações no ensino de graduação e pós-graduação, bem como o fomento às ações de pesquisa, extensão e inovação, por meio de receitas provenientes de recursos federais, de outras fontes e de recursos próprios.</w:t>
      </w:r>
    </w:p>
    <w:p>
      <w:pPr>
        <w:pStyle w:val="Normal1"/>
        <w:spacing w:lineRule="auto" w:line="360"/>
        <w:ind w:firstLine="708"/>
        <w:jc w:val="both"/>
        <w:rPr>
          <w:rFonts w:ascii="Arial" w:hAnsi="Arial" w:cs="Arial"/>
        </w:rPr>
      </w:pPr>
      <w:r>
        <w:rPr>
          <w:rFonts w:cs="Arial"/>
          <w:shd w:fill="FFFFFF" w:val="clear"/>
        </w:rPr>
        <w:t>As práticas de gestão do orçamento e das finanças devem estar focadas no aprimoramento de suas capacidades gerenciais, com vistas a obter acréscimos em sua receita orçamentária compatíveis com o desenvolvimento e crescimento institucionais.</w:t>
      </w:r>
    </w:p>
    <w:p>
      <w:pPr>
        <w:pStyle w:val="Normal1"/>
        <w:spacing w:lineRule="auto" w:line="360"/>
        <w:ind w:firstLine="708"/>
        <w:jc w:val="both"/>
        <w:rPr>
          <w:rFonts w:ascii="Arial" w:hAnsi="Arial" w:cs="Arial"/>
        </w:rPr>
      </w:pPr>
      <w:r>
        <w:rPr>
          <w:rFonts w:cs="Arial"/>
          <w:shd w:fill="FFFFFF" w:val="clear"/>
        </w:rPr>
        <w:t>O orçamento das instituições federais de ensino superior é composto de forma mais representativa pela Matriz de Orçamento de Custeio e Capital - OCC (Matriz Andifes) e por programas especiais do governo, projetos específicos, rendas próprias da instituição e emendas parlamentares. Sua utilização centra-se na manutenção e expansão das atividades da instituição, em todos os níveis.</w:t>
      </w:r>
    </w:p>
    <w:p>
      <w:pPr>
        <w:pStyle w:val="Normal1"/>
        <w:spacing w:lineRule="auto" w:line="360"/>
        <w:ind w:firstLine="708"/>
        <w:jc w:val="both"/>
        <w:rPr>
          <w:rFonts w:ascii="Arial" w:hAnsi="Arial" w:cs="Arial"/>
        </w:rPr>
      </w:pPr>
      <w:r>
        <w:rPr>
          <w:rFonts w:cs="Arial"/>
          <w:shd w:fill="FFFFFF" w:val="clear"/>
        </w:rPr>
        <w:t>Parte dos recursos é gerenciada de forma descentralizada e a UFVJM compartilha a responsabilidade com as unidades acadêmicas, pró-reitorias e demais setores, tanto no planejamento quanto na utilização eficiente dos recursos. Nesse contexto, será importante ampliar gradativamente a descentralização de outros grupos de recursos orçamentários, pois seu gerenciamento pelas próprias unidades acadêmicas, conhecedoras de suas necessidades, propicia mais efetividade na melhoria do ensino, impactando no avanço dos indicadores de qualidade dos cursos e da instituição, em função de melhores resultados nas avaliações das diversas variáveis e elementos que compõem os índices de qualidade do ensino superior.</w:t>
      </w:r>
    </w:p>
    <w:p>
      <w:pPr>
        <w:pStyle w:val="Normal1"/>
        <w:spacing w:lineRule="auto" w:line="360"/>
        <w:ind w:firstLine="708"/>
        <w:jc w:val="both"/>
        <w:rPr>
          <w:rFonts w:ascii="Arial" w:hAnsi="Arial" w:cs="Arial"/>
        </w:rPr>
      </w:pPr>
      <w:r>
        <w:rPr>
          <w:rFonts w:cs="Arial"/>
          <w:shd w:fill="FFFFFF" w:val="clear"/>
        </w:rPr>
        <w:t>A melhoria do ensino e dos índices de classificação resulta em aumento nos recursos provenientes da Matriz OCC, em virtude da melhoria das variáveis, como o número de alunos ingressantes e concluintes, as taxas de retenção e evasão, entre outros.</w:t>
      </w:r>
    </w:p>
    <w:p>
      <w:pPr>
        <w:pStyle w:val="Normal1"/>
        <w:spacing w:lineRule="auto" w:line="360"/>
        <w:ind w:firstLine="708"/>
        <w:jc w:val="both"/>
        <w:rPr>
          <w:rFonts w:ascii="Arial" w:hAnsi="Arial" w:cs="Arial"/>
        </w:rPr>
      </w:pPr>
      <w:r>
        <w:rPr>
          <w:rFonts w:cs="Arial"/>
          <w:shd w:fill="FFFFFF" w:val="clear"/>
        </w:rPr>
        <w:t>Assim, é essencial a adoção de ações que implementem políticas focadas na melhoria do ensino, que é a base para a composição e a expansão da matriz orçamentária da instituição. Os atos de gestão devem estar alinhados com os princípios da administração pública gerencial, uma vez que seu foco recai sobre o alcance de resultados e prestação de serviços públicos eficientes e de qualidade.</w:t>
      </w:r>
    </w:p>
    <w:p>
      <w:pPr>
        <w:pStyle w:val="Normal1"/>
        <w:spacing w:lineRule="auto" w:line="360"/>
        <w:ind w:firstLine="708"/>
        <w:jc w:val="both"/>
        <w:rPr>
          <w:rFonts w:ascii="Arial" w:hAnsi="Arial" w:cs="Arial"/>
        </w:rPr>
      </w:pPr>
      <w:r>
        <w:rPr>
          <w:rFonts w:cs="Arial"/>
          <w:shd w:fill="FFFFFF" w:val="clear"/>
        </w:rPr>
        <w:t>Os recursos provenientes de receita própria resultam de sua atuação econômica no mercado, constituindo-se em uma importante fonte de recursos para a instituição como forma de complementação de seu orçamento. Trata-se de receitas obtidas por meio da prestação de serviços, de vendas de resíduos das pesquisas desenvolvidas no campo agropecuário, de receitas patrimoniais e de outras receitas correntes.</w:t>
      </w:r>
    </w:p>
    <w:p>
      <w:pPr>
        <w:pStyle w:val="Normal1"/>
        <w:spacing w:lineRule="auto" w:line="360"/>
        <w:ind w:firstLine="708"/>
        <w:jc w:val="both"/>
        <w:rPr>
          <w:rFonts w:ascii="Arial" w:hAnsi="Arial" w:cs="Arial"/>
        </w:rPr>
      </w:pPr>
      <w:r>
        <w:rPr>
          <w:rFonts w:cs="Arial"/>
          <w:shd w:fill="FFFFFF" w:val="clear"/>
        </w:rPr>
        <w:t>A previsão orçamentária das receitas próprias, para fins de inclusão na proposta orçamentária, é baseada no desempenho da instituição em anos anteriores, somando-se todas as outras receitas provenientes de projetos específicos aprovados.</w:t>
      </w:r>
    </w:p>
    <w:p>
      <w:pPr>
        <w:pStyle w:val="Normal1"/>
        <w:spacing w:lineRule="auto" w:line="360"/>
        <w:ind w:firstLine="708"/>
        <w:jc w:val="both"/>
        <w:rPr>
          <w:rFonts w:ascii="Arial" w:hAnsi="Arial" w:cs="Arial"/>
        </w:rPr>
      </w:pPr>
      <w:r>
        <w:rPr>
          <w:rFonts w:cs="Arial"/>
          <w:shd w:fill="FFFFFF" w:val="clear"/>
        </w:rPr>
        <w:t>Os recursos orçamentários necessários para a manutenção das atividades de ensino, nas universidades federais, são denominados Outros Custeios e Capital (OCC) e correspondem ao orçamento total da instituição. Esses recursos são repassados com base num modelo matemático, baseado na produtividade acadêmica da universidade.</w:t>
      </w:r>
    </w:p>
    <w:p>
      <w:pPr>
        <w:pStyle w:val="Normal1"/>
        <w:spacing w:lineRule="auto" w:line="360"/>
        <w:ind w:firstLine="708"/>
        <w:jc w:val="both"/>
        <w:rPr>
          <w:rFonts w:ascii="Arial" w:hAnsi="Arial" w:cs="Arial"/>
        </w:rPr>
      </w:pPr>
      <w:r>
        <w:rPr>
          <w:rFonts w:cs="Arial"/>
          <w:shd w:fill="FFFFFF" w:val="clear"/>
        </w:rPr>
        <w:t>Assim, o orçamento anual é definido com base na Matriz de Alocação de Recursos Orçamentários das IFES. Esse modelo é utilizado pela Secretaria de Educação Superior do Ministério da Educação para a distribuição do orçamento entre as universidades federais.</w:t>
      </w:r>
    </w:p>
    <w:p>
      <w:pPr>
        <w:pStyle w:val="Normal1"/>
        <w:spacing w:lineRule="auto" w:line="360"/>
        <w:ind w:firstLine="708"/>
        <w:jc w:val="both"/>
        <w:rPr>
          <w:rFonts w:ascii="Arial" w:hAnsi="Arial" w:cs="Arial"/>
        </w:rPr>
      </w:pPr>
      <w:r>
        <w:rPr>
          <w:rFonts w:cs="Arial"/>
          <w:shd w:fill="FFFFFF" w:val="clear"/>
        </w:rPr>
        <w:t>Essa matriz considera a performance de diversos indicadores, calculados a partir de uma base anual de dados acadêmicos. O indicador Número de Alunos Equivalentes é o principal indicador utilizado para fins de análise dos custos de manutenção das IFES e integra quatro indicadores parciais referentes às atividades educacionais: graduação; mestrado e doutorado stricto sensu; e residência médica.</w:t>
      </w:r>
    </w:p>
    <w:p>
      <w:pPr>
        <w:pStyle w:val="Normal1"/>
        <w:spacing w:lineRule="auto" w:line="360"/>
        <w:ind w:firstLine="708"/>
        <w:jc w:val="both"/>
        <w:rPr>
          <w:rFonts w:ascii="Arial" w:hAnsi="Arial" w:cs="Arial"/>
        </w:rPr>
      </w:pPr>
      <w:r>
        <w:rPr>
          <w:rFonts w:cs="Arial"/>
          <w:shd w:fill="FFFFFF" w:val="clear"/>
        </w:rPr>
        <w:t>Com a aplicação desse modelo, são definidos os valores para os orçamentos de manutenção e de investimento, números com base nos quais é formulada a proposta orçamentária para a utilização desses recursos. Dessa forma, o volume de recursos orçamentários para fazer jus às despesas de custeio e investimento é definido, fundamentalmente, pelo conjunto de indicadores que compõe a Matriz de Distribuição de OCC.</w:t>
      </w:r>
    </w:p>
    <w:p>
      <w:pPr>
        <w:pStyle w:val="Normal1"/>
        <w:spacing w:lineRule="auto" w:line="360"/>
        <w:ind w:firstLine="708"/>
        <w:jc w:val="both"/>
        <w:rPr>
          <w:rFonts w:ascii="Arial" w:hAnsi="Arial" w:cs="Arial"/>
        </w:rPr>
      </w:pPr>
      <w:r>
        <w:rPr>
          <w:rFonts w:cs="Arial"/>
          <w:shd w:fill="FFFFFF" w:val="clear"/>
        </w:rPr>
        <w:t>Além disso, o envolvimento da direção executiva da instituição e das unidades acadêmicas na busca de outros meios de aprimoramento do ensino, da pesquisa, da inovação, da extensão, do desenvolvimento de pessoas, da infraestrutura e do gerenciamento da universidade, garante o complemento necessário ao orçamento da instituição. Trata-se de recursos provenientes de descentralização de créditos, quando ocorre a transferência de créditos orçamentários mediante a aprovação de programas de trabalho junto ao Ministério da Educação e outros, por meio de Termos de Execução Descentralizada (TED). Há ainda a possibilidade de obtenção de recursos provenientes do apoio direto de parlamentares federais, por meio de emendas parlamentares que resultam em transferências intergovernamentais com descentralização de recursos federais, acrescidas à Lei Orçamentária Anual, por solicitação de bancadas, comissões ou parlamentares individuais.</w:t>
      </w:r>
    </w:p>
    <w:p>
      <w:pPr>
        <w:pStyle w:val="Normal1"/>
        <w:spacing w:lineRule="auto" w:line="360"/>
        <w:ind w:firstLine="708"/>
        <w:jc w:val="both"/>
        <w:rPr>
          <w:rFonts w:ascii="Arial" w:hAnsi="Arial" w:cs="Arial"/>
        </w:rPr>
      </w:pPr>
      <w:r>
        <w:rPr>
          <w:rFonts w:cs="Arial"/>
          <w:shd w:fill="FFFFFF" w:val="clear"/>
        </w:rPr>
        <w:t>Assim, considerando-se que a base para financiar a manutenção das instituições públicas de ensino superior é a Matriz OCC, cujos recursos, atualmente, têm sido insuficientes para viabilizar o seu plano de expansão, a instituição deve focar-se na melhoria dos indicadores que compõem o cálculo da matriz, especialmente no aumento do número de ingressantes e de concluintes, além da obtenção contínua de, cada vez, melhores índices de eficiência acadêmico-pedagógica, com foco na redução da evasão e na retenção de estudantes.</w:t>
      </w:r>
    </w:p>
    <w:p>
      <w:pPr>
        <w:pStyle w:val="Normal1"/>
        <w:spacing w:lineRule="auto" w:line="360"/>
        <w:ind w:firstLine="708"/>
        <w:jc w:val="both"/>
        <w:rPr>
          <w:rFonts w:ascii="Arial" w:hAnsi="Arial" w:cs="Arial"/>
        </w:rPr>
      </w:pPr>
      <w:r>
        <w:rPr>
          <w:rFonts w:cs="Arial"/>
          <w:shd w:fill="FFFFFF" w:val="clear"/>
        </w:rPr>
        <w:t>Em paralelo, faz-se necessária a apresentação, junto ao Ministério da Educação e a outros órgãos de fomento, de planos de trabalho que busquem justificar o investimento em projetos importantes para a instituição, bem como propostas de emendas e termos de execução descentralizada, possibilitando a complementação dos recursos orçamentários necessários para o cumprimento das metas propostas pelo PDI em vigor.</w:t>
      </w:r>
    </w:p>
    <w:p>
      <w:pPr>
        <w:pStyle w:val="Normal1"/>
        <w:spacing w:lineRule="auto" w:line="360"/>
        <w:ind w:firstLine="708"/>
        <w:jc w:val="both"/>
        <w:rPr>
          <w:rFonts w:ascii="Arial" w:hAnsi="Arial" w:cs="Arial"/>
          <w:highlight w:val="white"/>
        </w:rPr>
      </w:pPr>
      <w:r>
        <w:rPr>
          <w:rFonts w:cs="Arial"/>
          <w:shd w:fill="FFFFFF" w:val="clear"/>
        </w:rPr>
        <w:t>Para que os objetivos sejam alcançados, é fundamental que os gestores realizem o planejamento e a execução controlada de suas ações para o contínuo aperfeiçoamento do desempenho institucional, considerando-se as variáveis que compõem a Matriz de Alocação de Recursos Orçamentários das IFES e todos os demais elementos que podem resultar em incrementos orçamentários para a manutenção e implemento de suas atividades institucionais.</w:t>
      </w:r>
    </w:p>
    <w:p>
      <w:pPr>
        <w:pStyle w:val="Normal1"/>
        <w:spacing w:lineRule="auto" w:line="360"/>
        <w:jc w:val="both"/>
        <w:rPr>
          <w:rFonts w:ascii="Arial" w:hAnsi="Arial" w:cs="Arial"/>
        </w:rPr>
      </w:pPr>
      <w:r>
        <w:rPr>
          <w:rFonts w:cs="Arial"/>
        </w:rPr>
      </w:r>
    </w:p>
    <w:p>
      <w:pPr>
        <w:pStyle w:val="Normal1"/>
        <w:jc w:val="both"/>
        <w:rPr>
          <w:rFonts w:ascii="Arial" w:hAnsi="Arial" w:cs="Arial"/>
          <w:b/>
          <w:b/>
          <w:bCs/>
        </w:rPr>
      </w:pPr>
      <w:r>
        <w:rPr>
          <w:rFonts w:cs="Arial"/>
          <w:b/>
          <w:bCs/>
        </w:rPr>
        <w:t xml:space="preserve">3.6. Fundação de Apoio </w:t>
      </w:r>
    </w:p>
    <w:p>
      <w:pPr>
        <w:pStyle w:val="Normal1"/>
        <w:jc w:val="both"/>
        <w:rPr>
          <w:rFonts w:ascii="Arial" w:hAnsi="Arial" w:cs="Arial"/>
          <w:b/>
          <w:b/>
          <w:bCs/>
        </w:rPr>
      </w:pPr>
      <w:r>
        <w:rPr>
          <w:rFonts w:cs="Arial"/>
          <w:b/>
          <w:bCs/>
        </w:rPr>
      </w:r>
    </w:p>
    <w:p>
      <w:pPr>
        <w:pStyle w:val="Normal1"/>
        <w:jc w:val="both"/>
        <w:rPr>
          <w:rFonts w:ascii="Arial" w:hAnsi="Arial" w:cs="Arial"/>
        </w:rPr>
      </w:pPr>
      <w:r>
        <w:rPr>
          <w:rFonts w:cs="Arial"/>
          <w:b/>
          <w:bCs/>
        </w:rPr>
        <w:tab/>
      </w:r>
      <w:r>
        <w:rPr>
          <w:rFonts w:cs="Arial"/>
          <w:bCs/>
        </w:rPr>
        <w:t xml:space="preserve">Atualmente as relações entre a Universidade Federal dos Vales do Jequitinhonha e Mucuri e as Fundações de Apoio estão regulamentadas na </w:t>
      </w:r>
      <w:r>
        <w:rPr>
          <w:rFonts w:cs="Arial"/>
        </w:rPr>
        <w:t>RESOLUÇÃO Nº. 12, DE 23 DE NOVEMBRO DE 2016.</w:t>
      </w:r>
    </w:p>
    <w:p>
      <w:pPr>
        <w:pStyle w:val="Normal1"/>
        <w:ind w:left="708" w:hanging="0"/>
        <w:jc w:val="both"/>
        <w:rPr>
          <w:rFonts w:ascii="Arial" w:hAnsi="Arial" w:cs="Arial"/>
        </w:rPr>
      </w:pPr>
      <w:r>
        <w:rPr>
          <w:rFonts w:cs="Arial"/>
        </w:rPr>
      </w:r>
    </w:p>
    <w:p>
      <w:pPr>
        <w:pStyle w:val="Normal1"/>
        <w:jc w:val="both"/>
        <w:rPr>
          <w:rFonts w:ascii="Arial" w:hAnsi="Arial" w:cs="Arial"/>
        </w:rPr>
      </w:pPr>
      <w:r>
        <w:rPr>
          <w:rFonts w:cs="Arial"/>
        </w:rPr>
      </w:r>
    </w:p>
    <w:p>
      <w:pPr>
        <w:pStyle w:val="Normal1"/>
        <w:spacing w:lineRule="auto" w:line="360"/>
        <w:jc w:val="both"/>
        <w:rPr>
          <w:rFonts w:ascii="Arial" w:hAnsi="Arial" w:cs="Arial"/>
          <w:color w:val="000000" w:themeColor="text1"/>
        </w:rPr>
      </w:pPr>
      <w:r>
        <w:rPr>
          <w:rFonts w:cs="Arial"/>
          <w:color w:val="000000" w:themeColor="text1"/>
        </w:rPr>
      </w:r>
      <w:r>
        <w:br w:type="page"/>
      </w:r>
    </w:p>
    <w:p>
      <w:pPr>
        <w:pStyle w:val="Normal1"/>
        <w:jc w:val="both"/>
        <w:rPr>
          <w:rFonts w:ascii="Arial" w:hAnsi="Arial" w:cs="Arial"/>
          <w:b/>
          <w:b/>
        </w:rPr>
      </w:pPr>
      <w:r>
        <w:rPr>
          <w:rFonts w:cs="Arial"/>
          <w:b/>
        </w:rPr>
        <w:t>Capítulo 4 – Gestão do Conhecimento</w:t>
      </w:r>
    </w:p>
    <w:p>
      <w:pPr>
        <w:pStyle w:val="Normal1"/>
        <w:jc w:val="both"/>
        <w:rPr>
          <w:rFonts w:ascii="Arial" w:hAnsi="Arial" w:cs="Arial"/>
          <w:color w:val="FF0000"/>
        </w:rPr>
      </w:pPr>
      <w:r>
        <w:rPr>
          <w:rFonts w:cs="Arial"/>
          <w:color w:val="FF0000"/>
        </w:rPr>
      </w:r>
    </w:p>
    <w:p>
      <w:pPr>
        <w:pStyle w:val="Normal1"/>
        <w:spacing w:lineRule="auto" w:line="360"/>
        <w:ind w:firstLine="708"/>
        <w:jc w:val="both"/>
        <w:rPr>
          <w:rFonts w:ascii="Arial" w:hAnsi="Arial" w:cs="Arial"/>
        </w:rPr>
      </w:pPr>
      <w:r>
        <w:rPr>
          <w:rFonts w:cs="Arial"/>
        </w:rPr>
        <w:t>O capítulo 4 descreve as proposições da instituição para a gestão do conhecimento de forma geral, englobando as ações da Diretoria de Comunicação Social, da Assessoria do Meio Ambiente e do Centro de Inovação Tecnológica.</w:t>
      </w:r>
    </w:p>
    <w:p>
      <w:pPr>
        <w:pStyle w:val="Normal1"/>
        <w:jc w:val="both"/>
        <w:rPr>
          <w:rFonts w:ascii="Arial" w:hAnsi="Arial" w:cs="Arial"/>
          <w:color w:val="FF0000"/>
        </w:rPr>
      </w:pPr>
      <w:r>
        <w:rPr>
          <w:rFonts w:cs="Arial"/>
          <w:color w:val="FF0000"/>
        </w:rPr>
      </w:r>
    </w:p>
    <w:p>
      <w:pPr>
        <w:pStyle w:val="Normal1"/>
        <w:spacing w:lineRule="auto" w:line="360"/>
        <w:jc w:val="both"/>
        <w:rPr>
          <w:rFonts w:ascii="Arial" w:hAnsi="Arial" w:cs="Arial"/>
          <w:b/>
          <w:b/>
          <w:color w:val="000000" w:themeColor="text1"/>
        </w:rPr>
      </w:pPr>
      <w:r>
        <w:rPr>
          <w:rFonts w:cs="Arial"/>
          <w:b/>
          <w:color w:val="000000" w:themeColor="text1"/>
        </w:rPr>
        <w:t xml:space="preserve">4.1. Comunicação Institucional </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ind w:firstLine="708"/>
        <w:jc w:val="both"/>
        <w:rPr>
          <w:rFonts w:ascii="Arial" w:hAnsi="Arial" w:cs="Arial"/>
          <w:color w:val="000000" w:themeColor="text1"/>
        </w:rPr>
      </w:pPr>
      <w:r>
        <w:rPr>
          <w:rFonts w:cs="Arial"/>
          <w:color w:val="000000" w:themeColor="text1"/>
        </w:rPr>
        <w:t xml:space="preserve">Na UFVJM, a Diretoria de Comunicação Social (Dicom) é o órgão administrativo responsável pela comunicação institucional. De acordo com Resolução </w:t>
      </w:r>
      <w:r>
        <w:rPr>
          <w:rFonts w:cs="Arial"/>
          <w:iCs/>
          <w:color w:val="000000" w:themeColor="text1"/>
        </w:rPr>
        <w:t>N.º</w:t>
      </w:r>
      <w:r>
        <w:rPr>
          <w:rFonts w:cs="Arial"/>
          <w:color w:val="000000" w:themeColor="text1"/>
        </w:rPr>
        <w:t>35 - Consu, de 06 de novembro de 2009, a diretoria constitui um órgão executivo, vinculado diretamente à reitoria e atende aos setores de toda a universidade no que diz respeito à divulgação de suas atividades, interna e externamente, à produção de material gráfico, ao apoio a eventos e campanhas institucionais, além da preparação e execução de solenidades.</w:t>
      </w:r>
    </w:p>
    <w:p>
      <w:pPr>
        <w:pStyle w:val="Normal1"/>
        <w:spacing w:lineRule="auto" w:line="360"/>
        <w:ind w:firstLine="708"/>
        <w:jc w:val="both"/>
        <w:rPr>
          <w:rFonts w:ascii="Arial" w:hAnsi="Arial" w:cs="Arial"/>
          <w:color w:val="000000" w:themeColor="text1"/>
        </w:rPr>
      </w:pPr>
      <w:r>
        <w:rPr>
          <w:rFonts w:cs="Arial"/>
          <w:color w:val="000000" w:themeColor="text1"/>
        </w:rPr>
      </w:r>
    </w:p>
    <w:p>
      <w:pPr>
        <w:pStyle w:val="Normal1"/>
        <w:rPr>
          <w:rFonts w:ascii="Arial" w:hAnsi="Arial" w:cs="Arial"/>
        </w:rPr>
      </w:pPr>
      <w:r>
        <w:rPr>
          <w:rFonts w:cs="Arial"/>
        </w:rPr>
        <w:t>Estão descritas abaixo as metas concluídas pela Dicom:</w:t>
      </w:r>
    </w:p>
    <w:p>
      <w:pPr>
        <w:pStyle w:val="Normal1"/>
        <w:rPr>
          <w:rFonts w:ascii="Arial" w:hAnsi="Arial" w:cs="Arial"/>
        </w:rPr>
      </w:pPr>
      <w:r>
        <w:rPr>
          <w:rFonts w:cs="Arial"/>
        </w:rPr>
      </w:r>
    </w:p>
    <w:p>
      <w:pPr>
        <w:pStyle w:val="PargrafodaLista1"/>
        <w:numPr>
          <w:ilvl w:val="0"/>
          <w:numId w:val="35"/>
        </w:numPr>
        <w:jc w:val="both"/>
        <w:rPr>
          <w:rFonts w:ascii="Arial" w:hAnsi="Arial" w:cs="Arial"/>
        </w:rPr>
      </w:pPr>
      <w:r>
        <w:rPr>
          <w:rFonts w:cs="Arial" w:ascii="Arial" w:hAnsi="Arial"/>
        </w:rPr>
        <w:t xml:space="preserve">Criação de uma Divisão de Comunicação no Campus do Mucuri, em Tófilo Otoni e apoio aos novos </w:t>
      </w:r>
      <w:r>
        <w:rPr>
          <w:rFonts w:cs="Arial" w:ascii="Arial" w:hAnsi="Arial"/>
          <w:i/>
        </w:rPr>
        <w:t>campi</w:t>
      </w:r>
      <w:r>
        <w:rPr>
          <w:rFonts w:cs="Arial" w:ascii="Arial" w:hAnsi="Arial"/>
        </w:rPr>
        <w:t xml:space="preserve"> de Janaúba e Unaí, pelos profissionais lotados na sede em Diamantina</w:t>
      </w:r>
    </w:p>
    <w:p>
      <w:pPr>
        <w:pStyle w:val="PargrafodaLista1"/>
        <w:numPr>
          <w:ilvl w:val="0"/>
          <w:numId w:val="35"/>
        </w:numPr>
        <w:jc w:val="both"/>
        <w:rPr>
          <w:rFonts w:ascii="Arial" w:hAnsi="Arial" w:cs="Arial"/>
        </w:rPr>
      </w:pPr>
      <w:r>
        <w:rPr>
          <w:rFonts w:cs="Arial" w:ascii="Arial" w:hAnsi="Arial"/>
        </w:rPr>
        <w:t>Aquisição do prédio próprio no Campus JK, que abriga sua estrutura administrativa e os demais setores da Diretoria</w:t>
      </w:r>
    </w:p>
    <w:p>
      <w:pPr>
        <w:pStyle w:val="PargrafodaLista1"/>
        <w:numPr>
          <w:ilvl w:val="0"/>
          <w:numId w:val="35"/>
        </w:numPr>
        <w:jc w:val="both"/>
        <w:rPr>
          <w:rFonts w:ascii="Arial" w:hAnsi="Arial" w:cs="Arial"/>
        </w:rPr>
      </w:pPr>
      <w:r>
        <w:rPr>
          <w:rFonts w:cs="Arial" w:ascii="Arial" w:hAnsi="Arial"/>
        </w:rPr>
        <w:t>Criação do Portal Institucional da UFVJM</w:t>
      </w:r>
    </w:p>
    <w:p>
      <w:pPr>
        <w:pStyle w:val="PargrafodaLista1"/>
        <w:numPr>
          <w:ilvl w:val="0"/>
          <w:numId w:val="35"/>
        </w:numPr>
        <w:jc w:val="both"/>
        <w:rPr>
          <w:rFonts w:ascii="Arial" w:hAnsi="Arial" w:cs="Arial"/>
        </w:rPr>
      </w:pPr>
      <w:r>
        <w:rPr>
          <w:rFonts w:cs="Arial" w:ascii="Arial" w:hAnsi="Arial"/>
        </w:rPr>
        <w:t>Registro da marca da UFVJM e a criação do Manual de Identidade Visual</w:t>
      </w:r>
    </w:p>
    <w:p>
      <w:pPr>
        <w:pStyle w:val="PargrafodaLista1"/>
        <w:numPr>
          <w:ilvl w:val="0"/>
          <w:numId w:val="35"/>
        </w:numPr>
        <w:jc w:val="both"/>
        <w:rPr>
          <w:rFonts w:ascii="Arial" w:hAnsi="Arial" w:cs="Arial"/>
        </w:rPr>
      </w:pPr>
      <w:r>
        <w:rPr>
          <w:rFonts w:cs="Arial" w:ascii="Arial" w:hAnsi="Arial"/>
        </w:rPr>
        <w:t>Criação do projeto de Sinalização da Universidade, bem como a elaboração do Manual de Sinalização</w:t>
      </w:r>
    </w:p>
    <w:p>
      <w:pPr>
        <w:pStyle w:val="PargrafodaLista1"/>
        <w:numPr>
          <w:ilvl w:val="0"/>
          <w:numId w:val="35"/>
        </w:numPr>
        <w:jc w:val="both"/>
        <w:rPr>
          <w:rFonts w:ascii="Arial" w:hAnsi="Arial" w:cs="Arial"/>
        </w:rPr>
      </w:pPr>
      <w:r>
        <w:rPr>
          <w:rFonts w:cs="Arial" w:ascii="Arial" w:hAnsi="Arial"/>
        </w:rPr>
        <w:t>Contratação de uma agência de publicidade e propaganda para atender à Instituição</w:t>
      </w:r>
    </w:p>
    <w:p>
      <w:pPr>
        <w:pStyle w:val="PargrafodaLista1"/>
        <w:numPr>
          <w:ilvl w:val="0"/>
          <w:numId w:val="35"/>
        </w:numPr>
        <w:jc w:val="both"/>
        <w:rPr>
          <w:rFonts w:ascii="Arial" w:hAnsi="Arial" w:cs="Arial"/>
        </w:rPr>
      </w:pPr>
      <w:r>
        <w:rPr>
          <w:rFonts w:cs="Arial" w:ascii="Arial" w:hAnsi="Arial"/>
        </w:rPr>
        <w:t>Reformulação do Jornal da UFVJM nas versões impressa e on-line com o registro da publicação no Instituto Brasileiro de Informação em Ciência e Tecnologia (IBICT) sob o número ISSN 2238-8176.</w:t>
      </w:r>
    </w:p>
    <w:p>
      <w:pPr>
        <w:pStyle w:val="PargrafodaLista1"/>
        <w:numPr>
          <w:ilvl w:val="0"/>
          <w:numId w:val="35"/>
        </w:numPr>
        <w:jc w:val="both"/>
        <w:rPr>
          <w:rFonts w:ascii="Arial" w:hAnsi="Arial" w:cs="Arial"/>
        </w:rPr>
      </w:pPr>
      <w:r>
        <w:rPr>
          <w:rFonts w:cs="Arial" w:ascii="Arial" w:hAnsi="Arial"/>
        </w:rPr>
        <w:t>Realização da mostra de profissões da UFVJM (a Universidade de Portas Abertas)</w:t>
      </w:r>
    </w:p>
    <w:p>
      <w:pPr>
        <w:pStyle w:val="PargrafodaLista1"/>
        <w:numPr>
          <w:ilvl w:val="0"/>
          <w:numId w:val="35"/>
        </w:numPr>
        <w:jc w:val="both"/>
        <w:rPr>
          <w:rFonts w:ascii="Arial" w:hAnsi="Arial" w:cs="Arial"/>
        </w:rPr>
      </w:pPr>
      <w:r>
        <w:rPr>
          <w:rFonts w:cs="Arial" w:ascii="Arial" w:hAnsi="Arial"/>
        </w:rPr>
        <w:t>Instalação da Rádio Universitária</w:t>
      </w:r>
    </w:p>
    <w:p>
      <w:pPr>
        <w:pStyle w:val="PargrafodaLista1"/>
        <w:numPr>
          <w:ilvl w:val="0"/>
          <w:numId w:val="35"/>
        </w:numPr>
        <w:jc w:val="both"/>
        <w:rPr>
          <w:rFonts w:ascii="Arial" w:hAnsi="Arial" w:cs="Arial"/>
        </w:rPr>
      </w:pPr>
      <w:r>
        <w:rPr>
          <w:rFonts w:cs="Arial" w:ascii="Arial" w:hAnsi="Arial"/>
        </w:rPr>
        <w:t xml:space="preserve">Conquista da outorga de um canal de TV Educativa </w:t>
      </w:r>
    </w:p>
    <w:p>
      <w:pPr>
        <w:pStyle w:val="PargrafodaLista1"/>
        <w:numPr>
          <w:ilvl w:val="0"/>
          <w:numId w:val="35"/>
        </w:numPr>
        <w:jc w:val="both"/>
        <w:rPr>
          <w:rFonts w:ascii="Arial" w:hAnsi="Arial" w:cs="Arial"/>
        </w:rPr>
      </w:pPr>
      <w:r>
        <w:rPr>
          <w:rFonts w:cs="Arial" w:ascii="Arial" w:hAnsi="Arial"/>
        </w:rPr>
        <w:t>Abertura de quatro vagas para novos servidores da área de comunicação para os campi de Diamantina e de Teófilo Otoni e uma vaga de revisor para o campus de Diamantina</w:t>
      </w:r>
    </w:p>
    <w:p>
      <w:pPr>
        <w:pStyle w:val="PargrafodaLista1"/>
        <w:numPr>
          <w:ilvl w:val="0"/>
          <w:numId w:val="35"/>
        </w:numPr>
        <w:jc w:val="both"/>
        <w:rPr>
          <w:rFonts w:ascii="Arial" w:hAnsi="Arial" w:cs="Arial"/>
        </w:rPr>
      </w:pPr>
      <w:r>
        <w:rPr>
          <w:rFonts w:cs="Arial" w:ascii="Arial" w:hAnsi="Arial"/>
        </w:rPr>
        <w:t>Criação do Twitter institucional.</w:t>
      </w:r>
    </w:p>
    <w:p>
      <w:pPr>
        <w:pStyle w:val="Normal1"/>
        <w:spacing w:lineRule="auto" w:line="360"/>
        <w:ind w:firstLine="708"/>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4.1.2. PLANO DE DESENVOLVIMENTO INSTITUCIONAL – 2017-2021</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rPr>
          <w:rFonts w:ascii="Arial" w:hAnsi="Arial" w:cs="Arial"/>
          <w:b/>
          <w:b/>
          <w:color w:val="000000" w:themeColor="text1"/>
        </w:rPr>
      </w:pPr>
      <w:r>
        <w:rPr>
          <w:rFonts w:cs="Arial"/>
          <w:b/>
          <w:color w:val="000000" w:themeColor="text1"/>
        </w:rPr>
        <w:t>Objetivos</w:t>
      </w:r>
    </w:p>
    <w:p>
      <w:pPr>
        <w:pStyle w:val="Normal1"/>
        <w:spacing w:lineRule="auto" w:line="360"/>
        <w:rPr>
          <w:rFonts w:ascii="Arial" w:hAnsi="Arial" w:cs="Arial"/>
          <w:b/>
          <w:b/>
          <w:color w:val="000000" w:themeColor="text1"/>
        </w:rPr>
      </w:pPr>
      <w:r>
        <w:rPr>
          <w:rFonts w:cs="Arial"/>
          <w:b/>
          <w:color w:val="000000" w:themeColor="text1"/>
        </w:rPr>
      </w:r>
    </w:p>
    <w:p>
      <w:pPr>
        <w:pStyle w:val="ListParagraph"/>
        <w:numPr>
          <w:ilvl w:val="0"/>
          <w:numId w:val="36"/>
        </w:numPr>
        <w:spacing w:lineRule="auto" w:line="360" w:before="0" w:after="0"/>
        <w:contextualSpacing/>
        <w:jc w:val="both"/>
        <w:rPr>
          <w:rFonts w:ascii="Arial" w:hAnsi="Arial" w:cs="Arial"/>
          <w:color w:val="000000" w:themeColor="text1"/>
        </w:rPr>
      </w:pPr>
      <w:r>
        <w:rPr>
          <w:rFonts w:cs="Arial"/>
          <w:color w:val="000000" w:themeColor="text1"/>
        </w:rPr>
        <w:t>Divulgar interna e externamente as atividades da instituição, entre elas, os projetos de ensino, pesquisa e extensão e as atividades complementares, mantendo a UFVJM na mídia e a comunidade universitária bem informada.</w:t>
      </w:r>
    </w:p>
    <w:p>
      <w:pPr>
        <w:pStyle w:val="ListParagraph"/>
        <w:numPr>
          <w:ilvl w:val="0"/>
          <w:numId w:val="36"/>
        </w:numPr>
        <w:spacing w:lineRule="auto" w:line="360" w:before="0" w:after="0"/>
        <w:contextualSpacing/>
        <w:jc w:val="both"/>
        <w:rPr>
          <w:rFonts w:ascii="Arial" w:hAnsi="Arial" w:cs="Arial"/>
          <w:color w:val="000000" w:themeColor="text1"/>
        </w:rPr>
      </w:pPr>
      <w:r>
        <w:rPr>
          <w:rFonts w:cs="Arial"/>
          <w:color w:val="000000" w:themeColor="text1"/>
        </w:rPr>
        <w:t>Realizar assessoria de imprensa, através da intermediação entre a universidade e os diversos veículos de comunicação locais, regionais, nacionais e outros que se fizerem necessários, além do atendimento à demanda de jornalistas que procuram a universidade em busca de fontes para entrevistas.</w:t>
      </w:r>
    </w:p>
    <w:p>
      <w:pPr>
        <w:pStyle w:val="ListParagraph"/>
        <w:numPr>
          <w:ilvl w:val="0"/>
          <w:numId w:val="36"/>
        </w:numPr>
        <w:spacing w:lineRule="auto" w:line="360" w:before="0" w:after="0"/>
        <w:contextualSpacing/>
        <w:jc w:val="both"/>
        <w:rPr>
          <w:rFonts w:ascii="Arial" w:hAnsi="Arial" w:cs="Arial"/>
          <w:color w:val="000000" w:themeColor="text1"/>
        </w:rPr>
      </w:pPr>
      <w:r>
        <w:rPr>
          <w:rFonts w:cs="Arial"/>
          <w:color w:val="000000" w:themeColor="text1"/>
        </w:rPr>
        <w:t>Planejar e executar eventos e cerimônias institucionais presididos pela equipe gestora e demais profissionais da instituição e apoiar os eventos da universidade ligados apró-reitorias, diretorias, assessorias ou órgãos da reitoria.</w:t>
      </w:r>
    </w:p>
    <w:p>
      <w:pPr>
        <w:pStyle w:val="ListParagraph"/>
        <w:numPr>
          <w:ilvl w:val="0"/>
          <w:numId w:val="36"/>
        </w:numPr>
        <w:spacing w:lineRule="auto" w:line="360" w:before="0" w:after="0"/>
        <w:contextualSpacing/>
        <w:jc w:val="both"/>
        <w:rPr>
          <w:rFonts w:ascii="Arial" w:hAnsi="Arial" w:cs="Arial"/>
          <w:color w:val="000000" w:themeColor="text1"/>
        </w:rPr>
      </w:pPr>
      <w:r>
        <w:rPr>
          <w:rFonts w:cs="Arial"/>
          <w:color w:val="000000" w:themeColor="text1"/>
        </w:rPr>
        <w:t xml:space="preserve">Coordenar o Portal da UFVJM, a Rádio Universitária, as Mídias Sociais oficiais e o </w:t>
      </w:r>
      <w:r>
        <w:rPr>
          <w:rFonts w:cs="Arial"/>
          <w:i/>
          <w:color w:val="000000" w:themeColor="text1"/>
        </w:rPr>
        <w:t>Clipping</w:t>
      </w:r>
      <w:r>
        <w:rPr>
          <w:rFonts w:cs="Arial"/>
          <w:color w:val="000000" w:themeColor="text1"/>
        </w:rPr>
        <w:t xml:space="preserve"> eletrônico e impresso, além do trabalho de divulgação institucional e desenvolvimento de campanhas de publicidade para os processos seletivos de ingresso à UFVJM.</w:t>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Metas</w:t>
      </w:r>
    </w:p>
    <w:p>
      <w:pPr>
        <w:pStyle w:val="Normal1"/>
        <w:spacing w:lineRule="auto" w:line="360"/>
        <w:jc w:val="both"/>
        <w:rPr>
          <w:rFonts w:ascii="Arial" w:hAnsi="Arial" w:cs="Arial"/>
          <w:b/>
          <w:b/>
          <w:color w:val="000000" w:themeColor="text1"/>
        </w:rPr>
      </w:pPr>
      <w:r>
        <w:rPr>
          <w:rFonts w:cs="Arial"/>
          <w:b/>
          <w:color w:val="000000" w:themeColor="text1"/>
        </w:rPr>
      </w:r>
    </w:p>
    <w:p>
      <w:pPr>
        <w:pStyle w:val="ListParagraph"/>
        <w:numPr>
          <w:ilvl w:val="0"/>
          <w:numId w:val="37"/>
        </w:numPr>
        <w:spacing w:lineRule="auto" w:line="360"/>
        <w:rPr>
          <w:rFonts w:ascii="Arial" w:hAnsi="Arial" w:cs="Arial"/>
          <w:color w:val="000000" w:themeColor="text1"/>
          <w:lang w:val="nl-NL"/>
        </w:rPr>
      </w:pPr>
      <w:r>
        <w:rPr>
          <w:rFonts w:cs="Arial"/>
          <w:color w:val="000000" w:themeColor="text1"/>
          <w:lang w:val="nl-NL"/>
        </w:rPr>
        <w:t>Adequação e modernização do ambiente do Portal da UFVJM.</w:t>
      </w:r>
    </w:p>
    <w:p>
      <w:pPr>
        <w:pStyle w:val="ListParagraph"/>
        <w:numPr>
          <w:ilvl w:val="0"/>
          <w:numId w:val="37"/>
        </w:numPr>
        <w:spacing w:lineRule="auto" w:line="360"/>
        <w:rPr>
          <w:rFonts w:ascii="Arial" w:hAnsi="Arial" w:cs="Arial"/>
          <w:color w:val="000000" w:themeColor="text1"/>
          <w:lang w:val="nl-NL"/>
        </w:rPr>
      </w:pPr>
      <w:r>
        <w:rPr>
          <w:rFonts w:cs="Arial"/>
          <w:color w:val="000000" w:themeColor="text1"/>
          <w:lang w:val="nl-NL"/>
        </w:rPr>
        <w:t>Aumento da visibilidade do conhecimento produzido pela UFVJM.</w:t>
      </w:r>
    </w:p>
    <w:p>
      <w:pPr>
        <w:pStyle w:val="ListParagraph"/>
        <w:numPr>
          <w:ilvl w:val="0"/>
          <w:numId w:val="37"/>
        </w:numPr>
        <w:spacing w:lineRule="auto" w:line="360"/>
        <w:rPr>
          <w:rFonts w:ascii="Arial" w:hAnsi="Arial" w:cs="Arial"/>
          <w:color w:val="000000" w:themeColor="text1"/>
          <w:lang w:val="nl-NL"/>
        </w:rPr>
      </w:pPr>
      <w:r>
        <w:rPr>
          <w:rFonts w:cs="Arial"/>
          <w:color w:val="000000" w:themeColor="text1"/>
          <w:lang w:val="nl-NL"/>
        </w:rPr>
        <w:t>Aumento da visibilidade da UFVJM junto a seus estudantes em potencial.</w:t>
      </w:r>
    </w:p>
    <w:p>
      <w:pPr>
        <w:pStyle w:val="ListParagraph"/>
        <w:numPr>
          <w:ilvl w:val="0"/>
          <w:numId w:val="37"/>
        </w:numPr>
        <w:spacing w:lineRule="auto" w:line="360"/>
        <w:rPr>
          <w:rFonts w:ascii="Arial" w:hAnsi="Arial" w:cs="Arial"/>
          <w:color w:val="000000" w:themeColor="text1"/>
          <w:lang w:val="nl-NL"/>
        </w:rPr>
      </w:pPr>
      <w:r>
        <w:rPr>
          <w:rFonts w:cs="Arial"/>
          <w:color w:val="000000" w:themeColor="text1"/>
          <w:lang w:val="nl-NL"/>
        </w:rPr>
        <w:t>Fortalecimento da imagem da UFVJM perante o público extern.o</w:t>
      </w:r>
    </w:p>
    <w:p>
      <w:pPr>
        <w:pStyle w:val="ListParagraph"/>
        <w:numPr>
          <w:ilvl w:val="0"/>
          <w:numId w:val="37"/>
        </w:numPr>
        <w:spacing w:lineRule="auto" w:line="360"/>
        <w:jc w:val="both"/>
        <w:rPr>
          <w:rFonts w:ascii="Arial" w:hAnsi="Arial" w:cs="Arial"/>
          <w:color w:val="000000" w:themeColor="text1"/>
          <w:lang w:val="nl-NL"/>
        </w:rPr>
      </w:pPr>
      <w:r>
        <w:rPr>
          <w:rFonts w:cs="Arial"/>
          <w:color w:val="000000" w:themeColor="text1"/>
          <w:lang w:val="nl-NL"/>
        </w:rPr>
        <w:t>Aumento da visibilidade da UFVJM nas mídias sociais.</w:t>
      </w:r>
    </w:p>
    <w:p>
      <w:pPr>
        <w:pStyle w:val="ListParagraph"/>
        <w:numPr>
          <w:ilvl w:val="0"/>
          <w:numId w:val="37"/>
        </w:numPr>
        <w:spacing w:lineRule="auto" w:line="360"/>
        <w:jc w:val="both"/>
        <w:rPr>
          <w:rFonts w:ascii="Arial" w:hAnsi="Arial" w:cs="Arial"/>
          <w:color w:val="000000" w:themeColor="text1"/>
          <w:lang w:val="nl-NL"/>
        </w:rPr>
      </w:pPr>
      <w:r>
        <w:rPr>
          <w:rFonts w:cs="Arial"/>
          <w:color w:val="000000" w:themeColor="text1"/>
          <w:lang w:val="nl-NL"/>
        </w:rPr>
        <w:t>Manutenção da Rádio Universitária.</w:t>
      </w:r>
    </w:p>
    <w:p>
      <w:pPr>
        <w:pStyle w:val="ListParagraph"/>
        <w:numPr>
          <w:ilvl w:val="0"/>
          <w:numId w:val="37"/>
        </w:numPr>
        <w:spacing w:lineRule="auto" w:line="360"/>
        <w:jc w:val="both"/>
        <w:rPr>
          <w:rFonts w:ascii="Arial" w:hAnsi="Arial" w:cs="Arial"/>
          <w:color w:val="000000" w:themeColor="text1"/>
          <w:lang w:val="nl-NL"/>
        </w:rPr>
      </w:pPr>
      <w:r>
        <w:rPr>
          <w:rFonts w:cs="Arial"/>
          <w:color w:val="000000" w:themeColor="text1"/>
          <w:lang w:val="nl-NL"/>
        </w:rPr>
        <w:t>Aperfeiçoamento da comunicação institucional interna</w:t>
      </w:r>
    </w:p>
    <w:p>
      <w:pPr>
        <w:pStyle w:val="ListParagraph"/>
        <w:spacing w:lineRule="auto" w:line="360"/>
        <w:rPr>
          <w:rFonts w:ascii="Arial" w:hAnsi="Arial" w:cs="Arial"/>
          <w:color w:val="000000" w:themeColor="text1"/>
          <w:lang w:val="nl-NL"/>
        </w:rPr>
      </w:pPr>
      <w:r>
        <w:rPr>
          <w:rFonts w:cs="Arial"/>
          <w:color w:val="000000" w:themeColor="text1"/>
          <w:lang w:val="nl-NL"/>
        </w:rPr>
      </w:r>
    </w:p>
    <w:p>
      <w:pPr>
        <w:pStyle w:val="Normal1"/>
        <w:spacing w:lineRule="auto" w:line="360"/>
        <w:jc w:val="both"/>
        <w:rPr>
          <w:rFonts w:ascii="Arial" w:hAnsi="Arial" w:cs="Arial"/>
          <w:b/>
          <w:b/>
          <w:color w:val="000000" w:themeColor="text1"/>
        </w:rPr>
      </w:pPr>
      <w:r>
        <w:rPr>
          <w:rFonts w:cs="Arial"/>
          <w:b/>
          <w:color w:val="000000" w:themeColor="text1"/>
        </w:rPr>
        <w:t>Ações</w:t>
      </w:r>
    </w:p>
    <w:p>
      <w:pPr>
        <w:pStyle w:val="ListParagraph"/>
        <w:numPr>
          <w:ilvl w:val="0"/>
          <w:numId w:val="38"/>
        </w:numPr>
        <w:spacing w:lineRule="auto" w:line="360"/>
        <w:rPr>
          <w:rFonts w:ascii="Arial" w:hAnsi="Arial" w:cs="Arial"/>
          <w:color w:val="000000" w:themeColor="text1"/>
          <w:lang w:val="nl-NL"/>
        </w:rPr>
      </w:pPr>
      <w:r>
        <w:rPr>
          <w:rFonts w:cs="Arial"/>
          <w:color w:val="000000" w:themeColor="text1"/>
          <w:lang w:val="nl-NL"/>
        </w:rPr>
        <w:t>Criar o novo Portal da UFVJM em plataforma PloneGov-BR.</w:t>
      </w:r>
    </w:p>
    <w:p>
      <w:pPr>
        <w:pStyle w:val="ListParagraph"/>
        <w:numPr>
          <w:ilvl w:val="0"/>
          <w:numId w:val="38"/>
        </w:numPr>
        <w:spacing w:lineRule="auto" w:line="360"/>
        <w:rPr>
          <w:rFonts w:ascii="Arial" w:hAnsi="Arial" w:cs="Arial"/>
          <w:color w:val="000000" w:themeColor="text1"/>
          <w:lang w:val="nl-NL"/>
        </w:rPr>
      </w:pPr>
      <w:r>
        <w:rPr>
          <w:rFonts w:cs="Arial"/>
          <w:color w:val="000000" w:themeColor="text1"/>
          <w:lang w:val="nl-NL"/>
        </w:rPr>
        <w:t>Aumentar a produção de conteúdo para divulgação científica.</w:t>
      </w:r>
    </w:p>
    <w:p>
      <w:pPr>
        <w:pStyle w:val="ListParagraph"/>
        <w:numPr>
          <w:ilvl w:val="0"/>
          <w:numId w:val="38"/>
        </w:numPr>
        <w:spacing w:lineRule="auto" w:line="360"/>
        <w:rPr>
          <w:rFonts w:ascii="Arial" w:hAnsi="Arial" w:cs="Arial"/>
          <w:color w:val="000000" w:themeColor="text1"/>
          <w:lang w:val="nl-NL"/>
        </w:rPr>
      </w:pPr>
      <w:r>
        <w:rPr>
          <w:rFonts w:cs="Arial"/>
          <w:color w:val="000000" w:themeColor="text1"/>
          <w:lang w:val="nl-NL"/>
        </w:rPr>
        <w:t>Desenvolver o programa Universidade de Portas Abertas</w:t>
      </w:r>
      <w:r>
        <w:rPr>
          <w:rStyle w:val="Ncoradanotaderodap"/>
          <w:rFonts w:cs="Arial"/>
          <w:color w:val="000000" w:themeColor="text1"/>
          <w:lang w:val="nl-NL"/>
        </w:rPr>
        <w:footnoteReference w:id="5"/>
      </w:r>
      <w:r>
        <w:rPr>
          <w:rFonts w:cs="Arial"/>
          <w:color w:val="000000" w:themeColor="text1"/>
          <w:lang w:val="nl-NL"/>
        </w:rPr>
        <w:t>.</w:t>
      </w:r>
    </w:p>
    <w:p>
      <w:pPr>
        <w:pStyle w:val="ListParagraph"/>
        <w:numPr>
          <w:ilvl w:val="0"/>
          <w:numId w:val="38"/>
        </w:numPr>
        <w:spacing w:lineRule="auto" w:line="360"/>
        <w:jc w:val="both"/>
        <w:rPr>
          <w:rFonts w:ascii="Arial" w:hAnsi="Arial" w:cs="Arial"/>
          <w:color w:val="000000" w:themeColor="text1"/>
          <w:lang w:val="nl-NL"/>
        </w:rPr>
      </w:pPr>
      <w:r>
        <w:rPr>
          <w:rFonts w:cs="Arial"/>
          <w:color w:val="000000" w:themeColor="text1"/>
          <w:lang w:val="nl-NL"/>
        </w:rPr>
        <w:t>Aprimorar o formato das solenidades de colação de grau.</w:t>
      </w:r>
    </w:p>
    <w:p>
      <w:pPr>
        <w:pStyle w:val="Normal"/>
        <w:spacing w:lineRule="auto" w:line="360"/>
        <w:ind w:left="360" w:hanging="0"/>
        <w:jc w:val="both"/>
        <w:rPr>
          <w:rFonts w:ascii="Arial" w:hAnsi="Arial" w:cs="Arial"/>
          <w:color w:val="000000" w:themeColor="text1"/>
          <w:sz w:val="24"/>
          <w:szCs w:val="24"/>
          <w:lang w:val="nl-NL"/>
        </w:rPr>
      </w:pPr>
      <w:r>
        <w:rPr>
          <w:rFonts w:cs="Arial" w:ascii="Arial" w:hAnsi="Arial"/>
          <w:color w:val="000000" w:themeColor="text1"/>
          <w:sz w:val="24"/>
          <w:szCs w:val="24"/>
          <w:highlight w:val="cyan"/>
          <w:lang w:val="nl-NL"/>
        </w:rPr>
        <w:t>(SOLICITANTE: TAs JANAÚBA)</w:t>
      </w:r>
    </w:p>
    <w:p>
      <w:pPr>
        <w:pStyle w:val="ListParagraph"/>
        <w:numPr>
          <w:ilvl w:val="0"/>
          <w:numId w:val="38"/>
        </w:numPr>
        <w:spacing w:lineRule="auto" w:line="360"/>
        <w:jc w:val="both"/>
        <w:rPr>
          <w:rFonts w:ascii="Arial" w:hAnsi="Arial" w:cs="Arial"/>
          <w:color w:val="0070C0"/>
          <w:lang w:val="nl-NL"/>
        </w:rPr>
      </w:pPr>
      <w:r>
        <w:rPr>
          <w:rFonts w:cs="Arial"/>
          <w:color w:val="0070C0"/>
          <w:lang w:val="nl-NL"/>
        </w:rPr>
        <w:t>Realização de eventos, participação em eventos locais, investimentos em propaganda local nas regiões dos campus em construção, etc..</w:t>
      </w:r>
    </w:p>
    <w:p>
      <w:pPr>
        <w:pStyle w:val="ListParagraph"/>
        <w:numPr>
          <w:ilvl w:val="0"/>
          <w:numId w:val="38"/>
        </w:numPr>
        <w:spacing w:lineRule="auto" w:line="360"/>
        <w:jc w:val="both"/>
        <w:rPr>
          <w:rFonts w:ascii="Arial" w:hAnsi="Arial" w:cs="Arial"/>
          <w:color w:val="000000" w:themeColor="text1"/>
          <w:lang w:val="nl-NL"/>
        </w:rPr>
      </w:pPr>
      <w:r>
        <w:rPr>
          <w:rFonts w:cs="Arial"/>
          <w:color w:val="000000" w:themeColor="text1"/>
          <w:lang w:val="nl-NL"/>
        </w:rPr>
        <w:t>Criar perfis oficiais da UFVJM em mídias sociais.</w:t>
      </w:r>
    </w:p>
    <w:p>
      <w:pPr>
        <w:pStyle w:val="ListParagraph"/>
        <w:numPr>
          <w:ilvl w:val="0"/>
          <w:numId w:val="38"/>
        </w:numPr>
        <w:spacing w:lineRule="auto" w:line="360"/>
        <w:rPr>
          <w:rFonts w:ascii="Arial" w:hAnsi="Arial" w:cs="Arial"/>
          <w:color w:val="000000" w:themeColor="text1"/>
          <w:lang w:val="nl-NL"/>
        </w:rPr>
      </w:pPr>
      <w:r>
        <w:rPr>
          <w:rFonts w:cs="Arial"/>
          <w:color w:val="000000" w:themeColor="text1"/>
          <w:lang w:val="nl-NL"/>
        </w:rPr>
        <w:t xml:space="preserve">Manter o Termo de Cooperação com a </w:t>
      </w:r>
      <w:r>
        <w:rPr>
          <w:rFonts w:cs="Arial"/>
          <w:color w:val="000000" w:themeColor="text1"/>
        </w:rPr>
        <w:t>Fundação Diamantinense de Apoio ao Ensino, Pesquisa e Extensão (Fundaepe).</w:t>
      </w:r>
    </w:p>
    <w:p>
      <w:pPr>
        <w:pStyle w:val="ListParagraph"/>
        <w:numPr>
          <w:ilvl w:val="0"/>
          <w:numId w:val="38"/>
        </w:numPr>
        <w:spacing w:lineRule="auto" w:line="360"/>
        <w:jc w:val="both"/>
        <w:rPr>
          <w:rFonts w:ascii="Arial" w:hAnsi="Arial" w:cs="Arial"/>
          <w:color w:val="000000" w:themeColor="text1"/>
          <w:lang w:val="nl-NL"/>
        </w:rPr>
      </w:pPr>
      <w:r>
        <w:rPr>
          <w:rFonts w:cs="Arial"/>
          <w:color w:val="000000" w:themeColor="text1"/>
          <w:lang w:val="nl-NL"/>
        </w:rPr>
        <w:t>Criar a Intranet da UFVJM</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 xml:space="preserve">4.2. Gestão Ambiental </w:t>
      </w:r>
    </w:p>
    <w:p>
      <w:pPr>
        <w:pStyle w:val="Normal1"/>
        <w:spacing w:lineRule="auto" w:line="360"/>
        <w:jc w:val="both"/>
        <w:rPr>
          <w:rFonts w:ascii="Arial" w:hAnsi="Arial" w:cs="Arial"/>
          <w:color w:val="000000" w:themeColor="text1"/>
        </w:rPr>
      </w:pPr>
      <w:r>
        <w:rPr>
          <w:rFonts w:cs="Arial"/>
          <w:color w:val="000000" w:themeColor="text1"/>
        </w:rPr>
      </w:r>
    </w:p>
    <w:p>
      <w:pPr>
        <w:pStyle w:val="Default"/>
        <w:spacing w:lineRule="auto" w:line="360"/>
        <w:ind w:firstLine="708"/>
        <w:jc w:val="both"/>
        <w:rPr>
          <w:color w:val="000000" w:themeColor="text1"/>
        </w:rPr>
      </w:pPr>
      <w:r>
        <w:rPr>
          <w:color w:val="000000" w:themeColor="text1"/>
        </w:rPr>
        <w:t xml:space="preserve">A Assessoria de Meio Ambiente (AMA) da UFVJM foi criada em 2008, estando vinculada  diretamente  à  Reitoria.  Tem  como  principal  objetivo  cuidar  das questões relacionadas à parte ambiental da Instituição, procurando assessorara  Reitoria  e  demais  segmentos  da  comunidade  acadêmica  no  sentido  demanter  um  meio  ambiente  equilibrado  e  saudável,  quanto  às  diversas atividades desenvolvidas no âmbito da Universidade e seus </w:t>
      </w:r>
      <w:r>
        <w:rPr>
          <w:i/>
          <w:color w:val="000000" w:themeColor="text1"/>
        </w:rPr>
        <w:t>campi</w:t>
      </w:r>
      <w:r>
        <w:rPr>
          <w:color w:val="000000" w:themeColor="text1"/>
        </w:rPr>
        <w:t xml:space="preserve">. </w:t>
      </w:r>
    </w:p>
    <w:p>
      <w:pPr>
        <w:pStyle w:val="Default"/>
        <w:spacing w:lineRule="auto" w:line="360"/>
        <w:jc w:val="both"/>
        <w:rPr>
          <w:color w:val="000000" w:themeColor="text1"/>
        </w:rPr>
      </w:pPr>
      <w:r>
        <w:rPr>
          <w:color w:val="000000" w:themeColor="text1"/>
        </w:rPr>
        <w:t xml:space="preserve">Nesse  sentido,  compete  à  AMA  propor  ações  e  iniciativas  que  levem  a utilização racional e sustentável dos recursos naturais; a coleta, o tratamento e o  descarte  adequado  de  resíduos  gerados  e;  a  conciliação  da  preservaçãoambiental com a expansão das áreas construídas na Instituição. </w:t>
      </w:r>
    </w:p>
    <w:p>
      <w:pPr>
        <w:pStyle w:val="Default"/>
        <w:spacing w:lineRule="auto" w:line="360"/>
        <w:jc w:val="both"/>
        <w:rPr>
          <w:color w:val="000000" w:themeColor="text1"/>
        </w:rPr>
      </w:pPr>
      <w:r>
        <w:rPr>
          <w:color w:val="000000" w:themeColor="text1"/>
        </w:rPr>
        <w:tab/>
        <w:t xml:space="preserve">Busca,  portanto,  a  redução  de  impactos  ambientais  por  intermédio  delicenciamentos  perante  aos  órgãos  ambientais  e  a  promoção  de  práticassustentáveis, a fim de alcançar melhor padrão de qualidade de vida de toda acomunidade acadêmica. </w:t>
      </w:r>
    </w:p>
    <w:p>
      <w:pPr>
        <w:pStyle w:val="Default"/>
        <w:spacing w:lineRule="auto" w:line="360"/>
        <w:ind w:firstLine="708"/>
        <w:jc w:val="both"/>
        <w:rPr>
          <w:color w:val="000000" w:themeColor="text1"/>
        </w:rPr>
      </w:pPr>
      <w:r>
        <w:rPr>
          <w:color w:val="000000" w:themeColor="text1"/>
        </w:rPr>
        <w:t>Tendo como foco a promoção da sustentabilidade socioambiental no âmbito da UFVJM, a AMA está à frente da coordenação e supervisão das seguintes atividades:</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color w:val="000000" w:themeColor="text1"/>
        </w:rPr>
        <w:t xml:space="preserve">- Programa de Coleta Seletiva Solidária - visa diminuir o impacto do lixo na cidade, além de gerar recursos financeiros para as Associações de Catadores de Material Reciclável localizadas nos municípios de abrangência dos </w:t>
      </w:r>
      <w:r>
        <w:rPr>
          <w:i/>
          <w:color w:val="000000" w:themeColor="text1"/>
        </w:rPr>
        <w:t>campi</w:t>
      </w:r>
      <w:r>
        <w:rPr>
          <w:color w:val="000000" w:themeColor="text1"/>
        </w:rPr>
        <w:t xml:space="preserve"> da UFVJM.</w:t>
      </w:r>
    </w:p>
    <w:p>
      <w:pPr>
        <w:pStyle w:val="Default"/>
        <w:spacing w:lineRule="auto" w:line="360"/>
        <w:jc w:val="both"/>
        <w:rPr>
          <w:color w:val="000000" w:themeColor="text1"/>
        </w:rPr>
      </w:pPr>
      <w:r>
        <w:rPr>
          <w:color w:val="000000" w:themeColor="text1"/>
        </w:rPr>
        <w:t xml:space="preserve">- Licenciamentos ambientais de obras no </w:t>
      </w:r>
      <w:r>
        <w:rPr>
          <w:i/>
          <w:color w:val="000000" w:themeColor="text1"/>
        </w:rPr>
        <w:t>campus</w:t>
      </w:r>
      <w:r>
        <w:rPr>
          <w:color w:val="000000" w:themeColor="text1"/>
        </w:rPr>
        <w:t xml:space="preserve"> JK e demais </w:t>
      </w:r>
      <w:r>
        <w:rPr>
          <w:i/>
          <w:color w:val="000000" w:themeColor="text1"/>
        </w:rPr>
        <w:t xml:space="preserve">campi </w:t>
      </w:r>
      <w:r>
        <w:rPr>
          <w:color w:val="000000" w:themeColor="text1"/>
        </w:rPr>
        <w:t>da UFVJM.</w:t>
      </w:r>
    </w:p>
    <w:p>
      <w:pPr>
        <w:pStyle w:val="Default"/>
        <w:spacing w:lineRule="auto" w:line="360"/>
        <w:jc w:val="both"/>
        <w:rPr>
          <w:color w:val="000000" w:themeColor="text1"/>
        </w:rPr>
      </w:pPr>
      <w:r>
        <w:rPr>
          <w:color w:val="000000" w:themeColor="text1"/>
        </w:rPr>
        <w:t>- Licenciamentos ambientais e registrosde equipamentos e maquinários, junto aos órgãos competentes,  em atendimento à legislação vigente.</w:t>
      </w:r>
    </w:p>
    <w:p>
      <w:pPr>
        <w:pStyle w:val="Default"/>
        <w:spacing w:lineRule="auto" w:line="360"/>
        <w:jc w:val="both"/>
        <w:rPr>
          <w:color w:val="000000" w:themeColor="text1"/>
        </w:rPr>
      </w:pPr>
      <w:r>
        <w:rPr>
          <w:color w:val="000000" w:themeColor="text1"/>
        </w:rPr>
        <w:t xml:space="preserve">- Gestão dos licenciamentos ambientais e outorgas do uso de água nos </w:t>
      </w:r>
      <w:r>
        <w:rPr>
          <w:i/>
          <w:color w:val="000000" w:themeColor="text1"/>
        </w:rPr>
        <w:t>campi</w:t>
      </w:r>
      <w:r>
        <w:rPr>
          <w:color w:val="000000" w:themeColor="text1"/>
        </w:rPr>
        <w:t xml:space="preserve"> da UFVJM.</w:t>
      </w:r>
    </w:p>
    <w:p>
      <w:pPr>
        <w:pStyle w:val="Default"/>
        <w:spacing w:lineRule="auto" w:line="360"/>
        <w:jc w:val="both"/>
        <w:rPr>
          <w:color w:val="000000" w:themeColor="text1"/>
        </w:rPr>
      </w:pPr>
      <w:r>
        <w:rPr>
          <w:color w:val="000000" w:themeColor="text1"/>
        </w:rPr>
        <w:t xml:space="preserve">- Licenciamento de intervenções ambientais necessárias dentro do </w:t>
      </w:r>
      <w:r>
        <w:rPr>
          <w:i/>
          <w:color w:val="000000" w:themeColor="text1"/>
        </w:rPr>
        <w:t>campus</w:t>
      </w:r>
      <w:r>
        <w:rPr>
          <w:color w:val="000000" w:themeColor="text1"/>
        </w:rPr>
        <w:t xml:space="preserve"> JK.</w:t>
      </w:r>
    </w:p>
    <w:p>
      <w:pPr>
        <w:pStyle w:val="Default"/>
        <w:spacing w:lineRule="auto" w:line="360"/>
        <w:jc w:val="both"/>
        <w:rPr>
          <w:color w:val="000000" w:themeColor="text1"/>
        </w:rPr>
      </w:pPr>
      <w:r>
        <w:rPr>
          <w:color w:val="000000" w:themeColor="text1"/>
        </w:rPr>
        <w:t xml:space="preserve">- Monitoramento das condições de funcionamento da Estação de Tratamento de Esgoto do </w:t>
      </w:r>
      <w:r>
        <w:rPr>
          <w:i/>
          <w:color w:val="000000" w:themeColor="text1"/>
        </w:rPr>
        <w:t>campus</w:t>
      </w:r>
      <w:r>
        <w:rPr>
          <w:color w:val="000000" w:themeColor="text1"/>
        </w:rPr>
        <w:t xml:space="preserve"> JK e monitoramento das águas do córrego Soberbo.</w:t>
      </w:r>
    </w:p>
    <w:p>
      <w:pPr>
        <w:pStyle w:val="Default"/>
        <w:spacing w:lineRule="auto" w:line="360"/>
        <w:jc w:val="both"/>
        <w:rPr>
          <w:color w:val="000000" w:themeColor="text1"/>
        </w:rPr>
      </w:pPr>
      <w:r>
        <w:rPr>
          <w:color w:val="000000" w:themeColor="text1"/>
        </w:rPr>
        <w:t>- Coordenação e participação na Comissão de Coleta Seletiva Solidária/UFVJM.</w:t>
      </w:r>
    </w:p>
    <w:p>
      <w:pPr>
        <w:pStyle w:val="Default"/>
        <w:spacing w:lineRule="auto" w:line="360"/>
        <w:jc w:val="both"/>
        <w:rPr>
          <w:color w:val="000000" w:themeColor="text1"/>
        </w:rPr>
      </w:pPr>
      <w:r>
        <w:rPr>
          <w:color w:val="000000" w:themeColor="text1"/>
        </w:rPr>
        <w:t>- Coordenação e participação na Comissão de elaboração do Plano de Gerenciamento de Resíduos dos Sólidos (PGRS).</w:t>
      </w:r>
    </w:p>
    <w:p>
      <w:pPr>
        <w:pStyle w:val="Default"/>
        <w:spacing w:lineRule="auto" w:line="360"/>
        <w:jc w:val="both"/>
        <w:rPr>
          <w:color w:val="000000" w:themeColor="text1"/>
        </w:rPr>
      </w:pPr>
      <w:r>
        <w:rPr>
          <w:color w:val="000000" w:themeColor="text1"/>
        </w:rPr>
        <w:t>- Coordenação e participação na Comissão Gestora do Plano de Logística Sustentável.</w:t>
      </w:r>
    </w:p>
    <w:p>
      <w:pPr>
        <w:pStyle w:val="Default"/>
        <w:spacing w:lineRule="auto" w:line="360"/>
        <w:jc w:val="both"/>
        <w:rPr>
          <w:color w:val="000000" w:themeColor="text1"/>
        </w:rPr>
      </w:pPr>
      <w:r>
        <w:rPr>
          <w:color w:val="000000" w:themeColor="text1"/>
        </w:rPr>
        <w:t xml:space="preserve">- Coordenação e participação na Comissão de elaboração do Projeto de Humanização de Ambientes e Paisagismo do </w:t>
      </w:r>
      <w:r>
        <w:rPr>
          <w:i/>
          <w:color w:val="000000" w:themeColor="text1"/>
        </w:rPr>
        <w:t>campus</w:t>
      </w:r>
      <w:r>
        <w:rPr>
          <w:color w:val="000000" w:themeColor="text1"/>
        </w:rPr>
        <w:t xml:space="preserve"> JK.</w:t>
      </w:r>
    </w:p>
    <w:p>
      <w:pPr>
        <w:pStyle w:val="Default"/>
        <w:spacing w:lineRule="auto" w:line="360"/>
        <w:jc w:val="both"/>
        <w:rPr>
          <w:color w:val="000000" w:themeColor="text1"/>
        </w:rPr>
      </w:pPr>
      <w:r>
        <w:rPr>
          <w:color w:val="000000" w:themeColor="text1"/>
        </w:rPr>
        <w:t>- Apoio e participação nos Comitês e Conselhos relacionados ao Meio Ambiente.</w:t>
      </w:r>
    </w:p>
    <w:p>
      <w:pPr>
        <w:pStyle w:val="Normal"/>
        <w:spacing w:lineRule="auto" w:line="360"/>
        <w:ind w:firstLine="708"/>
        <w:jc w:val="both"/>
        <w:rPr>
          <w:rFonts w:ascii="Arial" w:hAnsi="Arial" w:eastAsia="Calibri" w:cs="Arial"/>
          <w:sz w:val="24"/>
          <w:szCs w:val="24"/>
        </w:rPr>
      </w:pPr>
      <w:r>
        <w:rPr>
          <w:rFonts w:eastAsia="Calibri" w:cs="Arial" w:ascii="Arial" w:hAnsi="Arial"/>
          <w:sz w:val="24"/>
          <w:szCs w:val="24"/>
        </w:rPr>
      </w:r>
    </w:p>
    <w:p>
      <w:pPr>
        <w:pStyle w:val="Normal"/>
        <w:spacing w:lineRule="auto" w:line="360"/>
        <w:ind w:firstLine="708"/>
        <w:jc w:val="both"/>
        <w:rPr>
          <w:rFonts w:ascii="Arial" w:hAnsi="Arial" w:eastAsia="Calibri" w:cs="Arial"/>
          <w:sz w:val="24"/>
          <w:szCs w:val="24"/>
        </w:rPr>
      </w:pPr>
      <w:r>
        <w:rPr>
          <w:rFonts w:eastAsia="Calibri" w:cs="Arial" w:ascii="Arial" w:hAnsi="Arial"/>
          <w:sz w:val="24"/>
          <w:szCs w:val="24"/>
        </w:rPr>
        <w:t>Em relação ao PDI 2012-2016, a Assessoria de Meio Ambiente (AMA) conseguiu cumprir diversas atividades, a saber:</w:t>
      </w:r>
    </w:p>
    <w:p>
      <w:pPr>
        <w:pStyle w:val="Normal"/>
        <w:numPr>
          <w:ilvl w:val="0"/>
          <w:numId w:val="54"/>
        </w:numPr>
        <w:suppressAutoHyphens w:val="true"/>
        <w:spacing w:lineRule="auto" w:line="360"/>
        <w:jc w:val="both"/>
        <w:rPr>
          <w:rFonts w:ascii="Arial" w:hAnsi="Arial" w:eastAsia="Calibri" w:cs="Arial"/>
          <w:sz w:val="24"/>
          <w:szCs w:val="24"/>
        </w:rPr>
      </w:pPr>
      <w:r>
        <w:rPr>
          <w:rFonts w:eastAsia="Calibri" w:cs="Arial" w:ascii="Arial" w:hAnsi="Arial"/>
          <w:sz w:val="24"/>
          <w:szCs w:val="24"/>
        </w:rPr>
        <w:t>Implantação do Programa de Coleta Seletiva Solidária, visando diminuir o impacto do lixo na cidade, além de gerar recursos financeiros para as Associações de Catadores de Material Reciclável localizadas nos municípios de abrangência dos Campi da UFVJM;</w:t>
      </w:r>
    </w:p>
    <w:p>
      <w:pPr>
        <w:pStyle w:val="Normal"/>
        <w:numPr>
          <w:ilvl w:val="0"/>
          <w:numId w:val="54"/>
        </w:numPr>
        <w:suppressAutoHyphens w:val="true"/>
        <w:spacing w:lineRule="auto" w:line="360" w:beforeAutospacing="1" w:afterAutospacing="1"/>
        <w:jc w:val="both"/>
        <w:rPr>
          <w:rFonts w:ascii="Arial" w:hAnsi="Arial" w:eastAsia="Calibri" w:cs="Arial"/>
          <w:sz w:val="24"/>
          <w:szCs w:val="24"/>
        </w:rPr>
      </w:pPr>
      <w:r>
        <w:rPr>
          <w:rFonts w:eastAsia="Calibri" w:cs="Arial" w:ascii="Arial" w:hAnsi="Arial"/>
          <w:sz w:val="24"/>
          <w:szCs w:val="24"/>
        </w:rPr>
        <w:t>Realização de licenciamentos ambientais de obras e de outras intervenções ambientais necessárias no Campus JK e demais Campi da UFVJM;</w:t>
      </w:r>
    </w:p>
    <w:p>
      <w:pPr>
        <w:pStyle w:val="Normal"/>
        <w:numPr>
          <w:ilvl w:val="0"/>
          <w:numId w:val="54"/>
        </w:numPr>
        <w:suppressAutoHyphens w:val="true"/>
        <w:spacing w:lineRule="auto" w:line="360" w:beforeAutospacing="1" w:afterAutospacing="1"/>
        <w:jc w:val="both"/>
        <w:rPr>
          <w:rFonts w:ascii="Arial" w:hAnsi="Arial" w:eastAsia="Calibri" w:cs="Arial"/>
          <w:sz w:val="24"/>
          <w:szCs w:val="24"/>
        </w:rPr>
      </w:pPr>
      <w:r>
        <w:rPr>
          <w:rFonts w:eastAsia="Calibri" w:cs="Arial" w:ascii="Arial" w:hAnsi="Arial"/>
          <w:sz w:val="24"/>
          <w:szCs w:val="24"/>
        </w:rPr>
        <w:t>Gestão, acompanhamento e renovação de licenciamentos ambientais por meio de registros juntos aos órgãos competentes e outorgas do uso de água nos Campi da UFVJM;</w:t>
      </w:r>
    </w:p>
    <w:p>
      <w:pPr>
        <w:pStyle w:val="Normal"/>
        <w:numPr>
          <w:ilvl w:val="0"/>
          <w:numId w:val="54"/>
        </w:numPr>
        <w:suppressAutoHyphens w:val="true"/>
        <w:spacing w:lineRule="auto" w:line="360" w:beforeAutospacing="1" w:afterAutospacing="1"/>
        <w:jc w:val="both"/>
        <w:rPr>
          <w:rFonts w:ascii="Arial" w:hAnsi="Arial" w:eastAsia="Calibri" w:cs="Arial"/>
          <w:sz w:val="24"/>
          <w:szCs w:val="24"/>
        </w:rPr>
      </w:pPr>
      <w:r>
        <w:rPr>
          <w:rFonts w:eastAsia="Calibri" w:cs="Arial" w:ascii="Arial" w:hAnsi="Arial"/>
          <w:sz w:val="24"/>
          <w:szCs w:val="24"/>
        </w:rPr>
        <w:t>Monitoramento contínuo das condições de funcionamento da Estação de Tratamento de Esgoto (ETE) do Campus JK e de águas superficiais (Córrego do Soberbo) e subterrâneas;</w:t>
      </w:r>
    </w:p>
    <w:p>
      <w:pPr>
        <w:pStyle w:val="Normal"/>
        <w:numPr>
          <w:ilvl w:val="0"/>
          <w:numId w:val="54"/>
        </w:numPr>
        <w:suppressAutoHyphens w:val="true"/>
        <w:spacing w:lineRule="auto" w:line="360" w:beforeAutospacing="1" w:afterAutospacing="1"/>
        <w:jc w:val="both"/>
        <w:rPr>
          <w:rFonts w:ascii="Arial" w:hAnsi="Arial" w:eastAsia="Calibri" w:cs="Arial"/>
          <w:sz w:val="24"/>
          <w:szCs w:val="24"/>
        </w:rPr>
      </w:pPr>
      <w:r>
        <w:rPr>
          <w:rFonts w:eastAsia="Calibri" w:cs="Arial" w:ascii="Arial" w:hAnsi="Arial"/>
          <w:sz w:val="24"/>
          <w:szCs w:val="24"/>
        </w:rPr>
        <w:t>Coordenação e participação na Comissão de elaboração do Plano de Gerenciamento de Resíduos Sólidos (PGRS);</w:t>
      </w:r>
    </w:p>
    <w:p>
      <w:pPr>
        <w:pStyle w:val="Normal"/>
        <w:numPr>
          <w:ilvl w:val="0"/>
          <w:numId w:val="54"/>
        </w:numPr>
        <w:suppressAutoHyphens w:val="true"/>
        <w:spacing w:lineRule="auto" w:line="360" w:beforeAutospacing="1" w:afterAutospacing="1"/>
        <w:jc w:val="both"/>
        <w:rPr>
          <w:rFonts w:ascii="Arial" w:hAnsi="Arial" w:eastAsia="Calibri" w:cs="Arial"/>
          <w:sz w:val="24"/>
          <w:szCs w:val="24"/>
        </w:rPr>
      </w:pPr>
      <w:r>
        <w:rPr>
          <w:rFonts w:eastAsia="Calibri" w:cs="Arial" w:ascii="Arial" w:hAnsi="Arial"/>
          <w:sz w:val="24"/>
          <w:szCs w:val="24"/>
        </w:rPr>
        <w:t>Coordenação e participação na Comissão Gestora do Plano de Logística Sustentável (PLS), aprovado segundo Resolução n° 19 CONSU de 08 de novembro de 2013;</w:t>
      </w:r>
    </w:p>
    <w:p>
      <w:pPr>
        <w:pStyle w:val="Normal"/>
        <w:numPr>
          <w:ilvl w:val="0"/>
          <w:numId w:val="54"/>
        </w:numPr>
        <w:suppressAutoHyphens w:val="true"/>
        <w:spacing w:lineRule="auto" w:line="360" w:beforeAutospacing="1" w:afterAutospacing="1"/>
        <w:jc w:val="both"/>
        <w:rPr>
          <w:rFonts w:ascii="Arial" w:hAnsi="Arial" w:eastAsia="Calibri" w:cs="Arial"/>
          <w:sz w:val="24"/>
          <w:szCs w:val="24"/>
        </w:rPr>
      </w:pPr>
      <w:r>
        <w:rPr>
          <w:rFonts w:eastAsia="Calibri" w:cs="Arial" w:ascii="Arial" w:hAnsi="Arial"/>
          <w:sz w:val="24"/>
          <w:szCs w:val="24"/>
        </w:rPr>
        <w:t>Coordenação e participação na Comissão de Humanização de Ambientes e Paisagismo dos Campi I e JK da UFVJM, tendo sido elaborado o projeto de Arborização das áreas centrais e coletivas do Campus JK;</w:t>
      </w:r>
    </w:p>
    <w:p>
      <w:pPr>
        <w:pStyle w:val="Normal"/>
        <w:numPr>
          <w:ilvl w:val="0"/>
          <w:numId w:val="54"/>
        </w:numPr>
        <w:suppressAutoHyphens w:val="true"/>
        <w:spacing w:lineRule="auto" w:line="360" w:beforeAutospacing="1" w:afterAutospacing="1"/>
        <w:jc w:val="both"/>
        <w:rPr>
          <w:rFonts w:ascii="Arial" w:hAnsi="Arial" w:eastAsia="Calibri" w:cs="Arial"/>
          <w:sz w:val="24"/>
          <w:szCs w:val="24"/>
        </w:rPr>
      </w:pPr>
      <w:r>
        <w:rPr>
          <w:rFonts w:eastAsia="Calibri" w:cs="Arial" w:ascii="Arial" w:hAnsi="Arial"/>
          <w:sz w:val="24"/>
          <w:szCs w:val="24"/>
        </w:rPr>
        <w:t>Apoio, acompanhamento e participação nos Comitês e Conselhos municipais, estaduais e federais relacionados à área de Meio Ambiente;</w:t>
      </w:r>
    </w:p>
    <w:p>
      <w:pPr>
        <w:pStyle w:val="Normal"/>
        <w:numPr>
          <w:ilvl w:val="0"/>
          <w:numId w:val="54"/>
        </w:numPr>
        <w:suppressAutoHyphens w:val="true"/>
        <w:spacing w:lineRule="auto" w:line="360" w:beforeAutospacing="1" w:afterAutospacing="1"/>
        <w:jc w:val="both"/>
        <w:rPr>
          <w:rFonts w:ascii="Arial" w:hAnsi="Arial" w:eastAsia="Calibri" w:cs="Arial"/>
          <w:color w:val="0070C0"/>
          <w:sz w:val="24"/>
          <w:szCs w:val="24"/>
        </w:rPr>
      </w:pPr>
      <w:r>
        <w:rPr>
          <w:rFonts w:eastAsia="Calibri" w:cs="Arial" w:ascii="Arial" w:hAnsi="Arial"/>
          <w:sz w:val="24"/>
          <w:szCs w:val="24"/>
        </w:rPr>
        <w:t xml:space="preserve">Atualização e melhoria contínua da </w:t>
      </w:r>
      <w:r>
        <w:rPr>
          <w:rFonts w:eastAsia="Calibri" w:cs="Arial" w:ascii="Arial" w:hAnsi="Arial"/>
          <w:i/>
          <w:sz w:val="24"/>
          <w:szCs w:val="24"/>
        </w:rPr>
        <w:t>Home Page da Assessoria</w:t>
      </w:r>
      <w:r>
        <w:rPr>
          <w:rFonts w:eastAsia="Calibri" w:cs="Arial" w:ascii="Arial" w:hAnsi="Arial"/>
          <w:sz w:val="24"/>
          <w:szCs w:val="24"/>
        </w:rPr>
        <w:t xml:space="preserve"> de Meio Ambiente</w:t>
      </w:r>
      <w:r>
        <w:rPr>
          <w:rFonts w:eastAsia="Calibri" w:cs="Arial" w:ascii="Arial" w:hAnsi="Arial"/>
          <w:color w:val="0070C0"/>
          <w:sz w:val="24"/>
          <w:szCs w:val="24"/>
        </w:rPr>
        <w:t>.</w:t>
      </w:r>
    </w:p>
    <w:p>
      <w:pPr>
        <w:pStyle w:val="ListParagraph"/>
        <w:spacing w:lineRule="auto" w:line="360" w:before="0" w:after="0"/>
        <w:ind w:left="0" w:hanging="0"/>
        <w:contextualSpacing/>
        <w:jc w:val="both"/>
        <w:rPr>
          <w:rFonts w:ascii="Arial" w:hAnsi="Arial" w:cs="Arial"/>
          <w:b/>
          <w:b/>
          <w:color w:val="000000" w:themeColor="text1"/>
        </w:rPr>
      </w:pPr>
      <w:r>
        <w:rPr>
          <w:rFonts w:cs="Arial"/>
          <w:b/>
          <w:color w:val="000000" w:themeColor="text1"/>
        </w:rPr>
        <w:t>4.2.1. PLANO DE DESENVOLVIMENTO INSTITUCIONAL - 2017 - 2021</w:t>
      </w:r>
    </w:p>
    <w:p>
      <w:pPr>
        <w:pStyle w:val="ListParagraph"/>
        <w:spacing w:lineRule="auto" w:line="360" w:before="0" w:after="0"/>
        <w:ind w:left="0" w:hanging="0"/>
        <w:contextualSpacing/>
        <w:jc w:val="both"/>
        <w:rPr>
          <w:rFonts w:ascii="Arial" w:hAnsi="Arial" w:cs="Arial"/>
          <w:b/>
          <w:b/>
          <w:color w:val="000000" w:themeColor="text1"/>
        </w:rPr>
      </w:pPr>
      <w:r>
        <w:rPr>
          <w:rFonts w:cs="Arial"/>
          <w:b/>
          <w:color w:val="000000" w:themeColor="text1"/>
        </w:rPr>
      </w:r>
    </w:p>
    <w:p>
      <w:pPr>
        <w:pStyle w:val="ListParagraph"/>
        <w:spacing w:lineRule="auto" w:line="360" w:before="0" w:after="0"/>
        <w:ind w:left="0" w:hanging="0"/>
        <w:contextualSpacing/>
        <w:jc w:val="both"/>
        <w:rPr>
          <w:rFonts w:ascii="Arial" w:hAnsi="Arial" w:cs="Arial"/>
          <w:b/>
          <w:b/>
          <w:color w:val="000000" w:themeColor="text1"/>
        </w:rPr>
      </w:pPr>
      <w:r>
        <w:rPr>
          <w:rFonts w:cs="Arial"/>
          <w:b/>
          <w:color w:val="000000" w:themeColor="text1"/>
        </w:rPr>
        <w:t>Objetivos</w:t>
      </w:r>
    </w:p>
    <w:p>
      <w:pPr>
        <w:pStyle w:val="ListParagraph"/>
        <w:spacing w:lineRule="auto" w:line="360" w:before="0" w:after="0"/>
        <w:ind w:left="0" w:hanging="0"/>
        <w:contextualSpacing/>
        <w:jc w:val="both"/>
        <w:rPr>
          <w:rFonts w:ascii="Arial" w:hAnsi="Arial" w:cs="Arial"/>
          <w:b/>
          <w:b/>
          <w:color w:val="000000" w:themeColor="text1"/>
        </w:rPr>
      </w:pPr>
      <w:r>
        <w:rPr>
          <w:rFonts w:cs="Arial"/>
          <w:b/>
          <w:color w:val="000000" w:themeColor="text1"/>
        </w:rPr>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Promover e desenvolver propostas e ações necessárias à condução da política de Meio Ambiente no âmbito da universidade, tendo como foco primordial conciliar o desenvolvimento institucional com a preservação e a conservação ambiental, a fim de proporcionar a melhoria da qualidade de vida e do bem estar social de toda a comunidade acadêmica.</w:t>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Manter e ampliar a Coleta Seletiva Solidária na UFVJM.</w:t>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Participar do Grupo Gestor do Plano de Gerenciamento Integrado dos Resíduos Sólidos Urbanos – PGIRSU.</w:t>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Implantar o Plano de Gerenciamento de Resíduos dos Serviços da Saúde (PGRSS).</w:t>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Promover o desenvolvimento do Plano de Gerenciamento de Resíduos em cada Unidade Acadêmica.</w:t>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Coordenar os processos de Licenciamento Ambiental das diferentes atividades da Instituição, incluído as solicitações e renovações de outorgas de uso de águas existentes em suas dependências.</w:t>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Coordenar o cumprimento do Termo de Ajuste de Conduta (TAC) na área ambiental.</w:t>
      </w:r>
    </w:p>
    <w:p>
      <w:pPr>
        <w:pStyle w:val="ListParagraph"/>
        <w:widowControl w:val="false"/>
        <w:numPr>
          <w:ilvl w:val="0"/>
          <w:numId w:val="39"/>
        </w:numPr>
        <w:spacing w:lineRule="auto" w:line="360" w:before="0" w:after="0"/>
        <w:contextualSpacing/>
        <w:jc w:val="both"/>
        <w:rPr>
          <w:rFonts w:ascii="Arial" w:hAnsi="Arial" w:cs="Arial"/>
          <w:color w:val="000000" w:themeColor="text1"/>
        </w:rPr>
      </w:pPr>
      <w:r>
        <w:rPr>
          <w:rFonts w:cs="Arial"/>
          <w:color w:val="000000" w:themeColor="text1"/>
        </w:rPr>
        <w:t>Apoiar e acompanhar a participação de representantes da UFVJM nas reuniões dos Comitês e Conselhos estaduais de Meio Ambiente.</w:t>
      </w:r>
    </w:p>
    <w:p>
      <w:pPr>
        <w:pStyle w:val="ListParagraph"/>
        <w:widowControl w:val="false"/>
        <w:spacing w:lineRule="auto" w:line="360" w:before="0" w:after="0"/>
        <w:contextualSpacing/>
        <w:jc w:val="both"/>
        <w:rPr>
          <w:rFonts w:ascii="Arial" w:hAnsi="Arial" w:cs="Arial"/>
          <w:color w:val="000000" w:themeColor="text1"/>
        </w:rPr>
      </w:pPr>
      <w:r>
        <w:rPr>
          <w:rFonts w:cs="Arial"/>
          <w:color w:val="000000" w:themeColor="text1"/>
        </w:rPr>
      </w:r>
    </w:p>
    <w:p>
      <w:pPr>
        <w:pStyle w:val="ListParagraph"/>
        <w:spacing w:lineRule="auto" w:line="360" w:before="0" w:after="0"/>
        <w:ind w:left="0" w:hanging="0"/>
        <w:contextualSpacing/>
        <w:jc w:val="both"/>
        <w:rPr>
          <w:rFonts w:ascii="Arial" w:hAnsi="Arial" w:cs="Arial"/>
          <w:b/>
          <w:b/>
          <w:color w:val="000000" w:themeColor="text1"/>
        </w:rPr>
      </w:pPr>
      <w:r>
        <w:rPr>
          <w:rFonts w:cs="Arial"/>
          <w:b/>
          <w:color w:val="000000" w:themeColor="text1"/>
        </w:rPr>
        <w:t>Metas</w:t>
      </w:r>
    </w:p>
    <w:p>
      <w:pPr>
        <w:pStyle w:val="ListParagraph"/>
        <w:spacing w:lineRule="auto" w:line="360" w:before="0" w:after="0"/>
        <w:ind w:left="0" w:hanging="0"/>
        <w:contextualSpacing/>
        <w:jc w:val="both"/>
        <w:rPr>
          <w:rFonts w:ascii="Arial" w:hAnsi="Arial" w:cs="Arial"/>
          <w:b/>
          <w:b/>
          <w:color w:val="000000" w:themeColor="text1"/>
        </w:rPr>
      </w:pPr>
      <w:r>
        <w:rPr>
          <w:rFonts w:cs="Arial"/>
          <w:b/>
          <w:color w:val="000000" w:themeColor="text1"/>
        </w:rPr>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Aumentar a quantidade de coleta de material reciclável a ser doado para as instituições adequadas (Associação de Catadores deste material).</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Concluir a implantação do Plano de Gerenciamento dos Resíduos Sólidos Urbanos – PGRSU.</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Implantar o PGRSS dentro de cada Estabelecimento de Atendimento à Saúde (EAS) da UFVJM.</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Desenvolver, finalizar e implantar os Planos de Gerenciamento de Resíduos em todas as Unidades Acadêmicas da UFVJM.</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 xml:space="preserve">Coordenar, assessorar e promover a melhoria contínua do Projeto de Humanização de Ambientes e Paisagismo do </w:t>
      </w:r>
      <w:r>
        <w:rPr>
          <w:rFonts w:cs="Arial"/>
          <w:i/>
          <w:color w:val="000000" w:themeColor="text1"/>
        </w:rPr>
        <w:t>campus</w:t>
      </w:r>
      <w:r>
        <w:rPr>
          <w:rFonts w:cs="Arial"/>
          <w:color w:val="000000" w:themeColor="text1"/>
        </w:rPr>
        <w:t xml:space="preserve"> JK.</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Atualizar e implantar o Plano de Logística Sustentável.</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Dinamizar os processos de licenciamento e regularização ambiental na UFVJM.</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Orientar e acompanhar a participação de representantes da UFVJM nas reuniões dos Comitês e Conselhos relacionados ao Meio Ambiente.</w:t>
      </w:r>
    </w:p>
    <w:p>
      <w:pPr>
        <w:pStyle w:val="ListParagraph"/>
        <w:widowControl w:val="false"/>
        <w:numPr>
          <w:ilvl w:val="0"/>
          <w:numId w:val="40"/>
        </w:numPr>
        <w:spacing w:lineRule="auto" w:line="360" w:before="0" w:after="0"/>
        <w:contextualSpacing/>
        <w:jc w:val="both"/>
        <w:rPr>
          <w:rFonts w:ascii="Arial" w:hAnsi="Arial" w:cs="Arial"/>
          <w:color w:val="000000" w:themeColor="text1"/>
        </w:rPr>
      </w:pPr>
      <w:r>
        <w:rPr>
          <w:rFonts w:cs="Arial"/>
          <w:color w:val="000000" w:themeColor="text1"/>
        </w:rPr>
        <w:t xml:space="preserve">Promover, atualizar e melhorar a </w:t>
      </w:r>
      <w:r>
        <w:rPr>
          <w:rFonts w:cs="Arial"/>
          <w:i/>
          <w:color w:val="000000" w:themeColor="text1"/>
        </w:rPr>
        <w:t>Home Page</w:t>
      </w:r>
      <w:r>
        <w:rPr>
          <w:rFonts w:cs="Arial"/>
          <w:color w:val="000000" w:themeColor="text1"/>
        </w:rPr>
        <w:t xml:space="preserve"> da Assessoria de Meio Ambiente.</w:t>
      </w:r>
    </w:p>
    <w:p>
      <w:pPr>
        <w:pStyle w:val="Normal1"/>
        <w:widowControl w:val="false"/>
        <w:spacing w:lineRule="auto" w:line="360"/>
        <w:jc w:val="both"/>
        <w:rPr>
          <w:rFonts w:ascii="Arial" w:hAnsi="Arial" w:cs="Arial"/>
          <w:color w:val="000000" w:themeColor="text1"/>
        </w:rPr>
      </w:pPr>
      <w:r>
        <w:rPr>
          <w:rFonts w:cs="Arial"/>
          <w:color w:val="000000" w:themeColor="text1"/>
        </w:rPr>
      </w:r>
    </w:p>
    <w:p>
      <w:pPr>
        <w:pStyle w:val="Normal1"/>
        <w:numPr>
          <w:ilvl w:val="0"/>
          <w:numId w:val="0"/>
        </w:numPr>
        <w:spacing w:lineRule="auto" w:line="360"/>
        <w:jc w:val="both"/>
        <w:outlineLvl w:val="1"/>
        <w:rPr>
          <w:rFonts w:ascii="Arial" w:hAnsi="Arial" w:cs="Arial"/>
          <w:b/>
          <w:b/>
          <w:color w:val="000000" w:themeColor="text1"/>
        </w:rPr>
      </w:pPr>
      <w:r>
        <w:rPr>
          <w:rFonts w:cs="Arial"/>
          <w:b/>
          <w:color w:val="000000" w:themeColor="text1"/>
        </w:rPr>
        <w:t>Ações</w:t>
      </w:r>
    </w:p>
    <w:p>
      <w:pPr>
        <w:pStyle w:val="Normal1"/>
        <w:numPr>
          <w:ilvl w:val="0"/>
          <w:numId w:val="0"/>
        </w:numPr>
        <w:spacing w:lineRule="auto" w:line="360"/>
        <w:jc w:val="both"/>
        <w:outlineLvl w:val="1"/>
        <w:rPr>
          <w:rFonts w:ascii="Arial" w:hAnsi="Arial" w:cs="Arial"/>
          <w:b/>
          <w:b/>
          <w:color w:val="000000" w:themeColor="text1"/>
        </w:rPr>
      </w:pPr>
      <w:r>
        <w:rPr>
          <w:rFonts w:cs="Arial"/>
          <w:b/>
          <w:color w:val="000000" w:themeColor="text1"/>
        </w:rPr>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Adquirir uma fragmentadora de papel, visando à ampliação da quantidade do material reciclável destinado às Associações de Catadores (ação vinculada à parte de extensão).</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Conscientizar a comunidade acadêmica sobre a importância da coleta seletiva solidária por meio da realização de oficinas de coleta seletiva (ação vinculada à parte de ensino) para funcionários terceirizados, corpo discente, servidores docentes e técnico-administrativos.</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Realizar reuniões periódicas com a Comissão de elaboração do Plano de Gerenciamento de Resíduos dos Sólidos - PGRS (ação vinculada à parte de pesquisa), a fim de: a) contratar empresa(s) especializada(s) em destinação final de resíduos dos Serviços da Saúde e Perigosos; b) criar oficinas que visem à atualização dos protocolos de coleta de resíduos gerados dentro de cada EAS da UFVJM; e c) criar oficinas que visem à atualização dos protocolos de coleta de resíduos gerados dentro de outras Unidades Acadêmicas da UFVJM.</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Compatibilizar ações com a Comissão de Biossegurança da UFVJM.</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 xml:space="preserve">Realizar reuniões periódicas com a Comissão de elaboração do Projeto de Humanização de Ambientes e Paisagismo para dar sequência às propostas voltadas aos demais espaços do </w:t>
      </w:r>
      <w:r>
        <w:rPr>
          <w:rFonts w:cs="Arial"/>
          <w:i/>
          <w:color w:val="000000" w:themeColor="text1"/>
        </w:rPr>
        <w:t>campus</w:t>
      </w:r>
      <w:r>
        <w:rPr>
          <w:rFonts w:cs="Arial"/>
          <w:color w:val="000000" w:themeColor="text1"/>
        </w:rPr>
        <w:t xml:space="preserve"> JK, quanto à melhoria desses ambientes (ação vinculada à parte de pesquisa e extensão).</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Desenvolver protocolos para o licenciamento ambiental, estabelecendo diretrizes para todas as etapas, desde a licitação até a obtenção do licenciamento pelo órgão ambiental (ação vinculada à parte de pesquisa).</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 xml:space="preserve">Realizar os licenciamentos dos </w:t>
      </w:r>
      <w:r>
        <w:rPr>
          <w:rFonts w:cs="Arial"/>
          <w:i/>
          <w:color w:val="000000" w:themeColor="text1"/>
        </w:rPr>
        <w:t>campi</w:t>
      </w:r>
      <w:r>
        <w:rPr>
          <w:rFonts w:cs="Arial"/>
          <w:color w:val="000000" w:themeColor="text1"/>
        </w:rPr>
        <w:t>, conforme demanda.</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Propor, realizar e participar, em parceria com outras instituições de eventos na área ambiental, particularmente em datas comemorativas tradicionais como Semana do Meio Ambiente, Dia da Árvore etc. (ação vinculada à parte de ensino e extensão).</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Criar e propor Regimentos para a Assessoria de Meio Ambiente.</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Propiciar a participação de representantes da UFVJM nas reuniões dos Comitês e Conselhos estaduais de Meio Ambiente (ação vinculada à parte de extensão).</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 xml:space="preserve">Promover a melhoria e atualização da </w:t>
      </w:r>
      <w:r>
        <w:rPr>
          <w:rFonts w:cs="Arial"/>
          <w:i/>
          <w:color w:val="000000" w:themeColor="text1"/>
        </w:rPr>
        <w:t>Home Page</w:t>
      </w:r>
      <w:r>
        <w:rPr>
          <w:rFonts w:cs="Arial"/>
          <w:color w:val="000000" w:themeColor="text1"/>
        </w:rPr>
        <w:t xml:space="preserve"> da Assessoria de Meio Ambiente (ação vinculada à parte de ensino e extensão).</w:t>
      </w:r>
    </w:p>
    <w:p>
      <w:pPr>
        <w:pStyle w:val="ListParagraph"/>
        <w:numPr>
          <w:ilvl w:val="0"/>
          <w:numId w:val="41"/>
        </w:numPr>
        <w:spacing w:lineRule="auto" w:line="360" w:before="0" w:after="0"/>
        <w:contextualSpacing/>
        <w:jc w:val="both"/>
        <w:rPr>
          <w:rFonts w:ascii="Arial" w:hAnsi="Arial" w:cs="Arial"/>
          <w:color w:val="000000" w:themeColor="text1"/>
        </w:rPr>
      </w:pPr>
      <w:r>
        <w:rPr>
          <w:rFonts w:cs="Arial"/>
          <w:color w:val="000000" w:themeColor="text1"/>
        </w:rPr>
        <w:t xml:space="preserve">Representar a UFVJM nos eventos relacionados às questões ambientais e de sustentabilidade. </w:t>
      </w:r>
    </w:p>
    <w:p>
      <w:pPr>
        <w:pStyle w:val="ListParagraph"/>
        <w:spacing w:lineRule="auto" w:line="360" w:before="0" w:after="0"/>
        <w:contextualSpacing/>
        <w:jc w:val="both"/>
        <w:rPr>
          <w:rFonts w:ascii="Arial" w:hAnsi="Arial" w:cs="Arial"/>
          <w:color w:val="000000" w:themeColor="text1"/>
        </w:rPr>
      </w:pPr>
      <w:r>
        <w:rPr>
          <w:rFonts w:cs="Arial"/>
          <w:color w:val="000000" w:themeColor="text1"/>
        </w:rPr>
      </w:r>
    </w:p>
    <w:p>
      <w:pPr>
        <w:pStyle w:val="ListParagraph"/>
        <w:spacing w:lineRule="auto" w:line="360" w:before="0" w:after="0"/>
        <w:contextualSpacing/>
        <w:jc w:val="both"/>
        <w:rPr>
          <w:rFonts w:ascii="Arial" w:hAnsi="Arial" w:cs="Arial"/>
          <w:b/>
          <w:b/>
          <w:color w:val="000000" w:themeColor="text1"/>
        </w:rPr>
      </w:pPr>
      <w:r>
        <w:rPr>
          <w:rFonts w:cs="Arial"/>
          <w:b/>
          <w:color w:val="000000" w:themeColor="text1"/>
        </w:rPr>
        <w:t>4.3. Proteção, Inovação e Transferência de Tecnologias</w:t>
      </w:r>
    </w:p>
    <w:p>
      <w:pPr>
        <w:pStyle w:val="Normal1"/>
        <w:spacing w:lineRule="auto" w:line="360"/>
        <w:jc w:val="both"/>
        <w:rPr>
          <w:rFonts w:ascii="Arial" w:hAnsi="Arial" w:cs="Arial"/>
          <w:color w:val="000000" w:themeColor="text1"/>
        </w:rPr>
      </w:pPr>
      <w:r>
        <w:rPr>
          <w:rFonts w:cs="Arial"/>
          <w:color w:val="000000" w:themeColor="text1"/>
        </w:rPr>
      </w:r>
    </w:p>
    <w:p>
      <w:pPr>
        <w:pStyle w:val="M5365091212347152756m1402241205955487382gmailwestern"/>
        <w:shd w:val="clear" w:color="auto" w:fill="FFFFFF"/>
        <w:spacing w:lineRule="auto" w:line="360" w:before="0" w:after="0"/>
        <w:ind w:firstLine="708"/>
        <w:jc w:val="both"/>
        <w:rPr>
          <w:rFonts w:ascii="Arial" w:hAnsi="Arial" w:cs="Arial"/>
          <w:color w:val="000000" w:themeColor="text1"/>
        </w:rPr>
      </w:pPr>
      <w:r>
        <w:rPr>
          <w:rFonts w:cs="Arial"/>
          <w:color w:val="000000" w:themeColor="text1"/>
        </w:rPr>
        <w:t>O Centro de Inovação Tecnológica- CITec/UFVJM tem um grande desafio, o de apoiar toda a UFVJM no cumprimento de sua Missão institucional, seja promovendo ou facilitando a execução de ações que visem a melhoria do bem estar da sociedade, o desenvolvimento regional e nacional, ou ambos. </w:t>
      </w:r>
    </w:p>
    <w:p>
      <w:pPr>
        <w:pStyle w:val="M5365091212347152756m1402241205955487382gmailwestern"/>
        <w:shd w:val="clear" w:color="auto" w:fill="FFFFFF"/>
        <w:spacing w:lineRule="auto" w:line="360" w:before="0" w:after="0"/>
        <w:ind w:firstLine="708"/>
        <w:jc w:val="both"/>
        <w:rPr>
          <w:rFonts w:ascii="Arial" w:hAnsi="Arial" w:cs="Arial"/>
          <w:color w:val="000000" w:themeColor="text1"/>
        </w:rPr>
      </w:pPr>
      <w:r>
        <w:rPr>
          <w:rFonts w:cs="Arial"/>
          <w:color w:val="000000" w:themeColor="text1"/>
        </w:rPr>
        <w:t>Desta forma, frente às constantes mudanças que ocorrem na sociedade que estamos inseridos, o CITec se posta visando ser o principal apoiador para ações de desenvolvimento tecnológico e de desenvolvimento regional em toda a área de abrangência da UFVJM, reafirmando valores como a integração sistêmica entre educação, trabalho e atuação social, a oportunidade de acesso à UFVJM e socialização de seus benefícios, o desenvolvimento sustentável, o respeito à cidadania e à diversidade étnica e cultural e a valorização das pessoas. Portanto espera-se que a atuação do CITec possibilite disseminar a cultura empreendedora e promover o desenvolvimento econômico e social em toda área de abrangência da UFVJM incentivando as parcerias entre os setores público e privado, de modo a apoiar a constante aproximação com a sociedade por meio do empreendedorismo, da transferência de tecnologia e da inovação.</w:t>
      </w:r>
    </w:p>
    <w:p>
      <w:pPr>
        <w:pStyle w:val="Default"/>
        <w:spacing w:lineRule="auto" w:line="360"/>
        <w:jc w:val="both"/>
        <w:rPr>
          <w:rFonts w:eastAsia="Calibri"/>
          <w:color w:val="000000" w:themeColor="text1"/>
        </w:rPr>
      </w:pPr>
      <w:r>
        <w:rPr>
          <w:rFonts w:eastAsia="Calibri"/>
          <w:color w:val="000000" w:themeColor="text1"/>
        </w:rPr>
      </w:r>
    </w:p>
    <w:p>
      <w:pPr>
        <w:pStyle w:val="Default"/>
        <w:spacing w:lineRule="auto" w:line="360"/>
        <w:jc w:val="both"/>
        <w:rPr>
          <w:b/>
          <w:b/>
          <w:color w:val="000000" w:themeColor="text1"/>
        </w:rPr>
      </w:pPr>
      <w:r>
        <w:rPr>
          <w:b/>
          <w:color w:val="000000" w:themeColor="text1"/>
        </w:rPr>
        <w:t>4.3.1. Gestão da Propriedade Intelectual, dos ambientes de inovação e do empreendedorismo</w:t>
      </w:r>
    </w:p>
    <w:p>
      <w:pPr>
        <w:pStyle w:val="Normal1"/>
        <w:spacing w:lineRule="auto" w:line="360"/>
        <w:ind w:firstLine="708"/>
        <w:jc w:val="both"/>
        <w:rPr>
          <w:rFonts w:ascii="Arial" w:hAnsi="Arial" w:cs="Arial"/>
          <w:color w:val="000000" w:themeColor="text1"/>
          <w:lang w:val="nl-NL"/>
        </w:rPr>
      </w:pPr>
      <w:r>
        <w:rPr>
          <w:rFonts w:cs="Arial"/>
          <w:color w:val="000000" w:themeColor="text1"/>
          <w:lang w:val="nl-NL"/>
        </w:rPr>
      </w:r>
    </w:p>
    <w:p>
      <w:pPr>
        <w:pStyle w:val="Normal1"/>
        <w:spacing w:lineRule="auto" w:line="360"/>
        <w:ind w:firstLine="708"/>
        <w:jc w:val="both"/>
        <w:rPr>
          <w:rFonts w:ascii="Arial" w:hAnsi="Arial" w:cs="Arial"/>
          <w:color w:val="000000" w:themeColor="text1"/>
        </w:rPr>
      </w:pPr>
      <w:r>
        <w:rPr>
          <w:rFonts w:cs="Arial"/>
          <w:color w:val="000000" w:themeColor="text1"/>
        </w:rPr>
        <w:t xml:space="preserve">O Centro de Inovações Tecnológicas da Universidade Federal dos Vales do Jequitinhonha e Mucuri – CITec/UFVJM é um órgão suplementar vinculado à Reitoria, criado pela Resolução N.º 08 – CONSU, DE 09 DE ABRIL DE 2010, que visa agregar competências e valores voltados ao desenvolvimento tecnológico em todas as áreas de atuação da UFVJM, além de promover o desenvolvimento de novas tecnologias pela articulação de atores da própria Instituição e de outras instituições, órgãos e empresas públicas e privadas, tendo como finalidade, no âmbito acadêmico, a consolidação das atividades do ensino, pesquisa e extensão da Universidade, através da Inovação Tecnológica. </w:t>
      </w:r>
    </w:p>
    <w:p>
      <w:pPr>
        <w:pStyle w:val="Normal1"/>
        <w:spacing w:lineRule="auto" w:line="360"/>
        <w:ind w:firstLine="708"/>
        <w:jc w:val="both"/>
        <w:rPr>
          <w:rFonts w:ascii="Arial" w:hAnsi="Arial" w:cs="Arial"/>
          <w:color w:val="000000" w:themeColor="text1"/>
        </w:rPr>
      </w:pPr>
      <w:r>
        <w:rPr>
          <w:rFonts w:cs="Arial"/>
          <w:color w:val="000000" w:themeColor="text1"/>
        </w:rPr>
        <w:t xml:space="preserve">A fim de dar agilidade às ações do CITec e de sua Diretoria, sua estrutura de núcleos foi extinta, sendo reduzida no sentido de a estrutura do CITec dar suporte a toda a comunidade acadêmica na área de abrangência da UFVJM, considerando o funcionamento </w:t>
      </w:r>
      <w:r>
        <w:rPr>
          <w:rFonts w:cs="Arial"/>
          <w:i/>
          <w:iCs/>
          <w:color w:val="000000" w:themeColor="text1"/>
        </w:rPr>
        <w:t>multicampi</w:t>
      </w:r>
      <w:r>
        <w:rPr>
          <w:rFonts w:cs="Arial"/>
          <w:color w:val="000000" w:themeColor="text1"/>
        </w:rPr>
        <w:t xml:space="preserve">com a seguinte composição: </w:t>
      </w:r>
    </w:p>
    <w:p>
      <w:pPr>
        <w:pStyle w:val="Normal1"/>
        <w:spacing w:lineRule="auto" w:line="360"/>
        <w:jc w:val="both"/>
        <w:rPr>
          <w:rFonts w:ascii="Arial" w:hAnsi="Arial" w:cs="Arial"/>
          <w:color w:val="000000" w:themeColor="text1"/>
        </w:rPr>
      </w:pPr>
      <w:r>
        <w:rPr>
          <w:rFonts w:cs="Arial"/>
          <w:b/>
          <w:bCs/>
          <w:color w:val="000000" w:themeColor="text1"/>
        </w:rPr>
        <w:t>Conselho Diretor</w:t>
      </w:r>
      <w:r>
        <w:rPr>
          <w:rFonts w:cs="Arial"/>
          <w:color w:val="000000" w:themeColor="text1"/>
        </w:rPr>
        <w:t>–O Conselho Diretor delibera a respeito das competências, diretrizes e metas do CITec, em consonância com o seu regimento aprovado pelo CONSU.</w:t>
      </w:r>
    </w:p>
    <w:p>
      <w:pPr>
        <w:pStyle w:val="Normal1"/>
        <w:spacing w:lineRule="auto" w:line="360"/>
        <w:jc w:val="both"/>
        <w:rPr>
          <w:rFonts w:ascii="Arial" w:hAnsi="Arial" w:cs="Arial"/>
          <w:color w:val="000000" w:themeColor="text1"/>
        </w:rPr>
      </w:pPr>
      <w:r>
        <w:rPr>
          <w:rFonts w:cs="Arial"/>
          <w:b/>
          <w:bCs/>
          <w:color w:val="000000" w:themeColor="text1"/>
        </w:rPr>
        <w:t xml:space="preserve">Câmara de Avaliação de Propriedade Intelectual </w:t>
      </w:r>
      <w:r>
        <w:rPr>
          <w:rFonts w:cs="Arial"/>
          <w:color w:val="000000" w:themeColor="text1"/>
        </w:rPr>
        <w:t xml:space="preserve">- A Câmara de Avaliação de Propriedade Intelectual (CAPI) é um órgão assessor </w:t>
      </w:r>
      <w:r>
        <w:rPr>
          <w:rFonts w:cs="Arial"/>
          <w:i/>
          <w:color w:val="000000" w:themeColor="text1"/>
        </w:rPr>
        <w:t>ad</w:t>
        <w:noBreakHyphen/>
        <w:t>hoc</w:t>
      </w:r>
      <w:r>
        <w:rPr>
          <w:rFonts w:cs="Arial"/>
          <w:color w:val="000000" w:themeColor="text1"/>
        </w:rPr>
        <w:t xml:space="preserve"> do Conselho Diretor, regido por regulamentação própria aprovada pelo Conselho Diretor e tem por finalidade:</w:t>
      </w:r>
    </w:p>
    <w:p>
      <w:pPr>
        <w:pStyle w:val="Normal1"/>
        <w:spacing w:lineRule="auto" w:line="360"/>
        <w:jc w:val="both"/>
        <w:rPr>
          <w:rFonts w:ascii="Arial" w:hAnsi="Arial" w:cs="Arial"/>
          <w:color w:val="000000" w:themeColor="text1"/>
        </w:rPr>
      </w:pPr>
      <w:r>
        <w:rPr>
          <w:rFonts w:cs="Arial"/>
          <w:color w:val="000000" w:themeColor="text1"/>
        </w:rPr>
        <w:t>I – avaliar e classificar os resultados decorrentes de atividades e projetos de pesquisa da UFVJM que envolvam desenvolvimento tecnológico, inovação e proteção do conhecimento;</w:t>
      </w:r>
    </w:p>
    <w:p>
      <w:pPr>
        <w:pStyle w:val="Normal1"/>
        <w:spacing w:lineRule="auto" w:line="360"/>
        <w:jc w:val="both"/>
        <w:rPr>
          <w:rFonts w:ascii="Arial" w:hAnsi="Arial" w:cs="Arial"/>
          <w:color w:val="000000" w:themeColor="text1"/>
        </w:rPr>
      </w:pPr>
      <w:r>
        <w:rPr>
          <w:rFonts w:cs="Arial"/>
          <w:color w:val="000000" w:themeColor="text1"/>
        </w:rPr>
        <w:t>II – assessorar o processamento dos pedidos, a manutenção e a regularização dos títulos de propriedade intelectual da UFVJM;</w:t>
      </w:r>
    </w:p>
    <w:p>
      <w:pPr>
        <w:pStyle w:val="Normal1"/>
        <w:spacing w:lineRule="auto" w:line="360"/>
        <w:jc w:val="both"/>
        <w:rPr>
          <w:rFonts w:ascii="Arial" w:hAnsi="Arial" w:cs="Arial"/>
          <w:color w:val="000000" w:themeColor="text1"/>
        </w:rPr>
      </w:pPr>
      <w:r>
        <w:rPr>
          <w:rFonts w:cs="Arial"/>
          <w:color w:val="000000" w:themeColor="text1"/>
        </w:rPr>
        <w:t>III - proporcionar que todas as Unidades Acadêmicas da UFVJM tenham profissionais habilitados para trabalhar de forma cooperativa na consolidação da cultura empreendedora e permitir a formação de grupos de trabalho no desenvolvimento e proteção de ativos de propriedade intelectual.</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color w:val="000000" w:themeColor="text1"/>
        </w:rPr>
      </w:pPr>
      <w:r>
        <w:rPr>
          <w:rFonts w:cs="Arial"/>
          <w:b/>
          <w:bCs/>
          <w:color w:val="000000" w:themeColor="text1"/>
        </w:rPr>
        <w:t>Agência de Gestão da Inovação</w:t>
      </w:r>
      <w:r>
        <w:rPr>
          <w:rFonts w:cs="Arial"/>
          <w:color w:val="000000" w:themeColor="text1"/>
        </w:rPr>
        <w:t xml:space="preserve"> - A Agência de Gestão da Inovação é um órgão do CITec, subordinado diretamente à sua Diretoria, responsável pelo apoio à gestão da política institucional de inovação, através da proteção, difusão e transferência dos ativos de propriedade intelectual da UFVJM; da promoção à pesquisa e ao desenvolvimento de soluções inovadoras e sua disponibilização à sociedade; e do incentivo ao interesse pela tecnologia e sua inovação junto à comunidade acadêmico-científica.</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color w:val="000000" w:themeColor="text1"/>
        </w:rPr>
      </w:pPr>
      <w:r>
        <w:rPr>
          <w:rFonts w:cs="Arial"/>
          <w:b/>
          <w:bCs/>
          <w:color w:val="000000" w:themeColor="text1"/>
        </w:rPr>
        <w:t>Coordenadoria de Ambientes de Inovação</w:t>
      </w:r>
      <w:r>
        <w:rPr>
          <w:rFonts w:cs="Arial"/>
          <w:color w:val="000000" w:themeColor="text1"/>
        </w:rPr>
        <w:t xml:space="preserve"> - A Coordenadoria de Ambientes de Inovação é o órgão do CITec, subordinado diretamente à sua Diretoria, responsável por dar suporte às iniciativas de planejamento, implantação e operação dos ambientes promotores de inovação vinculados à UFVJM, visando o desenvolvimento empresarial e tecnológico através da promoção da cultura da inovação, da competitividade industrial, da capacitação empresarial e da integração do conhecimento científico-tecnológico com o ambiente produtivo e social.</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color w:val="000000" w:themeColor="text1"/>
        </w:rPr>
      </w:pPr>
      <w:r>
        <w:rPr>
          <w:rFonts w:cs="Arial"/>
          <w:b/>
          <w:bCs/>
          <w:color w:val="000000" w:themeColor="text1"/>
        </w:rPr>
        <w:t xml:space="preserve">Coordenadorias de </w:t>
      </w:r>
      <w:r>
        <w:rPr>
          <w:rFonts w:cs="Arial"/>
          <w:b/>
          <w:bCs/>
          <w:i/>
          <w:iCs/>
          <w:color w:val="000000" w:themeColor="text1"/>
        </w:rPr>
        <w:t>Campus</w:t>
      </w:r>
      <w:r>
        <w:rPr>
          <w:rFonts w:cs="Arial"/>
          <w:color w:val="000000" w:themeColor="text1"/>
        </w:rPr>
        <w:t xml:space="preserve"> - A Coordenadoria de </w:t>
      </w:r>
      <w:r>
        <w:rPr>
          <w:rFonts w:cs="Arial"/>
          <w:i/>
          <w:color w:val="000000" w:themeColor="text1"/>
        </w:rPr>
        <w:t>Campus</w:t>
      </w:r>
      <w:r>
        <w:rPr>
          <w:rFonts w:cs="Arial"/>
          <w:color w:val="000000" w:themeColor="text1"/>
        </w:rPr>
        <w:t xml:space="preserve">, órgão subordinado diretamente à sua Diretoria, compreende uma estrutura em cada </w:t>
      </w:r>
      <w:r>
        <w:rPr>
          <w:rFonts w:cs="Arial"/>
          <w:i/>
          <w:color w:val="000000" w:themeColor="text1"/>
        </w:rPr>
        <w:t>campus</w:t>
      </w:r>
      <w:r>
        <w:rPr>
          <w:rFonts w:cs="Arial"/>
          <w:color w:val="000000" w:themeColor="text1"/>
        </w:rPr>
        <w:t xml:space="preserve"> fora da sede da UFVJM, responsável por propor, coordenar e executar ações relativas ao escopo do CITec nesses </w:t>
      </w:r>
      <w:r>
        <w:rPr>
          <w:rFonts w:cs="Arial"/>
          <w:i/>
          <w:color w:val="000000" w:themeColor="text1"/>
        </w:rPr>
        <w:t>campi</w:t>
      </w:r>
      <w:r>
        <w:rPr>
          <w:rFonts w:cs="Arial"/>
          <w:color w:val="000000" w:themeColor="text1"/>
        </w:rPr>
        <w:t>.</w:t>
      </w:r>
    </w:p>
    <w:p>
      <w:pPr>
        <w:pStyle w:val="Default"/>
        <w:spacing w:lineRule="auto" w:line="360"/>
        <w:jc w:val="both"/>
        <w:rPr>
          <w:b/>
          <w:b/>
          <w:bCs/>
          <w:color w:val="000000" w:themeColor="text1"/>
        </w:rPr>
      </w:pPr>
      <w:r>
        <w:rPr>
          <w:b/>
          <w:bCs/>
          <w:color w:val="000000" w:themeColor="text1"/>
        </w:rPr>
      </w:r>
    </w:p>
    <w:p>
      <w:pPr>
        <w:pStyle w:val="Default"/>
        <w:spacing w:lineRule="auto" w:line="360"/>
        <w:jc w:val="both"/>
        <w:rPr>
          <w:b/>
          <w:b/>
          <w:bCs/>
          <w:color w:val="000000" w:themeColor="text1"/>
        </w:rPr>
      </w:pPr>
      <w:r>
        <w:rPr>
          <w:b/>
          <w:bCs/>
          <w:color w:val="000000" w:themeColor="text1"/>
        </w:rPr>
        <w:t>4.3.2.  Política de Inovação</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ind w:firstLine="708"/>
        <w:jc w:val="both"/>
        <w:rPr>
          <w:color w:val="000000" w:themeColor="text1"/>
        </w:rPr>
      </w:pPr>
      <w:r>
        <w:rPr>
          <w:color w:val="000000" w:themeColor="text1"/>
        </w:rPr>
        <w:t>A UFVJM deverá se adequar às mudanças na legislação, em especial o que se modifica com a Lei nº 13.243, de 11 de janeiro de 2016, que altera a relação da Universidade e estimula o desenvolvimento científico, a pesquisa, a capacitação científica e tecnológica e a inovação. As ações da UFVJM deverão portanto permitir a promoção e a execução de ações que visem o empreendedorismo, a inovação tecnológica e o desenvolvimento regional e nacional com base nas seguintes diretrizes e objetivos, considerando o Centro de inovação tecnológica (CITEC) como o Núcleo de Inovação Tecnológica da UFVJM:</w:t>
      </w:r>
    </w:p>
    <w:p>
      <w:pPr>
        <w:pStyle w:val="Default"/>
        <w:spacing w:lineRule="auto" w:line="360"/>
        <w:ind w:firstLine="708"/>
        <w:jc w:val="both"/>
        <w:rPr>
          <w:rFonts w:eastAsia="Calibri"/>
          <w:color w:val="000000" w:themeColor="text1"/>
        </w:rPr>
      </w:pPr>
      <w:r>
        <w:rPr>
          <w:rFonts w:eastAsia="Calibri"/>
          <w:color w:val="000000" w:themeColor="text1"/>
        </w:rPr>
      </w:r>
    </w:p>
    <w:p>
      <w:pPr>
        <w:pStyle w:val="Default"/>
        <w:spacing w:lineRule="auto" w:line="360"/>
        <w:jc w:val="both"/>
        <w:rPr>
          <w:color w:val="000000" w:themeColor="text1"/>
        </w:rPr>
      </w:pPr>
      <w:r>
        <w:rPr>
          <w:color w:val="000000" w:themeColor="text1"/>
        </w:rPr>
        <w:t>I – atuar institucionalmente de forma pró-ativa e estratégica considerando o ambiente produtivo local, regional e nacional;</w:t>
      </w:r>
    </w:p>
    <w:p>
      <w:pPr>
        <w:pStyle w:val="Default"/>
        <w:spacing w:lineRule="auto" w:line="360"/>
        <w:jc w:val="both"/>
        <w:rPr>
          <w:color w:val="000000" w:themeColor="text1"/>
        </w:rPr>
      </w:pPr>
      <w:r>
        <w:rPr>
          <w:color w:val="000000" w:themeColor="text1"/>
        </w:rPr>
        <w:t xml:space="preserve">II – promover o empreendedorismo, garantindo a manutenção dos diferentes ambientes de inovação, pertencentes à UFVJM em todos os seus </w:t>
      </w:r>
      <w:r>
        <w:rPr>
          <w:bCs/>
          <w:i/>
          <w:iCs/>
          <w:color w:val="000000" w:themeColor="text1"/>
        </w:rPr>
        <w:t>campi</w:t>
      </w:r>
      <w:r>
        <w:rPr>
          <w:color w:val="000000" w:themeColor="text1"/>
        </w:rPr>
        <w:t xml:space="preserve">, incluindo a gestão de incubadoras nos </w:t>
      </w:r>
      <w:r>
        <w:rPr>
          <w:i/>
          <w:iCs/>
          <w:color w:val="000000" w:themeColor="text1"/>
        </w:rPr>
        <w:t>campi</w:t>
      </w:r>
      <w:r>
        <w:rPr>
          <w:color w:val="000000" w:themeColor="text1"/>
        </w:rPr>
        <w:t>; possibilitar a participação no capital social de empresas; e apoiar as Empresas Juniores, os pólos de inovação e os Parques Tecnológicos;</w:t>
      </w:r>
    </w:p>
    <w:p>
      <w:pPr>
        <w:pStyle w:val="Default"/>
        <w:spacing w:lineRule="auto" w:line="360"/>
        <w:jc w:val="both"/>
        <w:rPr>
          <w:color w:val="000000" w:themeColor="text1"/>
        </w:rPr>
      </w:pPr>
      <w:r>
        <w:rPr>
          <w:color w:val="000000" w:themeColor="text1"/>
        </w:rPr>
        <w:t>III – apoiar ações de incentivo à extensão tecnológica e à prestação de serviços técnicos;</w:t>
      </w:r>
    </w:p>
    <w:p>
      <w:pPr>
        <w:pStyle w:val="Default"/>
        <w:spacing w:lineRule="auto" w:line="360"/>
        <w:jc w:val="both"/>
        <w:rPr>
          <w:color w:val="000000" w:themeColor="text1"/>
        </w:rPr>
      </w:pPr>
      <w:r>
        <w:rPr>
          <w:color w:val="000000" w:themeColor="text1"/>
        </w:rPr>
        <w:t>IV – definir regulamentação para compartilhamento e para permissão de uso por terceiros de seus laboratórios, equipamentos, recursos humanos e capital intelectual;</w:t>
      </w:r>
    </w:p>
    <w:p>
      <w:pPr>
        <w:pStyle w:val="Default"/>
        <w:spacing w:lineRule="auto" w:line="360"/>
        <w:jc w:val="both"/>
        <w:rPr>
          <w:color w:val="000000" w:themeColor="text1"/>
        </w:rPr>
      </w:pPr>
      <w:r>
        <w:rPr>
          <w:color w:val="000000" w:themeColor="text1"/>
        </w:rPr>
        <w:t>V – criar estrutura que permita a gestão da propriedade intelectual e a transferência de tecnologia;</w:t>
      </w:r>
    </w:p>
    <w:p>
      <w:pPr>
        <w:pStyle w:val="Default"/>
        <w:spacing w:lineRule="auto" w:line="360"/>
        <w:jc w:val="both"/>
        <w:rPr>
          <w:color w:val="000000" w:themeColor="text1"/>
        </w:rPr>
      </w:pPr>
      <w:r>
        <w:rPr>
          <w:color w:val="000000" w:themeColor="text1"/>
        </w:rPr>
        <w:t>VI – orientar as ações institucionais de capacitação de recursos humanos em empreendedorismo, gestão da inovação, transferência de tecnologia e propriedade intelectual;</w:t>
      </w:r>
    </w:p>
    <w:p>
      <w:pPr>
        <w:pStyle w:val="Default"/>
        <w:spacing w:lineRule="auto" w:line="360"/>
        <w:jc w:val="both"/>
        <w:rPr>
          <w:color w:val="000000" w:themeColor="text1"/>
        </w:rPr>
      </w:pPr>
      <w:r>
        <w:rPr>
          <w:color w:val="000000" w:themeColor="text1"/>
        </w:rPr>
        <w:t>VII - definir regulamentação para o estabelecimento de parcerias para desenvolvimento de tecnologias com inventores independentes, empresas e outras entidades.</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jc w:val="both"/>
        <w:rPr>
          <w:b/>
          <w:b/>
          <w:bCs/>
          <w:color w:val="000000" w:themeColor="text1"/>
        </w:rPr>
      </w:pPr>
      <w:r>
        <w:rPr>
          <w:b/>
          <w:bCs/>
          <w:color w:val="000000" w:themeColor="text1"/>
        </w:rPr>
        <w:t>4.3.3. PLANO DE DESENVOLVIMENTO INSTITUCIONAL – 2017-2021</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jc w:val="both"/>
        <w:rPr>
          <w:b/>
          <w:b/>
          <w:bCs/>
          <w:color w:val="000000" w:themeColor="text1"/>
        </w:rPr>
      </w:pPr>
      <w:r>
        <w:rPr>
          <w:b/>
          <w:bCs/>
          <w:color w:val="000000" w:themeColor="text1"/>
        </w:rPr>
        <w:t>Objetivos</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numPr>
          <w:ilvl w:val="0"/>
          <w:numId w:val="33"/>
        </w:numPr>
        <w:spacing w:lineRule="auto" w:line="360"/>
        <w:jc w:val="both"/>
        <w:rPr>
          <w:color w:val="000000" w:themeColor="text1"/>
        </w:rPr>
      </w:pPr>
      <w:r>
        <w:rPr>
          <w:color w:val="000000" w:themeColor="text1"/>
        </w:rPr>
        <w:t>Consolidar o Centro de Inovação Tecnológica da UFVJM (CITEC), a fim de aprimorar os mecanismos de proteção de conhecimento e transferência de tecnologia em toda área de abrangência da UFVJM, em cooperação com as pró-reitorias, unidades acadêmicas e administrativas e a fundação de apoio, estabelecendo e viabilizando a difusão de saberes e técnicas, seja por meio da prestação de serviços ou pelo desenvolvimento de novas tecnologias, de forma autônoma ou em cooperação com instituições públicas, privadas, ou ambas, por meio do ensino, da pesquisa e da extensão, estabelecendo e viabilizando ações que promovam o desenvolvimento regional.</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jc w:val="both"/>
        <w:rPr>
          <w:b/>
          <w:b/>
          <w:bCs/>
          <w:color w:val="000000" w:themeColor="text1"/>
        </w:rPr>
      </w:pPr>
      <w:r>
        <w:rPr>
          <w:b/>
          <w:bCs/>
          <w:color w:val="000000" w:themeColor="text1"/>
        </w:rPr>
        <w:t xml:space="preserve">Metas </w:t>
      </w:r>
    </w:p>
    <w:p>
      <w:pPr>
        <w:pStyle w:val="Default"/>
        <w:spacing w:lineRule="auto" w:line="360"/>
        <w:jc w:val="both"/>
        <w:rPr>
          <w:rFonts w:eastAsia="Calibri"/>
          <w:color w:val="000000" w:themeColor="text1"/>
        </w:rPr>
      </w:pPr>
      <w:r>
        <w:rPr>
          <w:rFonts w:eastAsia="Calibri"/>
          <w:color w:val="000000" w:themeColor="text1"/>
        </w:rPr>
      </w:r>
    </w:p>
    <w:p>
      <w:pPr>
        <w:pStyle w:val="Default"/>
        <w:numPr>
          <w:ilvl w:val="0"/>
          <w:numId w:val="33"/>
        </w:numPr>
        <w:spacing w:lineRule="auto" w:line="360"/>
        <w:jc w:val="both"/>
        <w:rPr>
          <w:color w:val="000000" w:themeColor="text1"/>
        </w:rPr>
      </w:pPr>
      <w:r>
        <w:rPr>
          <w:color w:val="000000" w:themeColor="text1"/>
        </w:rPr>
        <w:t>Apoiar a criação e manutenção dos ambientes de inovação.</w:t>
      </w:r>
    </w:p>
    <w:p>
      <w:pPr>
        <w:pStyle w:val="Default"/>
        <w:numPr>
          <w:ilvl w:val="0"/>
          <w:numId w:val="33"/>
        </w:numPr>
        <w:spacing w:lineRule="auto" w:line="360"/>
        <w:jc w:val="both"/>
        <w:rPr>
          <w:color w:val="000000" w:themeColor="text1"/>
        </w:rPr>
      </w:pPr>
      <w:r>
        <w:rPr>
          <w:color w:val="000000" w:themeColor="text1"/>
        </w:rPr>
        <w:t xml:space="preserve">Gerenciar com excelência todos os tipos de ativos de </w:t>
      </w:r>
      <w:bookmarkStart w:id="139" w:name="__UnoMark__2425_1646820344"/>
      <w:bookmarkEnd w:id="139"/>
      <w:r>
        <w:rPr>
          <w:color w:val="000000" w:themeColor="text1"/>
        </w:rPr>
        <w:t>propriedade intelectual.</w:t>
      </w:r>
    </w:p>
    <w:p>
      <w:pPr>
        <w:pStyle w:val="Default"/>
        <w:numPr>
          <w:ilvl w:val="0"/>
          <w:numId w:val="33"/>
        </w:numPr>
        <w:spacing w:lineRule="auto" w:line="360"/>
        <w:jc w:val="both"/>
        <w:rPr>
          <w:color w:val="000000" w:themeColor="text1"/>
        </w:rPr>
      </w:pPr>
      <w:r>
        <w:rPr>
          <w:color w:val="000000" w:themeColor="text1"/>
        </w:rPr>
        <w:t>Realizar ações de divulgação, capacitação e promoção da cultura do empreendorismo e da proteção do conhecimento.</w:t>
      </w:r>
    </w:p>
    <w:p>
      <w:pPr>
        <w:pStyle w:val="Default"/>
        <w:numPr>
          <w:ilvl w:val="0"/>
          <w:numId w:val="33"/>
        </w:numPr>
        <w:spacing w:lineRule="auto" w:line="360"/>
        <w:jc w:val="both"/>
        <w:rPr>
          <w:color w:val="000000" w:themeColor="text1"/>
        </w:rPr>
      </w:pPr>
      <w:r>
        <w:rPr>
          <w:color w:val="000000" w:themeColor="text1"/>
        </w:rPr>
        <w:t>Desenvolver parcerias entre a UFVJM e outras instituições, a fim de desenvolver ações para promoção da cultura do empreendedorismo, da transferência de tecnologias e da proteção do conhecimento.</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spacing w:lineRule="auto" w:line="360"/>
        <w:jc w:val="both"/>
        <w:rPr>
          <w:b/>
          <w:b/>
          <w:bCs/>
          <w:color w:val="000000" w:themeColor="text1"/>
        </w:rPr>
      </w:pPr>
      <w:r>
        <w:rPr>
          <w:b/>
          <w:bCs/>
          <w:color w:val="000000" w:themeColor="text1"/>
        </w:rPr>
        <w:t>Ações</w:t>
      </w:r>
    </w:p>
    <w:p>
      <w:pPr>
        <w:pStyle w:val="Default"/>
        <w:spacing w:lineRule="auto" w:line="360"/>
        <w:jc w:val="both"/>
        <w:rPr>
          <w:rFonts w:eastAsia="Calibri"/>
          <w:b/>
          <w:b/>
          <w:bCs/>
          <w:color w:val="000000" w:themeColor="text1"/>
        </w:rPr>
      </w:pPr>
      <w:r>
        <w:rPr>
          <w:rFonts w:eastAsia="Calibri"/>
          <w:b/>
          <w:bCs/>
          <w:color w:val="000000" w:themeColor="text1"/>
        </w:rPr>
      </w:r>
    </w:p>
    <w:p>
      <w:pPr>
        <w:pStyle w:val="Default"/>
        <w:numPr>
          <w:ilvl w:val="0"/>
          <w:numId w:val="34"/>
        </w:numPr>
        <w:spacing w:lineRule="auto" w:line="360"/>
        <w:jc w:val="both"/>
        <w:rPr>
          <w:color w:val="000000" w:themeColor="text1"/>
        </w:rPr>
      </w:pPr>
      <w:r>
        <w:rPr>
          <w:color w:val="000000" w:themeColor="text1"/>
        </w:rPr>
        <w:t xml:space="preserve">Incentivar </w:t>
      </w:r>
      <w:bookmarkStart w:id="140" w:name="__DdeLink__2454_1646820344"/>
      <w:r>
        <w:rPr>
          <w:color w:val="000000" w:themeColor="text1"/>
        </w:rPr>
        <w:t>e apoiar</w:t>
      </w:r>
      <w:bookmarkEnd w:id="140"/>
      <w:r>
        <w:rPr>
          <w:color w:val="000000" w:themeColor="text1"/>
        </w:rPr>
        <w:t xml:space="preserve"> o servidor para se qualificar e se capacitar permanentemente.</w:t>
      </w:r>
    </w:p>
    <w:p>
      <w:pPr>
        <w:pStyle w:val="Default"/>
        <w:numPr>
          <w:ilvl w:val="0"/>
          <w:numId w:val="34"/>
        </w:numPr>
        <w:spacing w:lineRule="auto" w:line="360"/>
        <w:jc w:val="both"/>
        <w:rPr>
          <w:color w:val="000000" w:themeColor="text1"/>
        </w:rPr>
      </w:pPr>
      <w:r>
        <w:rPr>
          <w:color w:val="000000" w:themeColor="text1"/>
        </w:rPr>
        <w:t>Apoiar a gestão da política institucional de estímulo ao empreendedorismo, à inovação e à proteção do conhecimento no âmbito da UFVJM.</w:t>
      </w:r>
    </w:p>
    <w:p>
      <w:pPr>
        <w:pStyle w:val="Default"/>
        <w:numPr>
          <w:ilvl w:val="0"/>
          <w:numId w:val="34"/>
        </w:numPr>
        <w:spacing w:lineRule="auto" w:line="360"/>
        <w:jc w:val="both"/>
        <w:rPr>
          <w:color w:val="000000" w:themeColor="text1"/>
        </w:rPr>
      </w:pPr>
      <w:r>
        <w:rPr>
          <w:color w:val="000000" w:themeColor="text1"/>
        </w:rPr>
        <w:t>Desenvolver estudos de prospecção tecnológica e de inteligência competitiva no campo da propriedade intelectual, de forma a orientar as ações de inovação da UFVJM e de outras Instituições de Ciência e Tecnologia, mediante instrumento jurídico próprio.</w:t>
      </w:r>
    </w:p>
    <w:p>
      <w:pPr>
        <w:pStyle w:val="Default"/>
        <w:numPr>
          <w:ilvl w:val="0"/>
          <w:numId w:val="34"/>
        </w:numPr>
        <w:spacing w:lineRule="auto" w:line="360"/>
        <w:jc w:val="both"/>
        <w:rPr>
          <w:color w:val="000000" w:themeColor="text1"/>
        </w:rPr>
      </w:pPr>
      <w:r>
        <w:rPr>
          <w:color w:val="000000" w:themeColor="text1"/>
        </w:rPr>
        <w:t>Estímular e apoiar a comunidade acadêmica da UFVJM a buscar e firmar parcerias de cooperação em pesquisa com outras instituições, incluindo a iniciativa privada, para intercâmbio de conhecimento e transferência de tecnologia.</w:t>
      </w:r>
    </w:p>
    <w:p>
      <w:pPr>
        <w:pStyle w:val="Default"/>
        <w:numPr>
          <w:ilvl w:val="0"/>
          <w:numId w:val="34"/>
        </w:numPr>
        <w:spacing w:lineRule="auto" w:line="360"/>
        <w:jc w:val="both"/>
        <w:rPr>
          <w:color w:val="000000" w:themeColor="text1"/>
        </w:rPr>
      </w:pPr>
      <w:r>
        <w:rPr>
          <w:color w:val="000000" w:themeColor="text1"/>
        </w:rPr>
        <w:t>Estabelecer parcerias com instituições, órgãos de fomento e empresas públicas ou privadas para o desenvolvimento de projetos, inclusive quanto à busca de financiamento, para o estabelecimento e consolidação da política de inovação estabelecida pela UFVJM.</w:t>
      </w:r>
    </w:p>
    <w:p>
      <w:pPr>
        <w:pStyle w:val="Default"/>
        <w:numPr>
          <w:ilvl w:val="0"/>
          <w:numId w:val="34"/>
        </w:numPr>
        <w:spacing w:lineRule="auto" w:line="360"/>
        <w:jc w:val="both"/>
        <w:rPr>
          <w:color w:val="000000" w:themeColor="text1"/>
        </w:rPr>
      </w:pPr>
      <w:r>
        <w:rPr>
          <w:color w:val="000000" w:themeColor="text1"/>
        </w:rPr>
        <w:t>Negociar e gerir o licenciamento e outras formas de transferência de tecnologias oriundas da UFVJM para a sociedade.</w:t>
      </w:r>
    </w:p>
    <w:p>
      <w:pPr>
        <w:pStyle w:val="Default"/>
        <w:numPr>
          <w:ilvl w:val="0"/>
          <w:numId w:val="34"/>
        </w:numPr>
        <w:spacing w:lineRule="auto" w:line="360"/>
        <w:jc w:val="both"/>
        <w:rPr>
          <w:color w:val="000000" w:themeColor="text1"/>
        </w:rPr>
      </w:pPr>
      <w:r>
        <w:rPr>
          <w:color w:val="000000" w:themeColor="text1"/>
        </w:rPr>
        <w:t>Estímular e apoiar empreendedores da comunidade acadêmica e da sociedade civil para o desenvolvimento de projetos de pesquisa, de inovação tecnológica e de desenvolvimento regional.</w:t>
      </w:r>
    </w:p>
    <w:p>
      <w:pPr>
        <w:pStyle w:val="Default"/>
        <w:numPr>
          <w:ilvl w:val="0"/>
          <w:numId w:val="34"/>
        </w:numPr>
        <w:spacing w:lineRule="auto" w:line="360"/>
        <w:jc w:val="both"/>
        <w:rPr>
          <w:color w:val="000000" w:themeColor="text1"/>
        </w:rPr>
      </w:pPr>
      <w:r>
        <w:rPr>
          <w:color w:val="000000" w:themeColor="text1"/>
        </w:rPr>
        <w:t>Apoiar a proteção do conhecimento, tecnologia e inovação gerados no âmbito da UFVJM, por meio de patentes e outros meios de proteção de conhecimento.</w:t>
      </w:r>
    </w:p>
    <w:p>
      <w:pPr>
        <w:pStyle w:val="Default"/>
        <w:numPr>
          <w:ilvl w:val="0"/>
          <w:numId w:val="34"/>
        </w:numPr>
        <w:spacing w:lineRule="auto" w:line="360"/>
        <w:jc w:val="both"/>
        <w:rPr>
          <w:color w:val="000000" w:themeColor="text1"/>
        </w:rPr>
      </w:pPr>
      <w:r>
        <w:rPr>
          <w:color w:val="000000" w:themeColor="text1"/>
        </w:rPr>
        <w:t>Incentivar e promover a capacitação da comunidade acadêmica a fim de agregar recursos e competências para a execução de projetos com potencial inovador que busquem o desenvolvimento institucional e regional.</w:t>
      </w:r>
    </w:p>
    <w:p>
      <w:pPr>
        <w:pStyle w:val="Default"/>
        <w:numPr>
          <w:ilvl w:val="0"/>
          <w:numId w:val="34"/>
        </w:numPr>
        <w:spacing w:lineRule="auto" w:line="360"/>
        <w:jc w:val="both"/>
        <w:rPr>
          <w:color w:val="000000" w:themeColor="text1"/>
        </w:rPr>
      </w:pPr>
      <w:r>
        <w:rPr>
          <w:color w:val="000000" w:themeColor="text1"/>
        </w:rPr>
        <w:t>Construir estrutura física e de equipamentos do Centro de Inovação Tecnológica da UFVJM (CITEC) e suporte ao planejamento, implantação e operação dos ambientes promotores de inovação vinculados à UFVJM, como incubadoras de empresas, polos e parques tecnológicos.</w:t>
      </w:r>
    </w:p>
    <w:p>
      <w:pPr>
        <w:pStyle w:val="Normal1"/>
        <w:rPr>
          <w:rFonts w:ascii="Arial" w:hAnsi="Arial" w:cs="Arial"/>
          <w:color w:val="FF0000"/>
        </w:rPr>
      </w:pPr>
      <w:r>
        <w:rPr>
          <w:rFonts w:cs="Arial"/>
          <w:color w:val="FF0000"/>
        </w:rPr>
      </w:r>
      <w:r>
        <w:br w:type="page"/>
      </w:r>
    </w:p>
    <w:p>
      <w:pPr>
        <w:pStyle w:val="Normal1"/>
        <w:spacing w:lineRule="auto" w:line="360"/>
        <w:jc w:val="both"/>
        <w:rPr>
          <w:rFonts w:ascii="Arial" w:hAnsi="Arial" w:cs="Arial"/>
          <w:b/>
          <w:b/>
          <w:color w:val="000000" w:themeColor="text1"/>
        </w:rPr>
      </w:pPr>
      <w:r>
        <w:rPr>
          <w:rFonts w:cs="Arial"/>
          <w:b/>
          <w:color w:val="000000" w:themeColor="text1"/>
          <w:highlight w:val="cyan"/>
        </w:rPr>
        <w:t>(SOLICITANTE: COMISSÃO PDI 2017-2021)</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Capítulo 5 – Política de Avaliação Institucional e Comissão de Acompanhamento do PDI.</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cs="Arial"/>
          <w:color w:val="000000" w:themeColor="text1"/>
        </w:rPr>
      </w:pPr>
      <w:r>
        <w:rPr>
          <w:rFonts w:cs="Arial"/>
          <w:color w:val="000000" w:themeColor="text1"/>
        </w:rPr>
        <w:tab/>
        <w:t>Considerando que o Plano de Desenvolvimento Institucional 2012-2016 não se submeteu a uma avaliação contínua da comunidade acadêmica;</w:t>
      </w:r>
    </w:p>
    <w:p>
      <w:pPr>
        <w:pStyle w:val="Normal1"/>
        <w:spacing w:lineRule="auto" w:line="360"/>
        <w:ind w:firstLine="708"/>
        <w:jc w:val="both"/>
        <w:rPr>
          <w:rFonts w:ascii="Arial" w:hAnsi="Arial" w:cs="Arial"/>
          <w:color w:val="000000" w:themeColor="text1"/>
        </w:rPr>
      </w:pPr>
      <w:r>
        <w:rPr>
          <w:rFonts w:cs="Arial"/>
          <w:color w:val="000000" w:themeColor="text1"/>
        </w:rPr>
        <w:t>Considerando que o Plano de Desenvolvimento Institucional 2017-2021 descreve, em diversos momentos, avaliações das metas e ações estabelecidas no plano anterior; considerando que este plano prevê a continuidade dos trabalhos da Comissão Própria de Avalição, no item 2.4.2.2 (Avaliação do Ensino);</w:t>
      </w:r>
    </w:p>
    <w:p>
      <w:pPr>
        <w:pStyle w:val="Normal1"/>
        <w:spacing w:lineRule="auto" w:line="360"/>
        <w:ind w:firstLine="708"/>
        <w:jc w:val="both"/>
        <w:rPr>
          <w:rFonts w:ascii="Arial" w:hAnsi="Arial" w:cs="Arial"/>
          <w:color w:val="000000" w:themeColor="text1"/>
        </w:rPr>
      </w:pPr>
      <w:r>
        <w:rPr>
          <w:rFonts w:cs="Arial"/>
          <w:color w:val="000000" w:themeColor="text1"/>
        </w:rPr>
        <w:t>Considerando a indicação do ForPlad (Fórum de Pró-Reitores de Administração de uso do software “Forpdi” para confecção e acompanhamento dos PDIs das Instituições de Ensino Superior do país;</w:t>
      </w:r>
    </w:p>
    <w:p>
      <w:pPr>
        <w:pStyle w:val="Normal1"/>
        <w:spacing w:lineRule="auto" w:line="360"/>
        <w:ind w:firstLine="708"/>
        <w:jc w:val="both"/>
        <w:rPr>
          <w:rFonts w:ascii="Arial" w:hAnsi="Arial" w:cs="Arial"/>
          <w:color w:val="000000" w:themeColor="text1"/>
        </w:rPr>
      </w:pPr>
      <w:r>
        <w:rPr>
          <w:rFonts w:cs="Arial"/>
          <w:color w:val="000000" w:themeColor="text1"/>
        </w:rPr>
      </w:r>
    </w:p>
    <w:p>
      <w:pPr>
        <w:pStyle w:val="Normal1"/>
        <w:spacing w:lineRule="auto" w:line="360"/>
        <w:ind w:firstLine="708"/>
        <w:jc w:val="both"/>
        <w:rPr>
          <w:rFonts w:ascii="Arial" w:hAnsi="Arial" w:cs="Arial"/>
          <w:color w:val="000000" w:themeColor="text1"/>
        </w:rPr>
      </w:pPr>
      <w:r>
        <w:rPr>
          <w:rFonts w:cs="Arial"/>
          <w:color w:val="000000" w:themeColor="text1"/>
        </w:rPr>
        <w:t>estabelece-se como última meta a criação de uma Comissão de Acompanhamento do PDI 2017-2021, cujos objetivos serão:</w:t>
      </w:r>
    </w:p>
    <w:p>
      <w:pPr>
        <w:pStyle w:val="Normal1"/>
        <w:spacing w:lineRule="auto" w:line="360"/>
        <w:jc w:val="both"/>
        <w:rPr>
          <w:rFonts w:ascii="Arial" w:hAnsi="Arial" w:cs="Arial"/>
          <w:color w:val="000000" w:themeColor="text1"/>
        </w:rPr>
      </w:pPr>
      <w:r>
        <w:rPr>
          <w:rFonts w:cs="Arial"/>
          <w:color w:val="000000" w:themeColor="text1"/>
        </w:rPr>
      </w:r>
    </w:p>
    <w:p>
      <w:pPr>
        <w:pStyle w:val="Normal1"/>
        <w:numPr>
          <w:ilvl w:val="0"/>
          <w:numId w:val="61"/>
        </w:numPr>
        <w:spacing w:lineRule="auto" w:line="360"/>
        <w:jc w:val="both"/>
        <w:rPr>
          <w:rFonts w:ascii="Arial" w:hAnsi="Arial" w:cs="Arial"/>
          <w:color w:val="000000" w:themeColor="text1"/>
        </w:rPr>
      </w:pPr>
      <w:r>
        <w:rPr>
          <w:rFonts w:cs="Arial"/>
          <w:color w:val="000000" w:themeColor="text1"/>
        </w:rPr>
        <w:t>Atuar durante a vigência do PDI 2017-2021;</w:t>
      </w:r>
    </w:p>
    <w:p>
      <w:pPr>
        <w:pStyle w:val="Normal1"/>
        <w:numPr>
          <w:ilvl w:val="0"/>
          <w:numId w:val="61"/>
        </w:numPr>
        <w:spacing w:lineRule="auto" w:line="360"/>
        <w:jc w:val="both"/>
        <w:rPr>
          <w:rFonts w:ascii="Arial" w:hAnsi="Arial" w:cs="Arial"/>
          <w:color w:val="000000" w:themeColor="text1"/>
        </w:rPr>
      </w:pPr>
      <w:r>
        <w:rPr>
          <w:rFonts w:cs="Arial"/>
          <w:color w:val="000000" w:themeColor="text1"/>
        </w:rPr>
        <w:t>Acompanhar o cumprimento das metas e ações propostas;</w:t>
      </w:r>
    </w:p>
    <w:p>
      <w:pPr>
        <w:pStyle w:val="Normal1"/>
        <w:numPr>
          <w:ilvl w:val="0"/>
          <w:numId w:val="61"/>
        </w:numPr>
        <w:spacing w:lineRule="auto" w:line="360"/>
        <w:jc w:val="both"/>
        <w:rPr>
          <w:rFonts w:ascii="Arial" w:hAnsi="Arial" w:cs="Arial"/>
          <w:color w:val="000000" w:themeColor="text1"/>
        </w:rPr>
      </w:pPr>
      <w:r>
        <w:rPr>
          <w:rFonts w:cs="Arial"/>
          <w:color w:val="000000" w:themeColor="text1"/>
        </w:rPr>
        <w:t>Dialogar com os resultados apresentados pela Comissão Própria de Avaliação;</w:t>
      </w:r>
    </w:p>
    <w:p>
      <w:pPr>
        <w:pStyle w:val="Normal1"/>
        <w:numPr>
          <w:ilvl w:val="0"/>
          <w:numId w:val="61"/>
        </w:numPr>
        <w:spacing w:lineRule="auto" w:line="360"/>
        <w:jc w:val="both"/>
        <w:rPr>
          <w:rFonts w:ascii="Arial" w:hAnsi="Arial" w:cs="Arial"/>
          <w:color w:val="000000" w:themeColor="text1"/>
        </w:rPr>
      </w:pPr>
      <w:r>
        <w:rPr>
          <w:rFonts w:cs="Arial"/>
          <w:color w:val="000000" w:themeColor="text1"/>
        </w:rPr>
        <w:t>A partir do acompanhamento do PDI 2017-2021 e do diálogo com os resultados da CPA, propor diretrizes para o próximo PDI.</w:t>
      </w:r>
    </w:p>
    <w:p>
      <w:pPr>
        <w:pStyle w:val="Normal1"/>
        <w:spacing w:lineRule="auto" w:line="360"/>
        <w:jc w:val="both"/>
        <w:rPr>
          <w:rFonts w:ascii="Arial" w:hAnsi="Arial" w:cs="Arial"/>
          <w:b/>
          <w:b/>
          <w:color w:val="000000" w:themeColor="text1"/>
        </w:rPr>
      </w:pPr>
      <w:r>
        <w:rPr>
          <w:rFonts w:cs="Arial"/>
          <w:b/>
          <w:color w:val="000000" w:themeColor="text1"/>
        </w:rPr>
      </w:r>
    </w:p>
    <w:p>
      <w:pPr>
        <w:pStyle w:val="Normal1"/>
        <w:spacing w:lineRule="auto" w:line="360"/>
        <w:jc w:val="both"/>
        <w:rPr>
          <w:rFonts w:ascii="Arial" w:hAnsi="Arial" w:eastAsia="SimSun" w:cs="Arial"/>
          <w:b/>
          <w:b/>
          <w:lang w:eastAsia="en-US"/>
        </w:rPr>
      </w:pPr>
      <w:r>
        <w:rPr>
          <w:rFonts w:eastAsia="SimSun" w:cs="Arial"/>
          <w:b/>
          <w:lang w:eastAsia="en-US"/>
        </w:rPr>
      </w:r>
    </w:p>
    <w:p>
      <w:pPr>
        <w:pStyle w:val="Normal1"/>
        <w:spacing w:lineRule="auto" w:line="360"/>
        <w:jc w:val="both"/>
        <w:rPr>
          <w:rFonts w:ascii="Arial" w:hAnsi="Arial" w:cs="Arial"/>
          <w:color w:val="000000" w:themeColor="text1"/>
        </w:rPr>
      </w:pPr>
      <w:r>
        <w:rPr>
          <w:rFonts w:cs="Arial"/>
          <w:color w:val="000000" w:themeColor="text1"/>
        </w:rPr>
      </w:r>
    </w:p>
    <w:p>
      <w:pPr>
        <w:pStyle w:val="Normal"/>
        <w:rPr>
          <w:rFonts w:ascii="Arial" w:hAnsi="Arial" w:eastAsia="Times New Roman" w:cs="Arial"/>
          <w:sz w:val="24"/>
          <w:szCs w:val="24"/>
          <w:lang w:eastAsia="zh-CN"/>
        </w:rPr>
      </w:pPr>
      <w:bookmarkStart w:id="141" w:name="_GoBack"/>
      <w:bookmarkStart w:id="142" w:name="_GoBack"/>
      <w:bookmarkEnd w:id="142"/>
      <w:r>
        <w:rPr>
          <w:rFonts w:eastAsia="Times New Roman" w:cs="Arial" w:ascii="Arial" w:hAnsi="Arial"/>
          <w:sz w:val="24"/>
          <w:szCs w:val="24"/>
          <w:lang w:eastAsia="zh-CN"/>
        </w:rPr>
      </w:r>
      <w:r>
        <w:br w:type="page"/>
      </w:r>
    </w:p>
    <w:p>
      <w:pPr>
        <w:pStyle w:val="Normal1"/>
        <w:spacing w:lineRule="auto" w:line="360"/>
        <w:rPr>
          <w:rFonts w:ascii="Arial" w:hAnsi="Arial" w:cs="Arial"/>
          <w:b/>
          <w:b/>
          <w:bCs/>
          <w:color w:val="000000" w:themeColor="text1"/>
        </w:rPr>
      </w:pPr>
      <w:r>
        <w:rPr>
          <w:rFonts w:cs="Arial"/>
          <w:b/>
          <w:bCs/>
          <w:color w:val="000000" w:themeColor="text1"/>
        </w:rPr>
      </w:r>
    </w:p>
    <w:p>
      <w:pPr>
        <w:pStyle w:val="Normal1"/>
        <w:spacing w:lineRule="auto" w:line="360"/>
        <w:jc w:val="both"/>
        <w:rPr>
          <w:rFonts w:ascii="Arial" w:hAnsi="Arial" w:cs="Arial"/>
          <w:b/>
          <w:b/>
          <w:color w:val="000000" w:themeColor="text1"/>
        </w:rPr>
      </w:pPr>
      <w:r>
        <w:rPr>
          <w:rFonts w:cs="Arial"/>
          <w:b/>
          <w:color w:val="000000" w:themeColor="text1"/>
        </w:rPr>
        <w:t xml:space="preserve">Referências Bibliográficas </w:t>
      </w:r>
    </w:p>
    <w:p>
      <w:pPr>
        <w:pStyle w:val="Normal1"/>
        <w:spacing w:lineRule="auto" w:line="360"/>
        <w:jc w:val="both"/>
        <w:rPr>
          <w:rFonts w:ascii="Arial" w:hAnsi="Arial" w:cs="Arial"/>
          <w:b/>
          <w:b/>
          <w:bCs/>
          <w:color w:val="000000" w:themeColor="text1"/>
        </w:rPr>
      </w:pPr>
      <w:r>
        <w:rPr>
          <w:rFonts w:cs="Arial"/>
          <w:b/>
          <w:bCs/>
          <w:color w:val="000000" w:themeColor="text1"/>
        </w:rPr>
      </w:r>
    </w:p>
    <w:p>
      <w:pPr>
        <w:pStyle w:val="Normal1"/>
        <w:spacing w:lineRule="auto" w:line="360"/>
        <w:jc w:val="both"/>
        <w:rPr/>
      </w:pPr>
      <w:r>
        <w:rPr>
          <w:color w:val="00000A"/>
        </w:rPr>
        <w:t xml:space="preserve">BRASIL. </w:t>
      </w:r>
      <w:r>
        <w:rPr>
          <w:b/>
          <w:color w:val="00000A"/>
        </w:rPr>
        <w:t>Lei 9.394, de 20 de dezembro de 1996</w:t>
      </w:r>
      <w:r>
        <w:rPr>
          <w:color w:val="00000A"/>
        </w:rPr>
        <w:t>. Estabelece as diretrizes e bases da educação nacional.</w:t>
      </w:r>
    </w:p>
    <w:p>
      <w:pPr>
        <w:pStyle w:val="Normal1"/>
        <w:spacing w:lineRule="auto" w:line="360"/>
        <w:jc w:val="both"/>
        <w:rPr/>
      </w:pPr>
      <w:r>
        <w:rPr/>
        <w:t xml:space="preserve">BRASIL. </w:t>
      </w:r>
      <w:r>
        <w:rPr>
          <w:b/>
          <w:color w:val="333333"/>
        </w:rPr>
        <w:t>Lei 13.005, de 25 de junho de 2014</w:t>
      </w:r>
      <w:r>
        <w:rPr/>
        <w:t>. Aprova o Plano Nacional de Educação – PNE e dá outras providências.</w:t>
      </w:r>
    </w:p>
    <w:p>
      <w:pPr>
        <w:pStyle w:val="Normal1"/>
        <w:numPr>
          <w:ilvl w:val="0"/>
          <w:numId w:val="0"/>
        </w:numPr>
        <w:spacing w:lineRule="auto" w:line="360"/>
        <w:jc w:val="both"/>
        <w:outlineLvl w:val="0"/>
        <w:rPr/>
      </w:pPr>
      <w:r>
        <w:rPr/>
        <w:t xml:space="preserve">BRASIL. </w:t>
      </w:r>
      <w:r>
        <w:rPr>
          <w:b/>
          <w:color w:val="333333"/>
        </w:rPr>
        <w:t>Nota Técnica Conjunta Nº 3/2016/GAB/SECADI/SECADI</w:t>
      </w:r>
      <w:r>
        <w:rPr>
          <w:color w:val="333333"/>
        </w:rPr>
        <w:t>.</w:t>
      </w:r>
    </w:p>
    <w:p>
      <w:pPr>
        <w:pStyle w:val="Normal1"/>
        <w:spacing w:lineRule="auto" w:line="360"/>
        <w:jc w:val="both"/>
        <w:rPr/>
      </w:pPr>
      <w:r>
        <w:rPr>
          <w:color w:val="333333"/>
        </w:rPr>
        <w:t>CUNHA</w:t>
      </w:r>
      <w:r>
        <w:rPr/>
        <w:t xml:space="preserve">, M.I. </w:t>
      </w:r>
      <w:r>
        <w:rPr>
          <w:color w:val="00000A"/>
        </w:rPr>
        <w:t>Aportes teóricos e reflexões da prática</w:t>
      </w:r>
      <w:r>
        <w:rPr/>
        <w:t xml:space="preserve">: a emergente reconfiguração dos currículos universitários, in </w:t>
      </w:r>
      <w:r>
        <w:rPr>
          <w:color w:val="00000A"/>
          <w:shd w:fill="FFFFFF" w:val="clear"/>
        </w:rPr>
        <w:t xml:space="preserve">MASETTO, M. T. (org). </w:t>
      </w:r>
      <w:r>
        <w:rPr>
          <w:b/>
          <w:iCs/>
          <w:color w:val="333333"/>
          <w:shd w:fill="FFFFFF" w:val="clear"/>
        </w:rPr>
        <w:t>Docência na Universidade</w:t>
      </w:r>
      <w:r>
        <w:rPr>
          <w:color w:val="00000A"/>
          <w:shd w:fill="FFFFFF" w:val="clear"/>
        </w:rPr>
        <w:t>. Campinas, São Paulo: Papirus, 1998.</w:t>
      </w:r>
    </w:p>
    <w:p>
      <w:pPr>
        <w:pStyle w:val="Normal1"/>
        <w:spacing w:lineRule="auto" w:line="360"/>
        <w:jc w:val="both"/>
        <w:rPr/>
      </w:pPr>
      <w:r>
        <w:rPr/>
        <w:t xml:space="preserve">FORPROEX. </w:t>
      </w:r>
      <w:r>
        <w:rPr>
          <w:b/>
          <w:color w:val="333333"/>
        </w:rPr>
        <w:t>Plano Nacional de Extensão Universitária</w:t>
      </w:r>
      <w:r>
        <w:rPr/>
        <w:t xml:space="preserve">. Coleção FORPROEX, volume I. Disponível em: </w:t>
      </w:r>
      <w:hyperlink r:id="rId8">
        <w:r>
          <w:rPr>
            <w:rStyle w:val="LinkdaInternet"/>
          </w:rPr>
          <w:t>https://www.ufmg.br/proex/renex/images/documentos/Plano-nacional-de-extensao-universitaria-editado.pdf</w:t>
        </w:r>
      </w:hyperlink>
      <w:r>
        <w:rPr/>
        <w:t>. Acessado em 26 de maio de 2017.</w:t>
      </w:r>
    </w:p>
    <w:p>
      <w:pPr>
        <w:pStyle w:val="Normal1"/>
        <w:spacing w:lineRule="auto" w:line="360"/>
        <w:jc w:val="both"/>
        <w:rPr/>
      </w:pPr>
      <w:r>
        <w:rPr/>
        <w:t xml:space="preserve">FORPROEX. </w:t>
      </w:r>
      <w:r>
        <w:rPr>
          <w:b/>
          <w:color w:val="333333"/>
        </w:rPr>
        <w:t>Política Nacional de Extensão Universitária</w:t>
      </w:r>
      <w:r>
        <w:rPr/>
        <w:t xml:space="preserve">. Manaus, 2012. Disponível em: </w:t>
      </w:r>
      <w:hyperlink r:id="rId9">
        <w:r>
          <w:rPr>
            <w:rStyle w:val="LinkdaInternet"/>
          </w:rPr>
          <w:t>https://www.ufmg.br/proex/renex/images/documentos/Pol%C3%ADtica-Nacional-de-Extens%C3%A3o-Universit%C3%A1ria-e-book.pdf</w:t>
        </w:r>
      </w:hyperlink>
      <w:r>
        <w:rPr/>
        <w:t>. Acessado em 26 de maio de 2017.</w:t>
      </w:r>
    </w:p>
    <w:p>
      <w:pPr>
        <w:pStyle w:val="Normal1"/>
        <w:spacing w:lineRule="auto" w:line="360"/>
        <w:jc w:val="both"/>
        <w:rPr/>
      </w:pPr>
      <w:r>
        <w:rPr/>
        <w:t>LOPES, R.M.A. Educação empreendedora: conceitos, modelos e práticas. Rio de Janeiro: Elsevier; São Paulo: Sebrae, 2010.</w:t>
      </w:r>
    </w:p>
    <w:p>
      <w:pPr>
        <w:pStyle w:val="Normal1"/>
        <w:spacing w:lineRule="auto" w:line="360"/>
        <w:jc w:val="both"/>
        <w:rPr/>
      </w:pPr>
      <w:r>
        <w:rPr/>
        <w:t xml:space="preserve">UFVJM. </w:t>
      </w:r>
      <w:r>
        <w:rPr>
          <w:b/>
          <w:color w:val="333333"/>
        </w:rPr>
        <w:t>Política de Extensão da UFVJM</w:t>
      </w:r>
      <w:r>
        <w:rPr/>
        <w:t xml:space="preserve">. Disponível em: </w:t>
      </w:r>
      <w:hyperlink r:id="rId10">
        <w:r>
          <w:rPr>
            <w:rStyle w:val="LinkdaInternet"/>
          </w:rPr>
          <w:t>http://www.ufvjm.edu.br/proexc/politicaextensao.html</w:t>
        </w:r>
      </w:hyperlink>
      <w:r>
        <w:rPr/>
        <w:t>. Acessado em 26 de maio de 2017.</w:t>
      </w:r>
    </w:p>
    <w:p>
      <w:pPr>
        <w:pStyle w:val="Normal1"/>
        <w:spacing w:lineRule="auto" w:line="360" w:before="0" w:after="0"/>
        <w:jc w:val="both"/>
        <w:rPr>
          <w:b/>
          <w:b/>
          <w:bCs/>
          <w:color w:val="000000" w:themeColor="text1"/>
        </w:rPr>
      </w:pPr>
      <w:r>
        <w:rPr>
          <w:b/>
          <w:bCs/>
          <w:color w:val="000000" w:themeColor="text1"/>
        </w:rPr>
      </w:r>
    </w:p>
    <w:p>
      <w:pPr>
        <w:pStyle w:val="Normal1"/>
        <w:spacing w:lineRule="auto" w:line="360"/>
        <w:jc w:val="both"/>
        <w:rPr>
          <w:rFonts w:ascii="Arial" w:hAnsi="Arial" w:cs="Arial"/>
          <w:color w:val="000000" w:themeColor="text1"/>
        </w:rPr>
      </w:pPr>
      <w:r>
        <w:rPr>
          <w:rFonts w:cs="Arial"/>
          <w:color w:val="000000" w:themeColor="text1"/>
        </w:rPr>
      </w:r>
    </w:p>
    <w:p>
      <w:pPr>
        <w:pStyle w:val="Normal1"/>
        <w:spacing w:lineRule="auto" w:line="360"/>
        <w:jc w:val="both"/>
        <w:rPr>
          <w:rFonts w:ascii="Arial" w:hAnsi="Arial" w:cs="Arial"/>
          <w:color w:val="000000" w:themeColor="text1"/>
        </w:rPr>
      </w:pPr>
      <w:r>
        <w:rPr>
          <w:rFonts w:cs="Arial"/>
          <w:color w:val="000000" w:themeColor="text1"/>
        </w:rPr>
      </w:r>
    </w:p>
    <w:p>
      <w:pPr>
        <w:pStyle w:val="Normal"/>
        <w:rPr/>
      </w:pPr>
      <w:r>
        <w:rPr/>
      </w:r>
    </w:p>
    <w:sectPr>
      <w:footerReference w:type="default" r:id="rId11"/>
      <w:footnotePr>
        <w:numFmt w:val="decimal"/>
      </w:footnotePr>
      <w:type w:val="nextPage"/>
      <w:pgSz w:w="11906" w:h="16838"/>
      <w:pgMar w:left="1701" w:right="1701" w:header="0" w:top="1417" w:footer="708" w:bottom="141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2"/>
      <w:spacing w:before="0" w:after="1123"/>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tabs>
        <w:tab w:val="center" w:pos="4252" w:leader="none"/>
        <w:tab w:val="right" w:pos="8504" w:leader="none"/>
      </w:tabs>
      <w:spacing w:before="0" w:after="200"/>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Notaderodap"/>
        <w:spacing w:before="0" w:after="200"/>
        <w:jc w:val="both"/>
        <w:rPr/>
      </w:pPr>
      <w:r>
        <w:rPr>
          <w:rStyle w:val="Footnotereference"/>
        </w:rPr>
        <w:footnoteRef/>
        <w:tab/>
      </w:r>
      <w:r>
        <w:rPr/>
        <w:t>O empreendedorismo em um contexto educacional pode ser definido em termos do comportamento do empreendedor, ressaltado por meio de seus atributos e habilidades (LOPES, 2010). Assim, uma Educação Empreendedora é aquela que enfatiza o desenvolvimento de habilidades e conhecimentos que capacitem o indivíduo para a percepção das realidades do seu meio e de suas oportunidades de atuação, bem como para a criação e manutenção de empreendimentos, não necessariamente voltados ao lucro financeiro, mas incluídos aqueles que visam o desenvolvimento econômico e social. Nesse contexto, a educação empreendedora torna-se um instrumento para a superação dos desafios sociais globais.</w:t>
      </w:r>
    </w:p>
  </w:footnote>
  <w:footnote w:id="3">
    <w:p>
      <w:pPr>
        <w:pStyle w:val="Notaderodap"/>
        <w:spacing w:before="0" w:after="200"/>
        <w:jc w:val="both"/>
        <w:rPr/>
      </w:pPr>
      <w:r>
        <w:rPr>
          <w:rStyle w:val="Footnotereference"/>
        </w:rPr>
        <w:footnoteRef/>
        <w:tab/>
      </w:r>
      <w:r>
        <w:rPr/>
        <w:t>O Bacharelado em Humanidades e as licenciaturas decorrentes passam por um processo de reformulação de seus projetos pedagógicos e da forma de ingresso, de modo que o quantitativo de vagas poderá ser modificado em função dessa reorganização.</w:t>
      </w:r>
    </w:p>
  </w:footnote>
  <w:footnote w:id="4">
    <w:p>
      <w:pPr>
        <w:pStyle w:val="Notaderodap"/>
        <w:spacing w:before="0" w:after="200"/>
        <w:jc w:val="both"/>
        <w:rPr/>
      </w:pPr>
      <w:r>
        <w:rPr>
          <w:rStyle w:val="Footnotereference"/>
        </w:rPr>
        <w:footnoteRef/>
        <w:tab/>
      </w:r>
      <w:r>
        <w:rPr/>
        <w:t xml:space="preserve">O Proae 2015 encerrou-se em setembro de 2016, contudo, devido ao período de greve, novas propostas foram selecionadas apenas em 2017 (Edital nº1/2017 – Prograd/UFVJM). </w:t>
      </w:r>
    </w:p>
  </w:footnote>
  <w:footnote w:id="5">
    <w:p>
      <w:pPr>
        <w:pStyle w:val="Notaderodap"/>
        <w:spacing w:before="0" w:after="200"/>
        <w:jc w:val="both"/>
        <w:rPr/>
      </w:pPr>
      <w:r>
        <w:rPr>
          <w:rStyle w:val="Footnotereference"/>
        </w:rPr>
        <w:footnoteRef/>
        <w:tab/>
      </w:r>
      <w:r>
        <w:rPr/>
        <w:t xml:space="preserve">A gestão 2015-2019 da Dicom propõe uma nova concepção para a </w:t>
      </w:r>
      <w:r>
        <w:rPr>
          <w:lang w:val="nl-NL"/>
        </w:rPr>
        <w:t>Universidade de Portas Abertas. Ao invés da realização de eventos do tipo feira de profissões, a ideia é que sejam desenvolvidas peças gráficas e ações de divulgação para apresentar os cursos de graduação e a estrutura da UFVJM, bem como seus campos de atuação, perspectivas de mercada e perfis profissionais aos alunos do Ensino Médio, visando aumentar a visibilidade e o fortalecimento da marca UFVJM.</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2">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80" w:hanging="360"/>
      </w:pPr>
      <w:rPr>
        <w:rFonts w:ascii="Symbol" w:hAnsi="Symbol" w:cs="Symbol" w:hint="default"/>
        <w:rFonts w:cs="Symbol"/>
      </w:rPr>
    </w:lvl>
    <w:lvl w:ilvl="1">
      <w:start w:val="1"/>
      <w:numFmt w:val="bullet"/>
      <w:lvlText w:val="o"/>
      <w:lvlJc w:val="left"/>
      <w:pPr>
        <w:ind w:left="1500" w:hanging="360"/>
      </w:pPr>
      <w:rPr>
        <w:rFonts w:ascii="Courier New" w:hAnsi="Courier New" w:cs="Courier New" w:hint="default"/>
        <w:rFonts w:cs="Courier New"/>
      </w:rPr>
    </w:lvl>
    <w:lvl w:ilvl="2">
      <w:start w:val="1"/>
      <w:numFmt w:val="bullet"/>
      <w:lvlText w:val=""/>
      <w:lvlJc w:val="left"/>
      <w:pPr>
        <w:ind w:left="2220" w:hanging="360"/>
      </w:pPr>
      <w:rPr>
        <w:rFonts w:ascii="Wingdings" w:hAnsi="Wingdings" w:cs="Wingdings" w:hint="default"/>
        <w:rFonts w:cs="Wingdings"/>
      </w:rPr>
    </w:lvl>
    <w:lvl w:ilvl="3">
      <w:start w:val="1"/>
      <w:numFmt w:val="bullet"/>
      <w:lvlText w:val=""/>
      <w:lvlJc w:val="left"/>
      <w:pPr>
        <w:ind w:left="2940" w:hanging="360"/>
      </w:pPr>
      <w:rPr>
        <w:rFonts w:ascii="Symbol" w:hAnsi="Symbol" w:cs="Symbol" w:hint="default"/>
        <w:rFonts w:cs="Symbol"/>
      </w:rPr>
    </w:lvl>
    <w:lvl w:ilvl="4">
      <w:start w:val="1"/>
      <w:numFmt w:val="bullet"/>
      <w:lvlText w:val="o"/>
      <w:lvlJc w:val="left"/>
      <w:pPr>
        <w:ind w:left="3660" w:hanging="360"/>
      </w:pPr>
      <w:rPr>
        <w:rFonts w:ascii="Courier New" w:hAnsi="Courier New" w:cs="Courier New" w:hint="default"/>
        <w:rFonts w:cs="Courier New"/>
      </w:rPr>
    </w:lvl>
    <w:lvl w:ilvl="5">
      <w:start w:val="1"/>
      <w:numFmt w:val="bullet"/>
      <w:lvlText w:val=""/>
      <w:lvlJc w:val="left"/>
      <w:pPr>
        <w:ind w:left="4380" w:hanging="360"/>
      </w:pPr>
      <w:rPr>
        <w:rFonts w:ascii="Wingdings" w:hAnsi="Wingdings" w:cs="Wingdings" w:hint="default"/>
        <w:rFonts w:cs="Wingdings"/>
      </w:rPr>
    </w:lvl>
    <w:lvl w:ilvl="6">
      <w:start w:val="1"/>
      <w:numFmt w:val="bullet"/>
      <w:lvlText w:val=""/>
      <w:lvlJc w:val="left"/>
      <w:pPr>
        <w:ind w:left="5100" w:hanging="360"/>
      </w:pPr>
      <w:rPr>
        <w:rFonts w:ascii="Symbol" w:hAnsi="Symbol" w:cs="Symbol" w:hint="default"/>
        <w:rFonts w:cs="Symbol"/>
      </w:rPr>
    </w:lvl>
    <w:lvl w:ilvl="7">
      <w:start w:val="1"/>
      <w:numFmt w:val="bullet"/>
      <w:lvlText w:val="o"/>
      <w:lvlJc w:val="left"/>
      <w:pPr>
        <w:ind w:left="5820" w:hanging="360"/>
      </w:pPr>
      <w:rPr>
        <w:rFonts w:ascii="Courier New" w:hAnsi="Courier New" w:cs="Courier New" w:hint="default"/>
        <w:rFonts w:cs="Courier New"/>
      </w:rPr>
    </w:lvl>
    <w:lvl w:ilvl="8">
      <w:start w:val="1"/>
      <w:numFmt w:val="bullet"/>
      <w:lvlText w:val=""/>
      <w:lvlJc w:val="left"/>
      <w:pPr>
        <w:ind w:left="654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1004" w:hanging="360"/>
      </w:pPr>
      <w:rPr>
        <w:rFonts w:ascii="Symbol" w:hAnsi="Symbol" w:cs="Symbol" w:hint="default"/>
        <w:b/>
        <w:rFonts w:cs="Symbol"/>
      </w:rPr>
    </w:lvl>
    <w:lvl w:ilvl="1">
      <w:start w:val="1"/>
      <w:numFmt w:val="bullet"/>
      <w:lvlText w:val="o"/>
      <w:lvlJc w:val="left"/>
      <w:pPr>
        <w:ind w:left="1724" w:hanging="360"/>
      </w:pPr>
      <w:rPr>
        <w:rFonts w:ascii="Courier New" w:hAnsi="Courier New" w:cs="Courier New" w:hint="default"/>
        <w:rFonts w:cs="Courier New"/>
      </w:rPr>
    </w:lvl>
    <w:lvl w:ilvl="2">
      <w:start w:val="1"/>
      <w:numFmt w:val="bullet"/>
      <w:lvlText w:val=""/>
      <w:lvlJc w:val="left"/>
      <w:pPr>
        <w:ind w:left="2444" w:hanging="360"/>
      </w:pPr>
      <w:rPr>
        <w:rFonts w:ascii="Wingdings" w:hAnsi="Wingdings" w:cs="Wingdings" w:hint="default"/>
        <w:rFonts w:cs="Wingdings"/>
      </w:rPr>
    </w:lvl>
    <w:lvl w:ilvl="3">
      <w:start w:val="1"/>
      <w:numFmt w:val="bullet"/>
      <w:lvlText w:val=""/>
      <w:lvlJc w:val="left"/>
      <w:pPr>
        <w:ind w:left="3164" w:hanging="360"/>
      </w:pPr>
      <w:rPr>
        <w:rFonts w:ascii="Symbol" w:hAnsi="Symbol" w:cs="Symbol" w:hint="default"/>
        <w:rFonts w:cs="Symbol"/>
      </w:rPr>
    </w:lvl>
    <w:lvl w:ilvl="4">
      <w:start w:val="1"/>
      <w:numFmt w:val="bullet"/>
      <w:lvlText w:val="o"/>
      <w:lvlJc w:val="left"/>
      <w:pPr>
        <w:ind w:left="3884" w:hanging="360"/>
      </w:pPr>
      <w:rPr>
        <w:rFonts w:ascii="Courier New" w:hAnsi="Courier New" w:cs="Courier New" w:hint="default"/>
        <w:rFonts w:cs="Courier New"/>
      </w:rPr>
    </w:lvl>
    <w:lvl w:ilvl="5">
      <w:start w:val="1"/>
      <w:numFmt w:val="bullet"/>
      <w:lvlText w:val=""/>
      <w:lvlJc w:val="left"/>
      <w:pPr>
        <w:ind w:left="4604" w:hanging="360"/>
      </w:pPr>
      <w:rPr>
        <w:rFonts w:ascii="Wingdings" w:hAnsi="Wingdings" w:cs="Wingdings" w:hint="default"/>
        <w:rFonts w:cs="Wingdings"/>
      </w:rPr>
    </w:lvl>
    <w:lvl w:ilvl="6">
      <w:start w:val="1"/>
      <w:numFmt w:val="bullet"/>
      <w:lvlText w:val=""/>
      <w:lvlJc w:val="left"/>
      <w:pPr>
        <w:ind w:left="5324" w:hanging="360"/>
      </w:pPr>
      <w:rPr>
        <w:rFonts w:ascii="Symbol" w:hAnsi="Symbol" w:cs="Symbol" w:hint="default"/>
        <w:rFonts w:cs="Symbol"/>
      </w:rPr>
    </w:lvl>
    <w:lvl w:ilvl="7">
      <w:start w:val="1"/>
      <w:numFmt w:val="bullet"/>
      <w:lvlText w:val="o"/>
      <w:lvlJc w:val="left"/>
      <w:pPr>
        <w:ind w:left="6044" w:hanging="360"/>
      </w:pPr>
      <w:rPr>
        <w:rFonts w:ascii="Courier New" w:hAnsi="Courier New" w:cs="Courier New" w:hint="default"/>
        <w:rFonts w:cs="Courier New"/>
      </w:rPr>
    </w:lvl>
    <w:lvl w:ilvl="8">
      <w:start w:val="1"/>
      <w:numFmt w:val="bullet"/>
      <w:lvlText w:val=""/>
      <w:lvlJc w:val="left"/>
      <w:pPr>
        <w:ind w:left="6764"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bullet"/>
      <w:lvlText w:val=""/>
      <w:lvlJc w:val="left"/>
      <w:pPr>
        <w:ind w:left="1004" w:hanging="360"/>
      </w:pPr>
      <w:rPr>
        <w:rFonts w:ascii="Symbol" w:hAnsi="Symbol" w:cs="Symbol" w:hint="default"/>
        <w:rFonts w:cs="Symbol"/>
      </w:rPr>
    </w:lvl>
    <w:lvl w:ilvl="1">
      <w:start w:val="1"/>
      <w:numFmt w:val="bullet"/>
      <w:lvlText w:val="o"/>
      <w:lvlJc w:val="left"/>
      <w:pPr>
        <w:ind w:left="1724" w:hanging="360"/>
      </w:pPr>
      <w:rPr>
        <w:rFonts w:ascii="Courier New" w:hAnsi="Courier New" w:cs="Courier New" w:hint="default"/>
        <w:rFonts w:cs="Courier New"/>
      </w:rPr>
    </w:lvl>
    <w:lvl w:ilvl="2">
      <w:start w:val="1"/>
      <w:numFmt w:val="bullet"/>
      <w:lvlText w:val=""/>
      <w:lvlJc w:val="left"/>
      <w:pPr>
        <w:ind w:left="2444" w:hanging="360"/>
      </w:pPr>
      <w:rPr>
        <w:rFonts w:ascii="Wingdings" w:hAnsi="Wingdings" w:cs="Wingdings" w:hint="default"/>
        <w:rFonts w:cs="Wingdings"/>
      </w:rPr>
    </w:lvl>
    <w:lvl w:ilvl="3">
      <w:start w:val="1"/>
      <w:numFmt w:val="bullet"/>
      <w:lvlText w:val=""/>
      <w:lvlJc w:val="left"/>
      <w:pPr>
        <w:ind w:left="3164" w:hanging="360"/>
      </w:pPr>
      <w:rPr>
        <w:rFonts w:ascii="Symbol" w:hAnsi="Symbol" w:cs="Symbol" w:hint="default"/>
        <w:rFonts w:cs="Symbol"/>
      </w:rPr>
    </w:lvl>
    <w:lvl w:ilvl="4">
      <w:start w:val="1"/>
      <w:numFmt w:val="bullet"/>
      <w:lvlText w:val="o"/>
      <w:lvlJc w:val="left"/>
      <w:pPr>
        <w:ind w:left="3884" w:hanging="360"/>
      </w:pPr>
      <w:rPr>
        <w:rFonts w:ascii="Courier New" w:hAnsi="Courier New" w:cs="Courier New" w:hint="default"/>
        <w:rFonts w:cs="Courier New"/>
      </w:rPr>
    </w:lvl>
    <w:lvl w:ilvl="5">
      <w:start w:val="1"/>
      <w:numFmt w:val="bullet"/>
      <w:lvlText w:val=""/>
      <w:lvlJc w:val="left"/>
      <w:pPr>
        <w:ind w:left="4604" w:hanging="360"/>
      </w:pPr>
      <w:rPr>
        <w:rFonts w:ascii="Wingdings" w:hAnsi="Wingdings" w:cs="Wingdings" w:hint="default"/>
        <w:rFonts w:cs="Wingdings"/>
      </w:rPr>
    </w:lvl>
    <w:lvl w:ilvl="6">
      <w:start w:val="1"/>
      <w:numFmt w:val="bullet"/>
      <w:lvlText w:val=""/>
      <w:lvlJc w:val="left"/>
      <w:pPr>
        <w:ind w:left="5324" w:hanging="360"/>
      </w:pPr>
      <w:rPr>
        <w:rFonts w:ascii="Symbol" w:hAnsi="Symbol" w:cs="Symbol" w:hint="default"/>
        <w:rFonts w:cs="Symbol"/>
      </w:rPr>
    </w:lvl>
    <w:lvl w:ilvl="7">
      <w:start w:val="1"/>
      <w:numFmt w:val="bullet"/>
      <w:lvlText w:val="o"/>
      <w:lvlJc w:val="left"/>
      <w:pPr>
        <w:ind w:left="6044" w:hanging="360"/>
      </w:pPr>
      <w:rPr>
        <w:rFonts w:ascii="Courier New" w:hAnsi="Courier New" w:cs="Courier New" w:hint="default"/>
        <w:rFonts w:cs="Courier New"/>
      </w:rPr>
    </w:lvl>
    <w:lvl w:ilvl="8">
      <w:start w:val="1"/>
      <w:numFmt w:val="bullet"/>
      <w:lvlText w:val=""/>
      <w:lvlJc w:val="left"/>
      <w:pPr>
        <w:ind w:left="6764" w:hanging="360"/>
      </w:pPr>
      <w:rPr>
        <w:rFonts w:ascii="Wingdings" w:hAnsi="Wingdings" w:cs="Wingdings" w:hint="default"/>
        <w:rFonts w:cs="Wingdings"/>
      </w:rPr>
    </w:lvl>
  </w:abstractNum>
  <w:abstractNum w:abstractNumId="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3">
    <w:lvl w:ilvl="0">
      <w:start w:val="1"/>
      <w:numFmt w:val="bullet"/>
      <w:lvlText w:val=""/>
      <w:lvlJc w:val="left"/>
      <w:pPr>
        <w:ind w:left="1571" w:hanging="360"/>
      </w:pPr>
      <w:rPr>
        <w:rFonts w:ascii="Wingdings" w:hAnsi="Wingdings" w:cs="Wingdings" w:hint="default"/>
        <w:rFonts w:cs="Wingdings"/>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Fonts w:cs="Wingdings"/>
      </w:rPr>
    </w:lvl>
    <w:lvl w:ilvl="3">
      <w:start w:val="1"/>
      <w:numFmt w:val="bullet"/>
      <w:lvlText w:val=""/>
      <w:lvlJc w:val="left"/>
      <w:pPr>
        <w:ind w:left="3731" w:hanging="360"/>
      </w:pPr>
      <w:rPr>
        <w:rFonts w:ascii="Symbol" w:hAnsi="Symbol" w:cs="Symbol" w:hint="default"/>
        <w:rFonts w:cs="Symbol"/>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Fonts w:cs="Wingdings"/>
      </w:rPr>
    </w:lvl>
    <w:lvl w:ilvl="6">
      <w:start w:val="1"/>
      <w:numFmt w:val="bullet"/>
      <w:lvlText w:val=""/>
      <w:lvlJc w:val="left"/>
      <w:pPr>
        <w:ind w:left="5891" w:hanging="360"/>
      </w:pPr>
      <w:rPr>
        <w:rFonts w:ascii="Symbol" w:hAnsi="Symbol" w:cs="Symbol" w:hint="default"/>
        <w:rFonts w:cs="Symbol"/>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Fonts w:cs="Wingdings"/>
      </w:rPr>
    </w:lvl>
  </w:abstractNum>
  <w:abstractNum w:abstractNumId="24">
    <w:lvl w:ilvl="0">
      <w:start w:val="1"/>
      <w:numFmt w:val="bullet"/>
      <w:lvlText w:val=""/>
      <w:lvlJc w:val="left"/>
      <w:pPr>
        <w:ind w:left="1571" w:hanging="360"/>
      </w:pPr>
      <w:rPr>
        <w:rFonts w:ascii="Symbol" w:hAnsi="Symbol" w:cs="Symbol" w:hint="default"/>
        <w:rFonts w:cs="Symbol"/>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Fonts w:cs="Wingdings"/>
      </w:rPr>
    </w:lvl>
    <w:lvl w:ilvl="3">
      <w:start w:val="1"/>
      <w:numFmt w:val="bullet"/>
      <w:lvlText w:val=""/>
      <w:lvlJc w:val="left"/>
      <w:pPr>
        <w:ind w:left="3731" w:hanging="360"/>
      </w:pPr>
      <w:rPr>
        <w:rFonts w:ascii="Symbol" w:hAnsi="Symbol" w:cs="Symbol" w:hint="default"/>
        <w:rFonts w:cs="Symbol"/>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Fonts w:cs="Wingdings"/>
      </w:rPr>
    </w:lvl>
    <w:lvl w:ilvl="6">
      <w:start w:val="1"/>
      <w:numFmt w:val="bullet"/>
      <w:lvlText w:val=""/>
      <w:lvlJc w:val="left"/>
      <w:pPr>
        <w:ind w:left="5891" w:hanging="360"/>
      </w:pPr>
      <w:rPr>
        <w:rFonts w:ascii="Symbol" w:hAnsi="Symbol" w:cs="Symbol" w:hint="default"/>
        <w:rFonts w:cs="Symbol"/>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Fonts w:cs="Wingdings"/>
      </w:rPr>
    </w:lvl>
  </w:abstractNum>
  <w:abstractNum w:abstractNumId="2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bullet"/>
      <w:lvlText w:val=""/>
      <w:lvlJc w:val="left"/>
      <w:pPr>
        <w:ind w:left="849" w:hanging="360"/>
      </w:pPr>
      <w:rPr>
        <w:rFonts w:ascii="Symbol" w:hAnsi="Symbol" w:cs="Symbol" w:hint="default"/>
        <w:rFonts w:cs="Symbol"/>
      </w:rPr>
    </w:lvl>
    <w:lvl w:ilvl="1">
      <w:start w:val="1"/>
      <w:numFmt w:val="bullet"/>
      <w:lvlText w:val="·"/>
      <w:lvlJc w:val="left"/>
      <w:pPr>
        <w:ind w:left="1569" w:hanging="360"/>
      </w:pPr>
      <w:rPr>
        <w:rFonts w:ascii="Arial" w:hAnsi="Arial" w:cs="Arial" w:hint="default"/>
        <w:rFonts w:cs="Arial"/>
      </w:rPr>
    </w:lvl>
    <w:lvl w:ilvl="2">
      <w:start w:val="1"/>
      <w:numFmt w:val="bullet"/>
      <w:lvlText w:val=""/>
      <w:lvlJc w:val="left"/>
      <w:pPr>
        <w:ind w:left="2289" w:hanging="360"/>
      </w:pPr>
      <w:rPr>
        <w:rFonts w:ascii="Wingdings" w:hAnsi="Wingdings" w:cs="Wingdings" w:hint="default"/>
        <w:rFonts w:cs="Wingdings"/>
      </w:rPr>
    </w:lvl>
    <w:lvl w:ilvl="3">
      <w:start w:val="1"/>
      <w:numFmt w:val="bullet"/>
      <w:lvlText w:val=""/>
      <w:lvlJc w:val="left"/>
      <w:pPr>
        <w:ind w:left="3009" w:hanging="360"/>
      </w:pPr>
      <w:rPr>
        <w:rFonts w:ascii="Symbol" w:hAnsi="Symbol" w:cs="Symbol" w:hint="default"/>
        <w:rFonts w:cs="Symbol"/>
      </w:rPr>
    </w:lvl>
    <w:lvl w:ilvl="4">
      <w:start w:val="1"/>
      <w:numFmt w:val="bullet"/>
      <w:lvlText w:val="o"/>
      <w:lvlJc w:val="left"/>
      <w:pPr>
        <w:ind w:left="3729" w:hanging="360"/>
      </w:pPr>
      <w:rPr>
        <w:rFonts w:ascii="Courier New" w:hAnsi="Courier New" w:cs="Courier New" w:hint="default"/>
        <w:rFonts w:cs="Courier New"/>
      </w:rPr>
    </w:lvl>
    <w:lvl w:ilvl="5">
      <w:start w:val="1"/>
      <w:numFmt w:val="bullet"/>
      <w:lvlText w:val=""/>
      <w:lvlJc w:val="left"/>
      <w:pPr>
        <w:ind w:left="4449" w:hanging="360"/>
      </w:pPr>
      <w:rPr>
        <w:rFonts w:ascii="Wingdings" w:hAnsi="Wingdings" w:cs="Wingdings" w:hint="default"/>
        <w:rFonts w:cs="Wingdings"/>
      </w:rPr>
    </w:lvl>
    <w:lvl w:ilvl="6">
      <w:start w:val="1"/>
      <w:numFmt w:val="bullet"/>
      <w:lvlText w:val=""/>
      <w:lvlJc w:val="left"/>
      <w:pPr>
        <w:ind w:left="5169" w:hanging="360"/>
      </w:pPr>
      <w:rPr>
        <w:rFonts w:ascii="Symbol" w:hAnsi="Symbol" w:cs="Symbol" w:hint="default"/>
        <w:rFonts w:cs="Symbol"/>
      </w:rPr>
    </w:lvl>
    <w:lvl w:ilvl="7">
      <w:start w:val="1"/>
      <w:numFmt w:val="bullet"/>
      <w:lvlText w:val="o"/>
      <w:lvlJc w:val="left"/>
      <w:pPr>
        <w:ind w:left="5889" w:hanging="360"/>
      </w:pPr>
      <w:rPr>
        <w:rFonts w:ascii="Courier New" w:hAnsi="Courier New" w:cs="Courier New" w:hint="default"/>
        <w:rFonts w:cs="Courier New"/>
      </w:rPr>
    </w:lvl>
    <w:lvl w:ilvl="8">
      <w:start w:val="1"/>
      <w:numFmt w:val="bullet"/>
      <w:lvlText w:val=""/>
      <w:lvlJc w:val="left"/>
      <w:pPr>
        <w:ind w:left="6609" w:hanging="360"/>
      </w:pPr>
      <w:rPr>
        <w:rFonts w:ascii="Wingdings" w:hAnsi="Wingdings" w:cs="Wingdings" w:hint="default"/>
        <w:rFonts w:cs="Wingdings"/>
      </w:rPr>
    </w:lvl>
  </w:abstractNum>
  <w:abstractNum w:abstractNumId="2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9">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0">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1">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2">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9">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0">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1">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9">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0">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1">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2">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lvl w:ilvl="0">
      <w:start w:val="1"/>
      <w:numFmt w:val="bullet"/>
      <w:suff w:val="space"/>
      <w:lvlText w:val=""/>
      <w:lvlJc w:val="left"/>
      <w:pPr>
        <w:ind w:left="0" w:hanging="0"/>
      </w:pPr>
      <w:rPr>
        <w:rFonts w:ascii="Symbol" w:hAnsi="Symbol" w:cs="Symbol" w:hint="default"/>
        <w:sz w:val="24"/>
        <w:szCs w:val="24"/>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lvl w:ilvl="0">
      <w:start w:val="2"/>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6">
    <w:lvl w:ilvl="0">
      <w:start w:val="2"/>
      <w:numFmt w:val="bullet"/>
      <w:lvlText w:val="-"/>
      <w:lvlJc w:val="left"/>
      <w:pPr>
        <w:ind w:left="420" w:hanging="360"/>
      </w:pPr>
      <w:rPr>
        <w:rFonts w:ascii="Times New Roman" w:hAnsi="Times New Roman" w:cs="Times New Roman" w:hint="default"/>
        <w:sz w:val="24"/>
        <w:rFonts w:cs="Times New Roman"/>
      </w:rPr>
    </w:lvl>
    <w:lvl w:ilvl="1">
      <w:start w:val="1"/>
      <w:numFmt w:val="bullet"/>
      <w:lvlText w:val="o"/>
      <w:lvlJc w:val="left"/>
      <w:pPr>
        <w:ind w:left="1140" w:hanging="360"/>
      </w:pPr>
      <w:rPr>
        <w:rFonts w:ascii="Courier New" w:hAnsi="Courier New" w:cs="Courier New" w:hint="default"/>
        <w:rFonts w:cs="Courier New"/>
      </w:rPr>
    </w:lvl>
    <w:lvl w:ilvl="2">
      <w:start w:val="1"/>
      <w:numFmt w:val="bullet"/>
      <w:lvlText w:val=""/>
      <w:lvlJc w:val="left"/>
      <w:pPr>
        <w:ind w:left="1860" w:hanging="360"/>
      </w:pPr>
      <w:rPr>
        <w:rFonts w:ascii="Wingdings" w:hAnsi="Wingdings" w:cs="Wingdings" w:hint="default"/>
        <w:rFonts w:cs="Wingdings"/>
      </w:rPr>
    </w:lvl>
    <w:lvl w:ilvl="3">
      <w:start w:val="1"/>
      <w:numFmt w:val="bullet"/>
      <w:lvlText w:val=""/>
      <w:lvlJc w:val="left"/>
      <w:pPr>
        <w:ind w:left="2580" w:hanging="360"/>
      </w:pPr>
      <w:rPr>
        <w:rFonts w:ascii="Symbol" w:hAnsi="Symbol" w:cs="Symbol" w:hint="default"/>
        <w:rFonts w:cs="Symbol"/>
      </w:rPr>
    </w:lvl>
    <w:lvl w:ilvl="4">
      <w:start w:val="1"/>
      <w:numFmt w:val="bullet"/>
      <w:lvlText w:val="o"/>
      <w:lvlJc w:val="left"/>
      <w:pPr>
        <w:ind w:left="3300" w:hanging="360"/>
      </w:pPr>
      <w:rPr>
        <w:rFonts w:ascii="Courier New" w:hAnsi="Courier New" w:cs="Courier New" w:hint="default"/>
        <w:rFonts w:cs="Courier New"/>
      </w:rPr>
    </w:lvl>
    <w:lvl w:ilvl="5">
      <w:start w:val="1"/>
      <w:numFmt w:val="bullet"/>
      <w:lvlText w:val=""/>
      <w:lvlJc w:val="left"/>
      <w:pPr>
        <w:ind w:left="4020" w:hanging="360"/>
      </w:pPr>
      <w:rPr>
        <w:rFonts w:ascii="Wingdings" w:hAnsi="Wingdings" w:cs="Wingdings" w:hint="default"/>
        <w:rFonts w:cs="Wingdings"/>
      </w:rPr>
    </w:lvl>
    <w:lvl w:ilvl="6">
      <w:start w:val="1"/>
      <w:numFmt w:val="bullet"/>
      <w:lvlText w:val=""/>
      <w:lvlJc w:val="left"/>
      <w:pPr>
        <w:ind w:left="4740" w:hanging="360"/>
      </w:pPr>
      <w:rPr>
        <w:rFonts w:ascii="Symbol" w:hAnsi="Symbol" w:cs="Symbol" w:hint="default"/>
        <w:rFonts w:cs="Symbol"/>
      </w:rPr>
    </w:lvl>
    <w:lvl w:ilvl="7">
      <w:start w:val="1"/>
      <w:numFmt w:val="bullet"/>
      <w:lvlText w:val="o"/>
      <w:lvlJc w:val="left"/>
      <w:pPr>
        <w:ind w:left="5460" w:hanging="360"/>
      </w:pPr>
      <w:rPr>
        <w:rFonts w:ascii="Courier New" w:hAnsi="Courier New" w:cs="Courier New" w:hint="default"/>
        <w:rFonts w:cs="Courier New"/>
      </w:rPr>
    </w:lvl>
    <w:lvl w:ilvl="8">
      <w:start w:val="1"/>
      <w:numFmt w:val="bullet"/>
      <w:lvlText w:val=""/>
      <w:lvlJc w:val="left"/>
      <w:pPr>
        <w:ind w:left="6180" w:hanging="360"/>
      </w:pPr>
      <w:rPr>
        <w:rFonts w:ascii="Wingdings" w:hAnsi="Wingdings" w:cs="Wingdings" w:hint="default"/>
        <w:rFonts w:cs="Wingdings"/>
      </w:rPr>
    </w:lvl>
  </w:abstractNum>
  <w:abstractNum w:abstractNumId="57">
    <w:lvl w:ilvl="0">
      <w:start w:val="2"/>
      <w:numFmt w:val="decimal"/>
      <w:lvlText w:val="%1."/>
      <w:lvlJc w:val="left"/>
      <w:pPr>
        <w:ind w:left="660" w:hanging="660"/>
      </w:pPr>
    </w:lvl>
    <w:lvl w:ilvl="1">
      <w:start w:val="12"/>
      <w:numFmt w:val="decimal"/>
      <w:lvlText w:val="%1.%2."/>
      <w:lvlJc w:val="left"/>
      <w:pPr>
        <w:ind w:left="731" w:hanging="660"/>
      </w:pPr>
    </w:lvl>
    <w:lvl w:ilvl="2">
      <w:start w:val="3"/>
      <w:numFmt w:val="decimal"/>
      <w:lvlText w:val="%1.%2.%3."/>
      <w:lvlJc w:val="left"/>
      <w:pPr>
        <w:ind w:left="862" w:hanging="720"/>
      </w:pPr>
    </w:lvl>
    <w:lvl w:ilvl="3">
      <w:start w:val="1"/>
      <w:numFmt w:val="decimal"/>
      <w:lvlText w:val="%1.%2.%3.%4."/>
      <w:lvlJc w:val="left"/>
      <w:pPr>
        <w:ind w:left="933" w:hanging="720"/>
      </w:pPr>
    </w:lvl>
    <w:lvl w:ilvl="4">
      <w:start w:val="1"/>
      <w:numFmt w:val="decimal"/>
      <w:lvlText w:val="%1.%2.%3.%4.%5."/>
      <w:lvlJc w:val="left"/>
      <w:pPr>
        <w:ind w:left="1364" w:hanging="1080"/>
      </w:pPr>
    </w:lvl>
    <w:lvl w:ilvl="5">
      <w:start w:val="1"/>
      <w:numFmt w:val="decimal"/>
      <w:lvlText w:val="%1.%2.%3.%4.%5.%6."/>
      <w:lvlJc w:val="left"/>
      <w:pPr>
        <w:ind w:left="1435" w:hanging="1080"/>
      </w:pPr>
    </w:lvl>
    <w:lvl w:ilvl="6">
      <w:start w:val="1"/>
      <w:numFmt w:val="decimal"/>
      <w:lvlText w:val="%1.%2.%3.%4.%5.%6.%7."/>
      <w:lvlJc w:val="left"/>
      <w:pPr>
        <w:ind w:left="1866" w:hanging="1440"/>
      </w:pPr>
    </w:lvl>
    <w:lvl w:ilvl="7">
      <w:start w:val="1"/>
      <w:numFmt w:val="decimal"/>
      <w:lvlText w:val="%1.%2.%3.%4.%5.%6.%7.%8."/>
      <w:lvlJc w:val="left"/>
      <w:pPr>
        <w:ind w:left="1937" w:hanging="1440"/>
      </w:pPr>
    </w:lvl>
    <w:lvl w:ilvl="8">
      <w:start w:val="1"/>
      <w:numFmt w:val="decimal"/>
      <w:lvlText w:val="%1.%2.%3.%4.%5.%6.%7.%8.%9."/>
      <w:lvlJc w:val="left"/>
      <w:pPr>
        <w:ind w:left="2368" w:hanging="1800"/>
      </w:pPr>
    </w:lvl>
  </w:abstractNum>
  <w:abstractNum w:abstractNumId="58">
    <w:lvl w:ilvl="0">
      <w:start w:val="2"/>
      <w:numFmt w:val="decimal"/>
      <w:lvlText w:val="%1."/>
      <w:lvlJc w:val="left"/>
      <w:pPr>
        <w:ind w:left="840" w:hanging="840"/>
      </w:pPr>
    </w:lvl>
    <w:lvl w:ilvl="1">
      <w:start w:val="12"/>
      <w:numFmt w:val="decimal"/>
      <w:lvlText w:val="%1.%2."/>
      <w:lvlJc w:val="left"/>
      <w:pPr>
        <w:ind w:left="840" w:hanging="840"/>
      </w:pPr>
    </w:lvl>
    <w:lvl w:ilvl="2">
      <w:start w:val="3"/>
      <w:numFmt w:val="decimal"/>
      <w:lvlText w:val="%1.%2.%3."/>
      <w:lvlJc w:val="left"/>
      <w:pPr>
        <w:ind w:left="840" w:hanging="840"/>
      </w:pPr>
    </w:lvl>
    <w:lvl w:ilvl="3">
      <w:start w:val="4"/>
      <w:numFmt w:val="decimal"/>
      <w:lvlText w:val="%1.%2.%3.%4."/>
      <w:lvlJc w:val="left"/>
      <w:pPr>
        <w:ind w:left="840" w:hanging="84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6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bering>
</file>

<file path=word/settings.xml><?xml version="1.0" encoding="utf-8"?>
<w:settings xmlns:w="http://schemas.openxmlformats.org/wordprocessingml/2006/main">
  <w:zoom w:percent="70"/>
  <w:defaultTabStop w:val="708"/>
  <w:autoHyphenation w:val="false"/>
  <w:footnotePr>
    <w:numFmt w:val="decimal"/>
    <w:footnote w:id="0"/>
    <w:footnote w:id="1"/>
  </w:footnotePr>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customStyle="1">
    <w:name w:val="Normal"/>
    <w:qFormat/>
    <w:rsid w:val="00970947"/>
    <w:pPr>
      <w:widowControl/>
      <w:suppressAutoHyphens w:val="true"/>
      <w:bidi w:val="0"/>
      <w:spacing w:lineRule="atLeast" w:line="100"/>
      <w:jc w:val="left"/>
      <w:textAlignment w:val="baseline"/>
    </w:pPr>
    <w:rPr>
      <w:rFonts w:ascii="Times New Roman" w:hAnsi="Times New Roman" w:eastAsia="Times New Roman" w:cs="Times New Roman"/>
      <w:color w:val="auto"/>
      <w:sz w:val="24"/>
      <w:szCs w:val="24"/>
      <w:lang w:eastAsia="zh-CN" w:val="pt-BR" w:bidi="ar-SA"/>
    </w:rPr>
  </w:style>
  <w:style w:type="paragraph" w:styleId="Ttulo1">
    <w:name w:val="Heading 1"/>
    <w:link w:val="Ttulo1Char"/>
    <w:uiPriority w:val="9"/>
    <w:qFormat/>
    <w:rsid w:val="00b82e8d"/>
    <w:pPr>
      <w:keepNext/>
      <w:keepLines/>
      <w:widowControl w:val="false"/>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lang w:val="pt-BR" w:eastAsia="pt-BR" w:bidi="ar-SA"/>
    </w:rPr>
  </w:style>
  <w:style w:type="paragraph" w:styleId="Ttulo2">
    <w:name w:val="Heading 2"/>
    <w:basedOn w:val="Normal"/>
    <w:next w:val="Normal"/>
    <w:link w:val="Ttulo2Char"/>
    <w:uiPriority w:val="9"/>
    <w:semiHidden/>
    <w:unhideWhenUsed/>
    <w:qFormat/>
    <w:rsid w:val="00de35d7"/>
    <w:pPr>
      <w:keepNext/>
      <w:tabs>
        <w:tab w:val="left" w:pos="1440" w:leader="none"/>
      </w:tabs>
      <w:spacing w:lineRule="auto" w:line="240" w:before="240" w:after="60"/>
      <w:ind w:left="1440" w:hanging="720"/>
      <w:outlineLvl w:val="1"/>
    </w:pPr>
    <w:rPr>
      <w:rFonts w:ascii="Cambria" w:hAnsi="Cambria" w:eastAsia="" w:cs="" w:asciiTheme="majorHAnsi" w:cstheme="majorBidi" w:eastAsiaTheme="majorEastAsia" w:hAnsiTheme="majorHAnsi"/>
      <w:b/>
      <w:bCs/>
      <w:i/>
      <w:iCs/>
      <w:sz w:val="28"/>
      <w:szCs w:val="28"/>
      <w:lang w:val="en-US" w:eastAsia="en-US"/>
    </w:rPr>
  </w:style>
  <w:style w:type="paragraph" w:styleId="Ttulo3">
    <w:name w:val="Heading 3"/>
    <w:link w:val="Ttulo3Char"/>
    <w:uiPriority w:val="9"/>
    <w:qFormat/>
    <w:rsid w:val="00844acc"/>
    <w:pPr>
      <w:widowControl w:val="false"/>
      <w:spacing w:before="280" w:after="280"/>
      <w:outlineLvl w:val="2"/>
    </w:pPr>
    <w:rPr>
      <w:rFonts w:ascii="Calibri" w:hAnsi="Calibri" w:eastAsia="" w:cs="" w:asciiTheme="minorHAnsi" w:cstheme="minorBidi" w:eastAsiaTheme="minorEastAsia" w:hAnsiTheme="minorHAnsi"/>
      <w:b/>
      <w:bCs/>
      <w:color w:val="auto"/>
      <w:sz w:val="27"/>
      <w:szCs w:val="27"/>
      <w:lang w:val="pt-BR" w:eastAsia="pt-BR" w:bidi="ar-SA"/>
    </w:rPr>
  </w:style>
  <w:style w:type="paragraph" w:styleId="Ttulo4">
    <w:name w:val="Heading 4"/>
    <w:link w:val="Ttulo4Char"/>
    <w:uiPriority w:val="9"/>
    <w:unhideWhenUsed/>
    <w:qFormat/>
    <w:rsid w:val="00844acc"/>
    <w:pPr>
      <w:keepNext/>
      <w:keepLines/>
      <w:widowControl w:val="false"/>
      <w:spacing w:before="200" w:after="0"/>
      <w:outlineLvl w:val="3"/>
    </w:pPr>
    <w:rPr>
      <w:rFonts w:ascii="Cambria" w:hAnsi="Cambria" w:eastAsia="" w:cs="" w:asciiTheme="majorHAnsi" w:cstheme="majorBidi" w:eastAsiaTheme="majorEastAsia" w:hAnsiTheme="majorHAnsi"/>
      <w:b/>
      <w:bCs/>
      <w:i/>
      <w:iCs/>
      <w:color w:val="4F81BD" w:themeColor="accent1"/>
      <w:sz w:val="22"/>
      <w:szCs w:val="22"/>
      <w:lang w:eastAsia="en-US" w:val="pt-BR" w:bidi="ar-SA"/>
    </w:rPr>
  </w:style>
  <w:style w:type="paragraph" w:styleId="Ttulo5">
    <w:name w:val="Heading 5"/>
    <w:basedOn w:val="Normal"/>
    <w:next w:val="Normal"/>
    <w:link w:val="Ttulo5Char"/>
    <w:uiPriority w:val="9"/>
    <w:semiHidden/>
    <w:unhideWhenUsed/>
    <w:qFormat/>
    <w:rsid w:val="00de35d7"/>
    <w:pPr>
      <w:tabs>
        <w:tab w:val="left" w:pos="3600" w:leader="none"/>
      </w:tabs>
      <w:spacing w:lineRule="auto" w:line="240" w:before="240" w:after="60"/>
      <w:ind w:left="3600" w:hanging="720"/>
      <w:outlineLvl w:val="4"/>
    </w:pPr>
    <w:rPr>
      <w:b/>
      <w:bCs/>
      <w:i/>
      <w:iCs/>
      <w:sz w:val="26"/>
      <w:szCs w:val="26"/>
      <w:lang w:val="en-US" w:eastAsia="en-US"/>
    </w:rPr>
  </w:style>
  <w:style w:type="paragraph" w:styleId="Ttulo6">
    <w:name w:val="Heading 6"/>
    <w:basedOn w:val="Normal"/>
    <w:next w:val="Normal"/>
    <w:link w:val="Ttulo6Char"/>
    <w:qFormat/>
    <w:rsid w:val="00de35d7"/>
    <w:pPr>
      <w:tabs>
        <w:tab w:val="left" w:pos="4320" w:leader="none"/>
      </w:tabs>
      <w:spacing w:lineRule="auto" w:line="240" w:before="240" w:after="60"/>
      <w:ind w:left="4320" w:hanging="720"/>
      <w:outlineLvl w:val="5"/>
    </w:pPr>
    <w:rPr>
      <w:rFonts w:ascii="Times New Roman" w:hAnsi="Times New Roman" w:eastAsia="Times New Roman" w:cs="Times New Roman"/>
      <w:b/>
      <w:bCs/>
      <w:lang w:val="en-US" w:eastAsia="en-US"/>
    </w:rPr>
  </w:style>
  <w:style w:type="paragraph" w:styleId="Ttulo7">
    <w:name w:val="Heading 7"/>
    <w:basedOn w:val="Normal"/>
    <w:next w:val="Normal"/>
    <w:link w:val="Ttulo7Char"/>
    <w:uiPriority w:val="9"/>
    <w:semiHidden/>
    <w:unhideWhenUsed/>
    <w:qFormat/>
    <w:rsid w:val="00de35d7"/>
    <w:pPr>
      <w:tabs>
        <w:tab w:val="left" w:pos="5040" w:leader="none"/>
      </w:tabs>
      <w:spacing w:lineRule="auto" w:line="240" w:before="240" w:after="60"/>
      <w:ind w:left="5040" w:hanging="720"/>
      <w:outlineLvl w:val="6"/>
    </w:pPr>
    <w:rPr>
      <w:sz w:val="24"/>
      <w:szCs w:val="24"/>
      <w:lang w:val="en-US" w:eastAsia="en-US"/>
    </w:rPr>
  </w:style>
  <w:style w:type="paragraph" w:styleId="Ttulo8">
    <w:name w:val="Heading 8"/>
    <w:basedOn w:val="Normal"/>
    <w:next w:val="Normal"/>
    <w:link w:val="Ttulo8Char"/>
    <w:uiPriority w:val="9"/>
    <w:semiHidden/>
    <w:unhideWhenUsed/>
    <w:qFormat/>
    <w:rsid w:val="00de35d7"/>
    <w:pPr>
      <w:tabs>
        <w:tab w:val="left" w:pos="5760" w:leader="none"/>
      </w:tabs>
      <w:spacing w:lineRule="auto" w:line="240" w:before="240" w:after="60"/>
      <w:ind w:left="5760" w:hanging="720"/>
      <w:outlineLvl w:val="7"/>
    </w:pPr>
    <w:rPr>
      <w:i/>
      <w:iCs/>
      <w:sz w:val="24"/>
      <w:szCs w:val="24"/>
      <w:lang w:val="en-US" w:eastAsia="en-US"/>
    </w:rPr>
  </w:style>
  <w:style w:type="paragraph" w:styleId="Ttulo9">
    <w:name w:val="Heading 9"/>
    <w:basedOn w:val="Normal"/>
    <w:next w:val="Normal"/>
    <w:link w:val="Ttulo9Char"/>
    <w:uiPriority w:val="9"/>
    <w:semiHidden/>
    <w:unhideWhenUsed/>
    <w:qFormat/>
    <w:rsid w:val="00de35d7"/>
    <w:pPr>
      <w:tabs>
        <w:tab w:val="left" w:pos="6480" w:leader="none"/>
      </w:tabs>
      <w:spacing w:lineRule="auto" w:line="240" w:before="240" w:after="60"/>
      <w:ind w:left="6480" w:hanging="720"/>
      <w:outlineLvl w:val="8"/>
    </w:pPr>
    <w:rPr>
      <w:rFonts w:ascii="Cambria" w:hAnsi="Cambria" w:eastAsia="" w:cs="" w:asciiTheme="majorHAnsi" w:cstheme="majorBidi" w:eastAsiaTheme="majorEastAsia" w:hAnsiTheme="majorHAnsi"/>
      <w:lang w:val="en-US" w:eastAsia="en-US"/>
    </w:rPr>
  </w:style>
  <w:style w:type="character" w:styleId="DefaultParagraphFont" w:default="1">
    <w:name w:val="Default Paragraph Font"/>
    <w:uiPriority w:val="1"/>
    <w:semiHidden/>
    <w:unhideWhenUsed/>
    <w:qFormat/>
    <w:rPr/>
  </w:style>
  <w:style w:type="character" w:styleId="Appletabspan" w:customStyle="1">
    <w:name w:val="apple-tab-span"/>
    <w:basedOn w:val="DefaultParagraphFont"/>
    <w:qFormat/>
    <w:rsid w:val="008b2cc0"/>
    <w:rPr/>
  </w:style>
  <w:style w:type="character" w:styleId="Ttulo3Char" w:customStyle="1">
    <w:name w:val="Título 3 Char"/>
    <w:basedOn w:val="DefaultParagraphFont"/>
    <w:link w:val="Ttulo3"/>
    <w:uiPriority w:val="9"/>
    <w:qFormat/>
    <w:rsid w:val="00844acc"/>
    <w:rPr>
      <w:rFonts w:ascii="Times New Roman" w:hAnsi="Times New Roman" w:eastAsia="Times New Roman" w:cs="Times New Roman"/>
      <w:b/>
      <w:bCs/>
      <w:sz w:val="27"/>
      <w:szCs w:val="27"/>
    </w:rPr>
  </w:style>
  <w:style w:type="character" w:styleId="Ttulo4Char" w:customStyle="1">
    <w:name w:val="Título 4 Char"/>
    <w:basedOn w:val="DefaultParagraphFont"/>
    <w:link w:val="Ttulo4"/>
    <w:uiPriority w:val="9"/>
    <w:qFormat/>
    <w:rsid w:val="00844acc"/>
    <w:rPr>
      <w:rFonts w:ascii="Cambria" w:hAnsi="Cambria" w:eastAsia="" w:cs="" w:asciiTheme="majorHAnsi" w:cstheme="majorBidi" w:eastAsiaTheme="majorEastAsia" w:hAnsiTheme="majorHAnsi"/>
      <w:b/>
      <w:bCs/>
      <w:i/>
      <w:iCs/>
      <w:color w:val="4F81BD" w:themeColor="accent1"/>
      <w:lang w:eastAsia="en-US"/>
    </w:rPr>
  </w:style>
  <w:style w:type="character" w:styleId="Appleconvertedspace" w:customStyle="1">
    <w:name w:val="apple-converted-space"/>
    <w:basedOn w:val="DefaultParagraphFont"/>
    <w:qFormat/>
    <w:rsid w:val="00844acc"/>
    <w:rPr/>
  </w:style>
  <w:style w:type="character" w:styleId="Nfase">
    <w:name w:val="Ênfase"/>
    <w:basedOn w:val="DefaultParagraphFont"/>
    <w:uiPriority w:val="20"/>
    <w:qFormat/>
    <w:rsid w:val="00844acc"/>
    <w:rPr>
      <w:i/>
      <w:iCs/>
    </w:rPr>
  </w:style>
  <w:style w:type="character" w:styleId="TextodenotaderodapChar" w:customStyle="1">
    <w:name w:val="Texto de nota de rodapé Char"/>
    <w:basedOn w:val="DefaultParagraphFont"/>
    <w:link w:val="Textodenotaderodap"/>
    <w:uiPriority w:val="99"/>
    <w:semiHidden/>
    <w:qFormat/>
    <w:rsid w:val="008e0158"/>
    <w:rPr>
      <w:rFonts w:eastAsia="Calibri" w:eastAsiaTheme="minorHAnsi"/>
      <w:sz w:val="20"/>
      <w:szCs w:val="20"/>
      <w:lang w:eastAsia="en-US"/>
    </w:rPr>
  </w:style>
  <w:style w:type="character" w:styleId="Footnotereference">
    <w:name w:val="footnote reference"/>
    <w:basedOn w:val="DefaultParagraphFont"/>
    <w:uiPriority w:val="99"/>
    <w:semiHidden/>
    <w:unhideWhenUsed/>
    <w:qFormat/>
    <w:rsid w:val="008e0158"/>
    <w:rPr>
      <w:vertAlign w:val="superscript"/>
    </w:rPr>
  </w:style>
  <w:style w:type="character" w:styleId="TextodebaloChar" w:customStyle="1">
    <w:name w:val="Texto de balão Char"/>
    <w:basedOn w:val="DefaultParagraphFont"/>
    <w:link w:val="Textodebalo"/>
    <w:uiPriority w:val="99"/>
    <w:semiHidden/>
    <w:qFormat/>
    <w:rsid w:val="00fc4ac3"/>
    <w:rPr>
      <w:rFonts w:ascii="Tahoma" w:hAnsi="Tahoma" w:cs="Tahoma"/>
      <w:sz w:val="16"/>
      <w:szCs w:val="16"/>
    </w:rPr>
  </w:style>
  <w:style w:type="character" w:styleId="CorpodetextoChar" w:customStyle="1">
    <w:name w:val="Corpo de texto Char"/>
    <w:basedOn w:val="DefaultParagraphFont"/>
    <w:link w:val="Corpodotexto"/>
    <w:uiPriority w:val="1"/>
    <w:qFormat/>
    <w:rsid w:val="00b82e8d"/>
    <w:rPr>
      <w:rFonts w:ascii="Arial" w:hAnsi="Arial" w:eastAsia="Arial" w:cs="Arial"/>
      <w:sz w:val="20"/>
      <w:szCs w:val="20"/>
      <w:lang w:val="en-US" w:eastAsia="en-US"/>
    </w:rPr>
  </w:style>
  <w:style w:type="character" w:styleId="Ttulo1Char" w:customStyle="1">
    <w:name w:val="Título 1 Char"/>
    <w:basedOn w:val="DefaultParagraphFont"/>
    <w:link w:val="Ttulo1"/>
    <w:uiPriority w:val="9"/>
    <w:qFormat/>
    <w:rsid w:val="00b82e8d"/>
    <w:rPr>
      <w:rFonts w:ascii="Cambria" w:hAnsi="Cambria" w:eastAsia="" w:cs="" w:asciiTheme="majorHAnsi" w:cstheme="majorBidi" w:eastAsiaTheme="majorEastAsia" w:hAnsiTheme="majorHAnsi"/>
      <w:b/>
      <w:bCs/>
      <w:color w:val="365F91" w:themeColor="accent1" w:themeShade="bf"/>
      <w:sz w:val="28"/>
      <w:szCs w:val="28"/>
    </w:rPr>
  </w:style>
  <w:style w:type="character" w:styleId="CabealhoChar" w:customStyle="1">
    <w:name w:val="Cabeçalho Char"/>
    <w:basedOn w:val="DefaultParagraphFont"/>
    <w:link w:val="Cabealho"/>
    <w:uiPriority w:val="99"/>
    <w:qFormat/>
    <w:rsid w:val="004b164e"/>
    <w:rPr/>
  </w:style>
  <w:style w:type="character" w:styleId="RodapChar" w:customStyle="1">
    <w:name w:val="Rodapé Char"/>
    <w:basedOn w:val="DefaultParagraphFont"/>
    <w:link w:val="Rodap"/>
    <w:uiPriority w:val="99"/>
    <w:semiHidden/>
    <w:qFormat/>
    <w:rsid w:val="004b164e"/>
    <w:rPr/>
  </w:style>
  <w:style w:type="character" w:styleId="ListLabel1" w:customStyle="1">
    <w:name w:val="ListLabel 1"/>
    <w:qFormat/>
    <w:rsid w:val="00a92d2e"/>
    <w:rPr>
      <w:color w:val="000033"/>
    </w:rPr>
  </w:style>
  <w:style w:type="character" w:styleId="ListLabel2" w:customStyle="1">
    <w:name w:val="ListLabel 2"/>
    <w:qFormat/>
    <w:rsid w:val="00a92d2e"/>
    <w:rPr>
      <w:rFonts w:cs="Symbol"/>
    </w:rPr>
  </w:style>
  <w:style w:type="character" w:styleId="ListLabel3" w:customStyle="1">
    <w:name w:val="ListLabel 3"/>
    <w:qFormat/>
    <w:rsid w:val="00a92d2e"/>
    <w:rPr>
      <w:rFonts w:cs="Courier New"/>
    </w:rPr>
  </w:style>
  <w:style w:type="character" w:styleId="ListLabel4" w:customStyle="1">
    <w:name w:val="ListLabel 4"/>
    <w:qFormat/>
    <w:rsid w:val="00a92d2e"/>
    <w:rPr>
      <w:rFonts w:cs="Wingdings"/>
    </w:rPr>
  </w:style>
  <w:style w:type="character" w:styleId="ListLabel5" w:customStyle="1">
    <w:name w:val="ListLabel 5"/>
    <w:qFormat/>
    <w:rsid w:val="00a92d2e"/>
    <w:rPr>
      <w:rFonts w:cs="Arial"/>
    </w:rPr>
  </w:style>
  <w:style w:type="character" w:styleId="ListLabel6" w:customStyle="1">
    <w:name w:val="ListLabel 6"/>
    <w:qFormat/>
    <w:rsid w:val="00a92d2e"/>
    <w:rPr>
      <w:rFonts w:eastAsia="Arial" w:cs="Arial"/>
    </w:rPr>
  </w:style>
  <w:style w:type="character" w:styleId="ListLabel7" w:customStyle="1">
    <w:name w:val="ListLabel 7"/>
    <w:qFormat/>
    <w:rsid w:val="00a92d2e"/>
    <w:rPr>
      <w:rFonts w:eastAsia="Arial" w:cs="Arial"/>
      <w:strike w:val="false"/>
      <w:dstrike w:val="false"/>
    </w:rPr>
  </w:style>
  <w:style w:type="character" w:styleId="ListLabel8" w:customStyle="1">
    <w:name w:val="ListLabel 8"/>
    <w:qFormat/>
    <w:rsid w:val="00a92d2e"/>
    <w:rPr>
      <w:rFonts w:eastAsia="Times New Roman" w:cs="Times New Roman"/>
      <w:w w:val="99"/>
      <w:sz w:val="24"/>
      <w:szCs w:val="24"/>
    </w:rPr>
  </w:style>
  <w:style w:type="character" w:styleId="ListLabel9" w:customStyle="1">
    <w:name w:val="ListLabel 9"/>
    <w:qFormat/>
    <w:rsid w:val="00a92d2e"/>
    <w:rPr>
      <w:b/>
    </w:rPr>
  </w:style>
  <w:style w:type="character" w:styleId="LinkdaInternet">
    <w:name w:val="Link da Internet"/>
    <w:basedOn w:val="DefaultParagraphFont"/>
    <w:uiPriority w:val="99"/>
    <w:unhideWhenUsed/>
    <w:rsid w:val="00b439d1"/>
    <w:rPr>
      <w:color w:val="0000FF" w:themeColor="hyperlink"/>
      <w:u w:val="single"/>
    </w:rPr>
  </w:style>
  <w:style w:type="character" w:styleId="Ncoradanotaderodap" w:customStyle="1">
    <w:name w:val="Âncora da nota de rodapé"/>
    <w:rsid w:val="00a92d2e"/>
    <w:rPr>
      <w:vertAlign w:val="superscript"/>
    </w:rPr>
  </w:style>
  <w:style w:type="character" w:styleId="Caracteresdenotaderodap" w:customStyle="1">
    <w:name w:val="Caracteres de nota de rodapé"/>
    <w:qFormat/>
    <w:rsid w:val="00a92d2e"/>
    <w:rPr/>
  </w:style>
  <w:style w:type="character" w:styleId="Ncoradanotadefim" w:customStyle="1">
    <w:name w:val="Âncora da nota de fim"/>
    <w:rsid w:val="00a92d2e"/>
    <w:rPr>
      <w:vertAlign w:val="superscript"/>
    </w:rPr>
  </w:style>
  <w:style w:type="character" w:styleId="Caracteresdenotadefim" w:customStyle="1">
    <w:name w:val="Caracteres de nota de fim"/>
    <w:qFormat/>
    <w:rsid w:val="00a92d2e"/>
    <w:rPr/>
  </w:style>
  <w:style w:type="character" w:styleId="Smbolosdenumerao" w:customStyle="1">
    <w:name w:val="Símbolos de numeração"/>
    <w:qFormat/>
    <w:rsid w:val="00a92d2e"/>
    <w:rPr/>
  </w:style>
  <w:style w:type="character" w:styleId="ListLabel25" w:customStyle="1">
    <w:name w:val="ListLabel 25"/>
    <w:qFormat/>
    <w:rsid w:val="008f6e5e"/>
    <w:rPr>
      <w:sz w:val="20"/>
    </w:rPr>
  </w:style>
  <w:style w:type="character" w:styleId="TextodecomentrioChar" w:customStyle="1">
    <w:name w:val="Texto de comentário Char"/>
    <w:basedOn w:val="DefaultParagraphFont"/>
    <w:link w:val="Textodecomentrio"/>
    <w:uiPriority w:val="99"/>
    <w:semiHidden/>
    <w:qFormat/>
    <w:rsid w:val="008f6e5e"/>
    <w:rPr>
      <w:sz w:val="20"/>
      <w:szCs w:val="20"/>
    </w:rPr>
  </w:style>
  <w:style w:type="character" w:styleId="Ttulo2Char" w:customStyle="1">
    <w:name w:val="Título 2 Char"/>
    <w:basedOn w:val="DefaultParagraphFont"/>
    <w:link w:val="Ttulo2"/>
    <w:uiPriority w:val="9"/>
    <w:semiHidden/>
    <w:qFormat/>
    <w:rsid w:val="00de35d7"/>
    <w:rPr>
      <w:rFonts w:ascii="Cambria" w:hAnsi="Cambria" w:eastAsia="" w:cs="" w:asciiTheme="majorHAnsi" w:cstheme="majorBidi" w:eastAsiaTheme="majorEastAsia" w:hAnsiTheme="majorHAnsi"/>
      <w:b/>
      <w:bCs/>
      <w:i/>
      <w:iCs/>
      <w:sz w:val="28"/>
      <w:szCs w:val="28"/>
      <w:lang w:val="en-US" w:eastAsia="en-US"/>
    </w:rPr>
  </w:style>
  <w:style w:type="character" w:styleId="Ttulo5Char" w:customStyle="1">
    <w:name w:val="Título 5 Char"/>
    <w:basedOn w:val="DefaultParagraphFont"/>
    <w:link w:val="Ttulo5"/>
    <w:uiPriority w:val="9"/>
    <w:semiHidden/>
    <w:qFormat/>
    <w:rsid w:val="00de35d7"/>
    <w:rPr>
      <w:b/>
      <w:bCs/>
      <w:i/>
      <w:iCs/>
      <w:sz w:val="26"/>
      <w:szCs w:val="26"/>
      <w:lang w:val="en-US" w:eastAsia="en-US"/>
    </w:rPr>
  </w:style>
  <w:style w:type="character" w:styleId="Ttulo6Char" w:customStyle="1">
    <w:name w:val="Título 6 Char"/>
    <w:basedOn w:val="DefaultParagraphFont"/>
    <w:link w:val="Ttulo6"/>
    <w:qFormat/>
    <w:rsid w:val="00de35d7"/>
    <w:rPr>
      <w:rFonts w:ascii="Times New Roman" w:hAnsi="Times New Roman" w:eastAsia="Times New Roman" w:cs="Times New Roman"/>
      <w:b/>
      <w:bCs/>
      <w:lang w:val="en-US" w:eastAsia="en-US"/>
    </w:rPr>
  </w:style>
  <w:style w:type="character" w:styleId="Ttulo7Char" w:customStyle="1">
    <w:name w:val="Título 7 Char"/>
    <w:basedOn w:val="DefaultParagraphFont"/>
    <w:link w:val="Ttulo7"/>
    <w:uiPriority w:val="9"/>
    <w:semiHidden/>
    <w:qFormat/>
    <w:rsid w:val="00de35d7"/>
    <w:rPr>
      <w:sz w:val="24"/>
      <w:szCs w:val="24"/>
      <w:lang w:val="en-US" w:eastAsia="en-US"/>
    </w:rPr>
  </w:style>
  <w:style w:type="character" w:styleId="Ttulo8Char" w:customStyle="1">
    <w:name w:val="Título 8 Char"/>
    <w:basedOn w:val="DefaultParagraphFont"/>
    <w:link w:val="Ttulo8"/>
    <w:uiPriority w:val="9"/>
    <w:semiHidden/>
    <w:qFormat/>
    <w:rsid w:val="00de35d7"/>
    <w:rPr>
      <w:i/>
      <w:iCs/>
      <w:sz w:val="24"/>
      <w:szCs w:val="24"/>
      <w:lang w:val="en-US" w:eastAsia="en-US"/>
    </w:rPr>
  </w:style>
  <w:style w:type="character" w:styleId="Ttulo9Char" w:customStyle="1">
    <w:name w:val="Título 9 Char"/>
    <w:basedOn w:val="DefaultParagraphFont"/>
    <w:link w:val="Ttulo9"/>
    <w:uiPriority w:val="9"/>
    <w:semiHidden/>
    <w:qFormat/>
    <w:rsid w:val="00de35d7"/>
    <w:rPr>
      <w:rFonts w:ascii="Cambria" w:hAnsi="Cambria" w:eastAsia="" w:cs="" w:asciiTheme="majorHAnsi" w:cstheme="majorBidi" w:eastAsiaTheme="majorEastAsia" w:hAnsiTheme="majorHAnsi"/>
      <w:lang w:val="en-US" w:eastAsia="en-US"/>
    </w:rPr>
  </w:style>
  <w:style w:type="character" w:styleId="ListLabel26">
    <w:name w:val="ListLabel 26"/>
    <w:qFormat/>
    <w:rPr>
      <w:rFonts w:ascii="Arial" w:hAnsi="Arial"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ascii="Arial" w:hAnsi="Arial"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ascii="Arial" w:hAnsi="Arial"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ascii="Arial" w:hAnsi="Arial"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ascii="Arial" w:hAnsi="Arial" w:cs="Symbol"/>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cs="Symbol"/>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ascii="Arial" w:hAnsi="Arial" w:cs="Symbol"/>
      <w:b/>
    </w:rPr>
  </w:style>
  <w:style w:type="character" w:styleId="ListLabel81">
    <w:name w:val="ListLabel 81"/>
    <w:qFormat/>
    <w:rPr>
      <w:rFonts w:cs="Courier New"/>
    </w:rPr>
  </w:style>
  <w:style w:type="character" w:styleId="ListLabel82">
    <w:name w:val="ListLabel 82"/>
    <w:qFormat/>
    <w:rPr>
      <w:rFonts w:cs="Wingdings"/>
    </w:rPr>
  </w:style>
  <w:style w:type="character" w:styleId="ListLabel83">
    <w:name w:val="ListLabel 83"/>
    <w:qFormat/>
    <w:rPr>
      <w:rFonts w:cs="Symbol"/>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cs="Symbol"/>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ascii="Arial" w:hAnsi="Arial" w:cs="Symbol"/>
      <w:b/>
    </w:rPr>
  </w:style>
  <w:style w:type="character" w:styleId="ListLabel90">
    <w:name w:val="ListLabel 90"/>
    <w:qFormat/>
    <w:rPr>
      <w:rFonts w:cs="Courier New"/>
    </w:rPr>
  </w:style>
  <w:style w:type="character" w:styleId="ListLabel91">
    <w:name w:val="ListLabel 91"/>
    <w:qFormat/>
    <w:rPr>
      <w:rFonts w:cs="Wingdings"/>
    </w:rPr>
  </w:style>
  <w:style w:type="character" w:styleId="ListLabel92">
    <w:name w:val="ListLabel 92"/>
    <w:qFormat/>
    <w:rPr>
      <w:rFonts w:cs="Symbol"/>
    </w:rPr>
  </w:style>
  <w:style w:type="character" w:styleId="ListLabel93">
    <w:name w:val="ListLabel 93"/>
    <w:qFormat/>
    <w:rPr>
      <w:rFonts w:cs="Courier New"/>
    </w:rPr>
  </w:style>
  <w:style w:type="character" w:styleId="ListLabel94">
    <w:name w:val="ListLabel 94"/>
    <w:qFormat/>
    <w:rPr>
      <w:rFonts w:cs="Wingdings"/>
    </w:rPr>
  </w:style>
  <w:style w:type="character" w:styleId="ListLabel95">
    <w:name w:val="ListLabel 95"/>
    <w:qFormat/>
    <w:rPr>
      <w:rFonts w:cs="Symbol"/>
    </w:rPr>
  </w:style>
  <w:style w:type="character" w:styleId="ListLabel96">
    <w:name w:val="ListLabel 96"/>
    <w:qFormat/>
    <w:rPr>
      <w:rFonts w:cs="Courier New"/>
    </w:rPr>
  </w:style>
  <w:style w:type="character" w:styleId="ListLabel97">
    <w:name w:val="ListLabel 97"/>
    <w:qFormat/>
    <w:rPr>
      <w:rFonts w:cs="Wingdings"/>
    </w:rPr>
  </w:style>
  <w:style w:type="character" w:styleId="ListLabel98">
    <w:name w:val="ListLabel 98"/>
    <w:qFormat/>
    <w:rPr>
      <w:rFonts w:ascii="Arial" w:hAnsi="Arial" w:cs="Symbol"/>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cs="Symbol"/>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cs="Symbol"/>
    </w:rPr>
  </w:style>
  <w:style w:type="character" w:styleId="ListLabel105">
    <w:name w:val="ListLabel 105"/>
    <w:qFormat/>
    <w:rPr>
      <w:rFonts w:cs="Courier New"/>
    </w:rPr>
  </w:style>
  <w:style w:type="character" w:styleId="ListLabel106">
    <w:name w:val="ListLabel 106"/>
    <w:qFormat/>
    <w:rPr>
      <w:rFonts w:cs="Wingdings"/>
    </w:rPr>
  </w:style>
  <w:style w:type="character" w:styleId="ListLabel107">
    <w:name w:val="ListLabel 107"/>
    <w:qFormat/>
    <w:rPr>
      <w:rFonts w:ascii="Arial" w:hAnsi="Arial" w:cs="Symbol"/>
    </w:rPr>
  </w:style>
  <w:style w:type="character" w:styleId="ListLabel108">
    <w:name w:val="ListLabel 108"/>
    <w:qFormat/>
    <w:rPr>
      <w:rFonts w:cs="Courier New"/>
    </w:rPr>
  </w:style>
  <w:style w:type="character" w:styleId="ListLabel109">
    <w:name w:val="ListLabel 109"/>
    <w:qFormat/>
    <w:rPr>
      <w:rFonts w:cs="Wingdings"/>
    </w:rPr>
  </w:style>
  <w:style w:type="character" w:styleId="ListLabel110">
    <w:name w:val="ListLabel 110"/>
    <w:qFormat/>
    <w:rPr>
      <w:rFonts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ascii="Arial" w:hAnsi="Arial" w:cs="Wingdings"/>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cs="Symbol"/>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ascii="Arial" w:hAnsi="Arial"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Symbol"/>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Symbol"/>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ascii="Arial" w:hAnsi="Arial"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ascii="Arial" w:hAnsi="Arial" w:cs="Symbol"/>
    </w:rPr>
  </w:style>
  <w:style w:type="character" w:styleId="ListLabel153">
    <w:name w:val="ListLabel 153"/>
    <w:qFormat/>
    <w:rPr>
      <w:rFonts w:cs="Arial"/>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ascii="Arial" w:hAnsi="Arial" w:cs="Symbol"/>
    </w:rPr>
  </w:style>
  <w:style w:type="character" w:styleId="ListLabel162">
    <w:name w:val="ListLabel 162"/>
    <w:qFormat/>
    <w:rPr>
      <w:rFonts w:cs="Courier New"/>
    </w:rPr>
  </w:style>
  <w:style w:type="character" w:styleId="ListLabel163">
    <w:name w:val="ListLabel 163"/>
    <w:qFormat/>
    <w:rPr>
      <w:rFonts w:cs="Wingdings"/>
    </w:rPr>
  </w:style>
  <w:style w:type="character" w:styleId="ListLabel164">
    <w:name w:val="ListLabel 164"/>
    <w:qFormat/>
    <w:rPr>
      <w:rFonts w:cs="Symbol"/>
    </w:rPr>
  </w:style>
  <w:style w:type="character" w:styleId="ListLabel165">
    <w:name w:val="ListLabel 165"/>
    <w:qFormat/>
    <w:rPr>
      <w:rFonts w:cs="Courier New"/>
    </w:rPr>
  </w:style>
  <w:style w:type="character" w:styleId="ListLabel166">
    <w:name w:val="ListLabel 166"/>
    <w:qFormat/>
    <w:rPr>
      <w:rFonts w:cs="Wingdings"/>
    </w:rPr>
  </w:style>
  <w:style w:type="character" w:styleId="ListLabel167">
    <w:name w:val="ListLabel 167"/>
    <w:qFormat/>
    <w:rPr>
      <w:rFonts w:cs="Symbol"/>
    </w:rPr>
  </w:style>
  <w:style w:type="character" w:styleId="ListLabel168">
    <w:name w:val="ListLabel 168"/>
    <w:qFormat/>
    <w:rPr>
      <w:rFonts w:cs="Courier New"/>
    </w:rPr>
  </w:style>
  <w:style w:type="character" w:styleId="ListLabel169">
    <w:name w:val="ListLabel 169"/>
    <w:qFormat/>
    <w:rPr>
      <w:rFonts w:cs="Wingdings"/>
    </w:rPr>
  </w:style>
  <w:style w:type="character" w:styleId="ListLabel170">
    <w:name w:val="ListLabel 170"/>
    <w:qFormat/>
    <w:rPr>
      <w:rFonts w:ascii="Arial" w:hAnsi="Arial" w:cs="Symbol"/>
      <w:b/>
    </w:rPr>
  </w:style>
  <w:style w:type="character" w:styleId="ListLabel171">
    <w:name w:val="ListLabel 171"/>
    <w:qFormat/>
    <w:rPr>
      <w:rFonts w:cs="Courier New"/>
    </w:rPr>
  </w:style>
  <w:style w:type="character" w:styleId="ListLabel172">
    <w:name w:val="ListLabel 172"/>
    <w:qFormat/>
    <w:rPr>
      <w:rFonts w:cs="Wingdings"/>
    </w:rPr>
  </w:style>
  <w:style w:type="character" w:styleId="ListLabel173">
    <w:name w:val="ListLabel 173"/>
    <w:qFormat/>
    <w:rPr>
      <w:rFonts w:cs="Symbol"/>
    </w:rPr>
  </w:style>
  <w:style w:type="character" w:styleId="ListLabel174">
    <w:name w:val="ListLabel 174"/>
    <w:qFormat/>
    <w:rPr>
      <w:rFonts w:cs="Courier New"/>
    </w:rPr>
  </w:style>
  <w:style w:type="character" w:styleId="ListLabel175">
    <w:name w:val="ListLabel 175"/>
    <w:qFormat/>
    <w:rPr>
      <w:rFonts w:cs="Wingdings"/>
    </w:rPr>
  </w:style>
  <w:style w:type="character" w:styleId="ListLabel176">
    <w:name w:val="ListLabel 176"/>
    <w:qFormat/>
    <w:rPr>
      <w:rFonts w:cs="Symbol"/>
    </w:rPr>
  </w:style>
  <w:style w:type="character" w:styleId="ListLabel177">
    <w:name w:val="ListLabel 177"/>
    <w:qFormat/>
    <w:rPr>
      <w:rFonts w:cs="Courier New"/>
    </w:rPr>
  </w:style>
  <w:style w:type="character" w:styleId="ListLabel178">
    <w:name w:val="ListLabel 178"/>
    <w:qFormat/>
    <w:rPr>
      <w:rFonts w:cs="Wingdings"/>
    </w:rPr>
  </w:style>
  <w:style w:type="character" w:styleId="ListLabel179">
    <w:name w:val="ListLabel 179"/>
    <w:qFormat/>
    <w:rPr>
      <w:rFonts w:cs="Symbol"/>
    </w:rPr>
  </w:style>
  <w:style w:type="character" w:styleId="ListLabel180">
    <w:name w:val="ListLabel 180"/>
    <w:qFormat/>
    <w:rPr>
      <w:rFonts w:cs="Courier New"/>
    </w:rPr>
  </w:style>
  <w:style w:type="character" w:styleId="ListLabel181">
    <w:name w:val="ListLabel 181"/>
    <w:qFormat/>
    <w:rPr>
      <w:rFonts w:cs="Wingdings"/>
    </w:rPr>
  </w:style>
  <w:style w:type="character" w:styleId="ListLabel182">
    <w:name w:val="ListLabel 182"/>
    <w:qFormat/>
    <w:rPr>
      <w:rFonts w:cs="Symbol"/>
    </w:rPr>
  </w:style>
  <w:style w:type="character" w:styleId="ListLabel183">
    <w:name w:val="ListLabel 183"/>
    <w:qFormat/>
    <w:rPr>
      <w:rFonts w:cs="Courier New"/>
    </w:rPr>
  </w:style>
  <w:style w:type="character" w:styleId="ListLabel184">
    <w:name w:val="ListLabel 184"/>
    <w:qFormat/>
    <w:rPr>
      <w:rFonts w:cs="Wingdings"/>
    </w:rPr>
  </w:style>
  <w:style w:type="character" w:styleId="ListLabel185">
    <w:name w:val="ListLabel 185"/>
    <w:qFormat/>
    <w:rPr>
      <w:rFonts w:cs="Symbol"/>
    </w:rPr>
  </w:style>
  <w:style w:type="character" w:styleId="ListLabel186">
    <w:name w:val="ListLabel 186"/>
    <w:qFormat/>
    <w:rPr>
      <w:rFonts w:cs="Courier New"/>
    </w:rPr>
  </w:style>
  <w:style w:type="character" w:styleId="ListLabel187">
    <w:name w:val="ListLabel 187"/>
    <w:qFormat/>
    <w:rPr>
      <w:rFonts w:cs="Wingdings"/>
    </w:rPr>
  </w:style>
  <w:style w:type="character" w:styleId="ListLabel188">
    <w:name w:val="ListLabel 188"/>
    <w:qFormat/>
    <w:rPr>
      <w:rFonts w:cs="Symbol"/>
    </w:rPr>
  </w:style>
  <w:style w:type="character" w:styleId="ListLabel189">
    <w:name w:val="ListLabel 189"/>
    <w:qFormat/>
    <w:rPr>
      <w:rFonts w:cs="Courier New"/>
    </w:rPr>
  </w:style>
  <w:style w:type="character" w:styleId="ListLabel190">
    <w:name w:val="ListLabel 190"/>
    <w:qFormat/>
    <w:rPr>
      <w:rFonts w:cs="Wingdings"/>
    </w:rPr>
  </w:style>
  <w:style w:type="character" w:styleId="ListLabel191">
    <w:name w:val="ListLabel 191"/>
    <w:qFormat/>
    <w:rPr>
      <w:rFonts w:cs="Symbol"/>
    </w:rPr>
  </w:style>
  <w:style w:type="character" w:styleId="ListLabel192">
    <w:name w:val="ListLabel 192"/>
    <w:qFormat/>
    <w:rPr>
      <w:rFonts w:cs="Courier New"/>
    </w:rPr>
  </w:style>
  <w:style w:type="character" w:styleId="ListLabel193">
    <w:name w:val="ListLabel 193"/>
    <w:qFormat/>
    <w:rPr>
      <w:rFonts w:cs="Wingdings"/>
    </w:rPr>
  </w:style>
  <w:style w:type="character" w:styleId="ListLabel194">
    <w:name w:val="ListLabel 194"/>
    <w:qFormat/>
    <w:rPr>
      <w:rFonts w:cs="Symbol"/>
    </w:rPr>
  </w:style>
  <w:style w:type="character" w:styleId="ListLabel195">
    <w:name w:val="ListLabel 195"/>
    <w:qFormat/>
    <w:rPr>
      <w:rFonts w:cs="Courier New"/>
    </w:rPr>
  </w:style>
  <w:style w:type="character" w:styleId="ListLabel196">
    <w:name w:val="ListLabel 196"/>
    <w:qFormat/>
    <w:rPr>
      <w:rFonts w:cs="Wingdings"/>
    </w:rPr>
  </w:style>
  <w:style w:type="character" w:styleId="ListLabel197">
    <w:name w:val="ListLabel 197"/>
    <w:qFormat/>
    <w:rPr>
      <w:rFonts w:cs="Symbol"/>
    </w:rPr>
  </w:style>
  <w:style w:type="character" w:styleId="ListLabel198">
    <w:name w:val="ListLabel 198"/>
    <w:qFormat/>
    <w:rPr>
      <w:rFonts w:cs="Courier New"/>
    </w:rPr>
  </w:style>
  <w:style w:type="character" w:styleId="ListLabel199">
    <w:name w:val="ListLabel 199"/>
    <w:qFormat/>
    <w:rPr>
      <w:rFonts w:cs="Wingdings"/>
    </w:rPr>
  </w:style>
  <w:style w:type="character" w:styleId="ListLabel200">
    <w:name w:val="ListLabel 200"/>
    <w:qFormat/>
    <w:rPr>
      <w:rFonts w:cs="Symbol"/>
    </w:rPr>
  </w:style>
  <w:style w:type="character" w:styleId="ListLabel201">
    <w:name w:val="ListLabel 201"/>
    <w:qFormat/>
    <w:rPr>
      <w:rFonts w:cs="Courier New"/>
    </w:rPr>
  </w:style>
  <w:style w:type="character" w:styleId="ListLabel202">
    <w:name w:val="ListLabel 202"/>
    <w:qFormat/>
    <w:rPr>
      <w:rFonts w:cs="Wingdings"/>
    </w:rPr>
  </w:style>
  <w:style w:type="character" w:styleId="ListLabel203">
    <w:name w:val="ListLabel 203"/>
    <w:qFormat/>
    <w:rPr>
      <w:rFonts w:cs="Symbol"/>
    </w:rPr>
  </w:style>
  <w:style w:type="character" w:styleId="ListLabel204">
    <w:name w:val="ListLabel 204"/>
    <w:qFormat/>
    <w:rPr>
      <w:rFonts w:cs="Courier New"/>
    </w:rPr>
  </w:style>
  <w:style w:type="character" w:styleId="ListLabel205">
    <w:name w:val="ListLabel 205"/>
    <w:qFormat/>
    <w:rPr>
      <w:rFonts w:cs="Wingdings"/>
    </w:rPr>
  </w:style>
  <w:style w:type="character" w:styleId="ListLabel206">
    <w:name w:val="ListLabel 206"/>
    <w:qFormat/>
    <w:rPr>
      <w:rFonts w:cs="Symbol"/>
    </w:rPr>
  </w:style>
  <w:style w:type="character" w:styleId="ListLabel207">
    <w:name w:val="ListLabel 207"/>
    <w:qFormat/>
    <w:rPr>
      <w:rFonts w:cs="Courier New"/>
    </w:rPr>
  </w:style>
  <w:style w:type="character" w:styleId="ListLabel208">
    <w:name w:val="ListLabel 208"/>
    <w:qFormat/>
    <w:rPr>
      <w:rFonts w:cs="Wingdings"/>
    </w:rPr>
  </w:style>
  <w:style w:type="character" w:styleId="ListLabel209">
    <w:name w:val="ListLabel 209"/>
    <w:qFormat/>
    <w:rPr>
      <w:rFonts w:cs="Symbol"/>
    </w:rPr>
  </w:style>
  <w:style w:type="character" w:styleId="ListLabel210">
    <w:name w:val="ListLabel 210"/>
    <w:qFormat/>
    <w:rPr>
      <w:rFonts w:cs="Courier New"/>
    </w:rPr>
  </w:style>
  <w:style w:type="character" w:styleId="ListLabel211">
    <w:name w:val="ListLabel 211"/>
    <w:qFormat/>
    <w:rPr>
      <w:rFonts w:cs="Wingdings"/>
    </w:rPr>
  </w:style>
  <w:style w:type="character" w:styleId="ListLabel212">
    <w:name w:val="ListLabel 212"/>
    <w:qFormat/>
    <w:rPr>
      <w:rFonts w:cs="Symbol"/>
    </w:rPr>
  </w:style>
  <w:style w:type="character" w:styleId="ListLabel213">
    <w:name w:val="ListLabel 213"/>
    <w:qFormat/>
    <w:rPr>
      <w:rFonts w:cs="Courier New"/>
    </w:rPr>
  </w:style>
  <w:style w:type="character" w:styleId="ListLabel214">
    <w:name w:val="ListLabel 214"/>
    <w:qFormat/>
    <w:rPr>
      <w:rFonts w:cs="Wingdings"/>
    </w:rPr>
  </w:style>
  <w:style w:type="character" w:styleId="ListLabel215">
    <w:name w:val="ListLabel 215"/>
    <w:qFormat/>
    <w:rPr>
      <w:rFonts w:cs="Symbol"/>
    </w:rPr>
  </w:style>
  <w:style w:type="character" w:styleId="ListLabel216">
    <w:name w:val="ListLabel 216"/>
    <w:qFormat/>
    <w:rPr>
      <w:rFonts w:cs="Courier New"/>
    </w:rPr>
  </w:style>
  <w:style w:type="character" w:styleId="ListLabel217">
    <w:name w:val="ListLabel 217"/>
    <w:qFormat/>
    <w:rPr>
      <w:rFonts w:cs="Wingdings"/>
    </w:rPr>
  </w:style>
  <w:style w:type="character" w:styleId="ListLabel218">
    <w:name w:val="ListLabel 218"/>
    <w:qFormat/>
    <w:rPr>
      <w:rFonts w:cs="Symbol"/>
    </w:rPr>
  </w:style>
  <w:style w:type="character" w:styleId="ListLabel219">
    <w:name w:val="ListLabel 219"/>
    <w:qFormat/>
    <w:rPr>
      <w:rFonts w:cs="Courier New"/>
    </w:rPr>
  </w:style>
  <w:style w:type="character" w:styleId="ListLabel220">
    <w:name w:val="ListLabel 220"/>
    <w:qFormat/>
    <w:rPr>
      <w:rFonts w:cs="Wingdings"/>
    </w:rPr>
  </w:style>
  <w:style w:type="character" w:styleId="ListLabel221">
    <w:name w:val="ListLabel 221"/>
    <w:qFormat/>
    <w:rPr>
      <w:rFonts w:cs="Symbol"/>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cs="Symbol"/>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character" w:styleId="ListLabel230">
    <w:name w:val="ListLabel 230"/>
    <w:qFormat/>
    <w:rPr>
      <w:rFonts w:cs="Symbol"/>
    </w:rPr>
  </w:style>
  <w:style w:type="character" w:styleId="ListLabel231">
    <w:name w:val="ListLabel 231"/>
    <w:qFormat/>
    <w:rPr>
      <w:rFonts w:cs="Courier New"/>
    </w:rPr>
  </w:style>
  <w:style w:type="character" w:styleId="ListLabel232">
    <w:name w:val="ListLabel 232"/>
    <w:qFormat/>
    <w:rPr>
      <w:rFonts w:cs="Wingdings"/>
    </w:rPr>
  </w:style>
  <w:style w:type="character" w:styleId="ListLabel233">
    <w:name w:val="ListLabel 233"/>
    <w:qFormat/>
    <w:rPr>
      <w:rFonts w:ascii="Arial" w:hAnsi="Arial" w:cs="Symbol"/>
    </w:rPr>
  </w:style>
  <w:style w:type="character" w:styleId="ListLabel234">
    <w:name w:val="ListLabel 234"/>
    <w:qFormat/>
    <w:rPr>
      <w:rFonts w:cs="Courier New"/>
    </w:rPr>
  </w:style>
  <w:style w:type="character" w:styleId="ListLabel235">
    <w:name w:val="ListLabel 235"/>
    <w:qFormat/>
    <w:rPr>
      <w:rFonts w:cs="Wingdings"/>
    </w:rPr>
  </w:style>
  <w:style w:type="character" w:styleId="ListLabel236">
    <w:name w:val="ListLabel 236"/>
    <w:qFormat/>
    <w:rPr>
      <w:rFonts w:cs="Symbol"/>
    </w:rPr>
  </w:style>
  <w:style w:type="character" w:styleId="ListLabel237">
    <w:name w:val="ListLabel 237"/>
    <w:qFormat/>
    <w:rPr>
      <w:rFonts w:cs="Courier New"/>
    </w:rPr>
  </w:style>
  <w:style w:type="character" w:styleId="ListLabel238">
    <w:name w:val="ListLabel 238"/>
    <w:qFormat/>
    <w:rPr>
      <w:rFonts w:cs="Wingdings"/>
    </w:rPr>
  </w:style>
  <w:style w:type="character" w:styleId="ListLabel239">
    <w:name w:val="ListLabel 239"/>
    <w:qFormat/>
    <w:rPr>
      <w:rFonts w:cs="Symbol"/>
    </w:rPr>
  </w:style>
  <w:style w:type="character" w:styleId="ListLabel240">
    <w:name w:val="ListLabel 240"/>
    <w:qFormat/>
    <w:rPr>
      <w:rFonts w:cs="Courier New"/>
    </w:rPr>
  </w:style>
  <w:style w:type="character" w:styleId="ListLabel241">
    <w:name w:val="ListLabel 241"/>
    <w:qFormat/>
    <w:rPr>
      <w:rFonts w:cs="Wingdings"/>
    </w:rPr>
  </w:style>
  <w:style w:type="character" w:styleId="ListLabel242">
    <w:name w:val="ListLabel 242"/>
    <w:qFormat/>
    <w:rPr>
      <w:rFonts w:ascii="Arial" w:hAnsi="Arial" w:cs="Symbol"/>
    </w:rPr>
  </w:style>
  <w:style w:type="character" w:styleId="ListLabel243">
    <w:name w:val="ListLabel 243"/>
    <w:qFormat/>
    <w:rPr>
      <w:rFonts w:cs="Courier New"/>
    </w:rPr>
  </w:style>
  <w:style w:type="character" w:styleId="ListLabel244">
    <w:name w:val="ListLabel 244"/>
    <w:qFormat/>
    <w:rPr>
      <w:rFonts w:cs="Wingdings"/>
    </w:rPr>
  </w:style>
  <w:style w:type="character" w:styleId="ListLabel245">
    <w:name w:val="ListLabel 245"/>
    <w:qFormat/>
    <w:rPr>
      <w:rFonts w:cs="Symbol"/>
    </w:rPr>
  </w:style>
  <w:style w:type="character" w:styleId="ListLabel246">
    <w:name w:val="ListLabel 246"/>
    <w:qFormat/>
    <w:rPr>
      <w:rFonts w:cs="Courier New"/>
    </w:rPr>
  </w:style>
  <w:style w:type="character" w:styleId="ListLabel247">
    <w:name w:val="ListLabel 247"/>
    <w:qFormat/>
    <w:rPr>
      <w:rFonts w:cs="Wingdings"/>
    </w:rPr>
  </w:style>
  <w:style w:type="character" w:styleId="ListLabel248">
    <w:name w:val="ListLabel 248"/>
    <w:qFormat/>
    <w:rPr>
      <w:rFonts w:cs="Symbol"/>
    </w:rPr>
  </w:style>
  <w:style w:type="character" w:styleId="ListLabel249">
    <w:name w:val="ListLabel 249"/>
    <w:qFormat/>
    <w:rPr>
      <w:rFonts w:cs="Courier New"/>
    </w:rPr>
  </w:style>
  <w:style w:type="character" w:styleId="ListLabel250">
    <w:name w:val="ListLabel 250"/>
    <w:qFormat/>
    <w:rPr>
      <w:rFonts w:cs="Wingdings"/>
    </w:rPr>
  </w:style>
  <w:style w:type="character" w:styleId="ListLabel251">
    <w:name w:val="ListLabel 251"/>
    <w:qFormat/>
    <w:rPr>
      <w:rFonts w:ascii="Arial" w:hAnsi="Arial" w:cs="Symbol"/>
      <w:b/>
    </w:rPr>
  </w:style>
  <w:style w:type="character" w:styleId="ListLabel252">
    <w:name w:val="ListLabel 252"/>
    <w:qFormat/>
    <w:rPr>
      <w:rFonts w:cs="Courier New"/>
    </w:rPr>
  </w:style>
  <w:style w:type="character" w:styleId="ListLabel253">
    <w:name w:val="ListLabel 253"/>
    <w:qFormat/>
    <w:rPr>
      <w:rFonts w:cs="Wingdings"/>
    </w:rPr>
  </w:style>
  <w:style w:type="character" w:styleId="ListLabel254">
    <w:name w:val="ListLabel 254"/>
    <w:qFormat/>
    <w:rPr>
      <w:rFonts w:cs="Symbol"/>
    </w:rPr>
  </w:style>
  <w:style w:type="character" w:styleId="ListLabel255">
    <w:name w:val="ListLabel 255"/>
    <w:qFormat/>
    <w:rPr>
      <w:rFonts w:cs="Courier New"/>
    </w:rPr>
  </w:style>
  <w:style w:type="character" w:styleId="ListLabel256">
    <w:name w:val="ListLabel 256"/>
    <w:qFormat/>
    <w:rPr>
      <w:rFonts w:cs="Wingdings"/>
    </w:rPr>
  </w:style>
  <w:style w:type="character" w:styleId="ListLabel257">
    <w:name w:val="ListLabel 257"/>
    <w:qFormat/>
    <w:rPr>
      <w:rFonts w:cs="Symbol"/>
    </w:rPr>
  </w:style>
  <w:style w:type="character" w:styleId="ListLabel258">
    <w:name w:val="ListLabel 258"/>
    <w:qFormat/>
    <w:rPr>
      <w:rFonts w:cs="Courier New"/>
    </w:rPr>
  </w:style>
  <w:style w:type="character" w:styleId="ListLabel259">
    <w:name w:val="ListLabel 259"/>
    <w:qFormat/>
    <w:rPr>
      <w:rFonts w:cs="Wingdings"/>
    </w:rPr>
  </w:style>
  <w:style w:type="character" w:styleId="ListLabel260">
    <w:name w:val="ListLabel 260"/>
    <w:qFormat/>
    <w:rPr>
      <w:rFonts w:cs="Symbol"/>
    </w:rPr>
  </w:style>
  <w:style w:type="character" w:styleId="ListLabel261">
    <w:name w:val="ListLabel 261"/>
    <w:qFormat/>
    <w:rPr>
      <w:rFonts w:cs="Courier New"/>
    </w:rPr>
  </w:style>
  <w:style w:type="character" w:styleId="ListLabel262">
    <w:name w:val="ListLabel 262"/>
    <w:qFormat/>
    <w:rPr>
      <w:rFonts w:cs="Wingdings"/>
    </w:rPr>
  </w:style>
  <w:style w:type="character" w:styleId="ListLabel263">
    <w:name w:val="ListLabel 263"/>
    <w:qFormat/>
    <w:rPr>
      <w:rFonts w:cs="Symbol"/>
    </w:rPr>
  </w:style>
  <w:style w:type="character" w:styleId="ListLabel264">
    <w:name w:val="ListLabel 264"/>
    <w:qFormat/>
    <w:rPr>
      <w:rFonts w:cs="Courier New"/>
    </w:rPr>
  </w:style>
  <w:style w:type="character" w:styleId="ListLabel265">
    <w:name w:val="ListLabel 265"/>
    <w:qFormat/>
    <w:rPr>
      <w:rFonts w:cs="Wingdings"/>
    </w:rPr>
  </w:style>
  <w:style w:type="character" w:styleId="ListLabel266">
    <w:name w:val="ListLabel 266"/>
    <w:qFormat/>
    <w:rPr>
      <w:rFonts w:cs="Symbol"/>
    </w:rPr>
  </w:style>
  <w:style w:type="character" w:styleId="ListLabel267">
    <w:name w:val="ListLabel 267"/>
    <w:qFormat/>
    <w:rPr>
      <w:rFonts w:cs="Courier New"/>
    </w:rPr>
  </w:style>
  <w:style w:type="character" w:styleId="ListLabel268">
    <w:name w:val="ListLabel 268"/>
    <w:qFormat/>
    <w:rPr>
      <w:rFonts w:cs="Wingdings"/>
    </w:rPr>
  </w:style>
  <w:style w:type="character" w:styleId="ListLabel269">
    <w:name w:val="ListLabel 269"/>
    <w:qFormat/>
    <w:rPr>
      <w:rFonts w:cs="Symbol"/>
    </w:rPr>
  </w:style>
  <w:style w:type="character" w:styleId="ListLabel270">
    <w:name w:val="ListLabel 270"/>
    <w:qFormat/>
    <w:rPr>
      <w:rFonts w:cs="Courier New"/>
    </w:rPr>
  </w:style>
  <w:style w:type="character" w:styleId="ListLabel271">
    <w:name w:val="ListLabel 271"/>
    <w:qFormat/>
    <w:rPr>
      <w:rFonts w:cs="Wingdings"/>
    </w:rPr>
  </w:style>
  <w:style w:type="character" w:styleId="ListLabel272">
    <w:name w:val="ListLabel 272"/>
    <w:qFormat/>
    <w:rPr>
      <w:rFonts w:cs="Symbol"/>
    </w:rPr>
  </w:style>
  <w:style w:type="character" w:styleId="ListLabel273">
    <w:name w:val="ListLabel 273"/>
    <w:qFormat/>
    <w:rPr>
      <w:rFonts w:cs="Courier New"/>
    </w:rPr>
  </w:style>
  <w:style w:type="character" w:styleId="ListLabel274">
    <w:name w:val="ListLabel 274"/>
    <w:qFormat/>
    <w:rPr>
      <w:rFonts w:cs="Wingdings"/>
    </w:rPr>
  </w:style>
  <w:style w:type="character" w:styleId="ListLabel275">
    <w:name w:val="ListLabel 275"/>
    <w:qFormat/>
    <w:rPr>
      <w:rFonts w:cs="Symbol"/>
    </w:rPr>
  </w:style>
  <w:style w:type="character" w:styleId="ListLabel276">
    <w:name w:val="ListLabel 276"/>
    <w:qFormat/>
    <w:rPr>
      <w:rFonts w:cs="Courier New"/>
    </w:rPr>
  </w:style>
  <w:style w:type="character" w:styleId="ListLabel277">
    <w:name w:val="ListLabel 277"/>
    <w:qFormat/>
    <w:rPr>
      <w:rFonts w:cs="Wingdings"/>
    </w:rPr>
  </w:style>
  <w:style w:type="character" w:styleId="ListLabel278">
    <w:name w:val="ListLabel 278"/>
    <w:qFormat/>
    <w:rPr>
      <w:rFonts w:ascii="Arial" w:hAnsi="Arial" w:cs="Symbol"/>
    </w:rPr>
  </w:style>
  <w:style w:type="character" w:styleId="ListLabel279">
    <w:name w:val="ListLabel 279"/>
    <w:qFormat/>
    <w:rPr>
      <w:rFonts w:cs="Courier New"/>
    </w:rPr>
  </w:style>
  <w:style w:type="character" w:styleId="ListLabel280">
    <w:name w:val="ListLabel 280"/>
    <w:qFormat/>
    <w:rPr>
      <w:rFonts w:cs="Wingdings"/>
    </w:rPr>
  </w:style>
  <w:style w:type="character" w:styleId="ListLabel281">
    <w:name w:val="ListLabel 281"/>
    <w:qFormat/>
    <w:rPr>
      <w:rFonts w:cs="Symbol"/>
    </w:rPr>
  </w:style>
  <w:style w:type="character" w:styleId="ListLabel282">
    <w:name w:val="ListLabel 282"/>
    <w:qFormat/>
    <w:rPr>
      <w:rFonts w:cs="Courier New"/>
    </w:rPr>
  </w:style>
  <w:style w:type="character" w:styleId="ListLabel283">
    <w:name w:val="ListLabel 283"/>
    <w:qFormat/>
    <w:rPr>
      <w:rFonts w:cs="Wingdings"/>
    </w:rPr>
  </w:style>
  <w:style w:type="character" w:styleId="ListLabel284">
    <w:name w:val="ListLabel 284"/>
    <w:qFormat/>
    <w:rPr>
      <w:rFonts w:cs="Symbol"/>
    </w:rPr>
  </w:style>
  <w:style w:type="character" w:styleId="ListLabel285">
    <w:name w:val="ListLabel 285"/>
    <w:qFormat/>
    <w:rPr>
      <w:rFonts w:cs="Courier New"/>
    </w:rPr>
  </w:style>
  <w:style w:type="character" w:styleId="ListLabel286">
    <w:name w:val="ListLabel 286"/>
    <w:qFormat/>
    <w:rPr>
      <w:rFonts w:cs="Wingdings"/>
    </w:rPr>
  </w:style>
  <w:style w:type="character" w:styleId="ListLabel287">
    <w:name w:val="ListLabel 287"/>
    <w:qFormat/>
    <w:rPr>
      <w:rFonts w:ascii="Arial" w:hAnsi="Arial" w:cs="Symbol"/>
    </w:rPr>
  </w:style>
  <w:style w:type="character" w:styleId="ListLabel288">
    <w:name w:val="ListLabel 288"/>
    <w:qFormat/>
    <w:rPr>
      <w:rFonts w:cs="Courier New"/>
    </w:rPr>
  </w:style>
  <w:style w:type="character" w:styleId="ListLabel289">
    <w:name w:val="ListLabel 289"/>
    <w:qFormat/>
    <w:rPr>
      <w:rFonts w:cs="Wingdings"/>
    </w:rPr>
  </w:style>
  <w:style w:type="character" w:styleId="ListLabel290">
    <w:name w:val="ListLabel 290"/>
    <w:qFormat/>
    <w:rPr>
      <w:rFonts w:cs="Symbol"/>
    </w:rPr>
  </w:style>
  <w:style w:type="character" w:styleId="ListLabel291">
    <w:name w:val="ListLabel 291"/>
    <w:qFormat/>
    <w:rPr>
      <w:rFonts w:cs="Courier New"/>
    </w:rPr>
  </w:style>
  <w:style w:type="character" w:styleId="ListLabel292">
    <w:name w:val="ListLabel 292"/>
    <w:qFormat/>
    <w:rPr>
      <w:rFonts w:cs="Wingdings"/>
    </w:rPr>
  </w:style>
  <w:style w:type="character" w:styleId="ListLabel293">
    <w:name w:val="ListLabel 293"/>
    <w:qFormat/>
    <w:rPr>
      <w:rFonts w:cs="Symbol"/>
    </w:rPr>
  </w:style>
  <w:style w:type="character" w:styleId="ListLabel294">
    <w:name w:val="ListLabel 294"/>
    <w:qFormat/>
    <w:rPr>
      <w:rFonts w:cs="Courier New"/>
    </w:rPr>
  </w:style>
  <w:style w:type="character" w:styleId="ListLabel295">
    <w:name w:val="ListLabel 295"/>
    <w:qFormat/>
    <w:rPr>
      <w:rFonts w:cs="Wingdings"/>
    </w:rPr>
  </w:style>
  <w:style w:type="character" w:styleId="ListLabel296">
    <w:name w:val="ListLabel 296"/>
    <w:qFormat/>
    <w:rPr>
      <w:rFonts w:ascii="Arial" w:hAnsi="Arial" w:cs="Symbol"/>
    </w:rPr>
  </w:style>
  <w:style w:type="character" w:styleId="ListLabel297">
    <w:name w:val="ListLabel 297"/>
    <w:qFormat/>
    <w:rPr>
      <w:rFonts w:cs="Courier New"/>
    </w:rPr>
  </w:style>
  <w:style w:type="character" w:styleId="ListLabel298">
    <w:name w:val="ListLabel 298"/>
    <w:qFormat/>
    <w:rPr>
      <w:rFonts w:cs="Wingdings"/>
    </w:rPr>
  </w:style>
  <w:style w:type="character" w:styleId="ListLabel299">
    <w:name w:val="ListLabel 299"/>
    <w:qFormat/>
    <w:rPr>
      <w:rFonts w:cs="Symbol"/>
    </w:rPr>
  </w:style>
  <w:style w:type="character" w:styleId="ListLabel300">
    <w:name w:val="ListLabel 300"/>
    <w:qFormat/>
    <w:rPr>
      <w:rFonts w:cs="Courier New"/>
    </w:rPr>
  </w:style>
  <w:style w:type="character" w:styleId="ListLabel301">
    <w:name w:val="ListLabel 301"/>
    <w:qFormat/>
    <w:rPr>
      <w:rFonts w:cs="Wingdings"/>
    </w:rPr>
  </w:style>
  <w:style w:type="character" w:styleId="ListLabel302">
    <w:name w:val="ListLabel 302"/>
    <w:qFormat/>
    <w:rPr>
      <w:rFonts w:cs="Symbol"/>
    </w:rPr>
  </w:style>
  <w:style w:type="character" w:styleId="ListLabel303">
    <w:name w:val="ListLabel 303"/>
    <w:qFormat/>
    <w:rPr>
      <w:rFonts w:cs="Courier New"/>
    </w:rPr>
  </w:style>
  <w:style w:type="character" w:styleId="ListLabel304">
    <w:name w:val="ListLabel 304"/>
    <w:qFormat/>
    <w:rPr>
      <w:rFonts w:cs="Wingdings"/>
    </w:rPr>
  </w:style>
  <w:style w:type="character" w:styleId="ListLabel305">
    <w:name w:val="ListLabel 305"/>
    <w:qFormat/>
    <w:rPr>
      <w:rFonts w:ascii="Arial" w:hAnsi="Arial" w:cs="Symbol"/>
    </w:rPr>
  </w:style>
  <w:style w:type="character" w:styleId="ListLabel306">
    <w:name w:val="ListLabel 306"/>
    <w:qFormat/>
    <w:rPr>
      <w:rFonts w:cs="Courier New"/>
    </w:rPr>
  </w:style>
  <w:style w:type="character" w:styleId="ListLabel307">
    <w:name w:val="ListLabel 307"/>
    <w:qFormat/>
    <w:rPr>
      <w:rFonts w:cs="Wingdings"/>
    </w:rPr>
  </w:style>
  <w:style w:type="character" w:styleId="ListLabel308">
    <w:name w:val="ListLabel 308"/>
    <w:qFormat/>
    <w:rPr>
      <w:rFonts w:cs="Symbol"/>
    </w:rPr>
  </w:style>
  <w:style w:type="character" w:styleId="ListLabel309">
    <w:name w:val="ListLabel 309"/>
    <w:qFormat/>
    <w:rPr>
      <w:rFonts w:cs="Courier New"/>
    </w:rPr>
  </w:style>
  <w:style w:type="character" w:styleId="ListLabel310">
    <w:name w:val="ListLabel 310"/>
    <w:qFormat/>
    <w:rPr>
      <w:rFonts w:cs="Wingdings"/>
    </w:rPr>
  </w:style>
  <w:style w:type="character" w:styleId="ListLabel311">
    <w:name w:val="ListLabel 311"/>
    <w:qFormat/>
    <w:rPr>
      <w:rFonts w:cs="Symbol"/>
    </w:rPr>
  </w:style>
  <w:style w:type="character" w:styleId="ListLabel312">
    <w:name w:val="ListLabel 312"/>
    <w:qFormat/>
    <w:rPr>
      <w:rFonts w:cs="Courier New"/>
    </w:rPr>
  </w:style>
  <w:style w:type="character" w:styleId="ListLabel313">
    <w:name w:val="ListLabel 313"/>
    <w:qFormat/>
    <w:rPr>
      <w:rFonts w:cs="Wingdings"/>
    </w:rPr>
  </w:style>
  <w:style w:type="character" w:styleId="ListLabel314">
    <w:name w:val="ListLabel 314"/>
    <w:qFormat/>
    <w:rPr>
      <w:rFonts w:ascii="Arial" w:hAnsi="Arial" w:cs="Symbol"/>
    </w:rPr>
  </w:style>
  <w:style w:type="character" w:styleId="ListLabel315">
    <w:name w:val="ListLabel 315"/>
    <w:qFormat/>
    <w:rPr>
      <w:rFonts w:cs="Courier New"/>
    </w:rPr>
  </w:style>
  <w:style w:type="character" w:styleId="ListLabel316">
    <w:name w:val="ListLabel 316"/>
    <w:qFormat/>
    <w:rPr>
      <w:rFonts w:cs="Wingdings"/>
    </w:rPr>
  </w:style>
  <w:style w:type="character" w:styleId="ListLabel317">
    <w:name w:val="ListLabel 317"/>
    <w:qFormat/>
    <w:rPr>
      <w:rFonts w:cs="Symbol"/>
    </w:rPr>
  </w:style>
  <w:style w:type="character" w:styleId="ListLabel318">
    <w:name w:val="ListLabel 318"/>
    <w:qFormat/>
    <w:rPr>
      <w:rFonts w:cs="Courier New"/>
    </w:rPr>
  </w:style>
  <w:style w:type="character" w:styleId="ListLabel319">
    <w:name w:val="ListLabel 319"/>
    <w:qFormat/>
    <w:rPr>
      <w:rFonts w:cs="Wingdings"/>
    </w:rPr>
  </w:style>
  <w:style w:type="character" w:styleId="ListLabel320">
    <w:name w:val="ListLabel 320"/>
    <w:qFormat/>
    <w:rPr>
      <w:rFonts w:cs="Symbol"/>
    </w:rPr>
  </w:style>
  <w:style w:type="character" w:styleId="ListLabel321">
    <w:name w:val="ListLabel 321"/>
    <w:qFormat/>
    <w:rPr>
      <w:rFonts w:cs="Courier New"/>
    </w:rPr>
  </w:style>
  <w:style w:type="character" w:styleId="ListLabel322">
    <w:name w:val="ListLabel 322"/>
    <w:qFormat/>
    <w:rPr>
      <w:rFonts w:cs="Wingdings"/>
    </w:rPr>
  </w:style>
  <w:style w:type="character" w:styleId="ListLabel323">
    <w:name w:val="ListLabel 323"/>
    <w:qFormat/>
    <w:rPr>
      <w:rFonts w:ascii="Arial" w:hAnsi="Arial" w:cs="Symbol"/>
    </w:rPr>
  </w:style>
  <w:style w:type="character" w:styleId="ListLabel324">
    <w:name w:val="ListLabel 324"/>
    <w:qFormat/>
    <w:rPr>
      <w:rFonts w:cs="Courier New"/>
    </w:rPr>
  </w:style>
  <w:style w:type="character" w:styleId="ListLabel325">
    <w:name w:val="ListLabel 325"/>
    <w:qFormat/>
    <w:rPr>
      <w:rFonts w:cs="Wingdings"/>
    </w:rPr>
  </w:style>
  <w:style w:type="character" w:styleId="ListLabel326">
    <w:name w:val="ListLabel 326"/>
    <w:qFormat/>
    <w:rPr>
      <w:rFonts w:cs="Symbol"/>
    </w:rPr>
  </w:style>
  <w:style w:type="character" w:styleId="ListLabel327">
    <w:name w:val="ListLabel 327"/>
    <w:qFormat/>
    <w:rPr>
      <w:rFonts w:cs="Courier New"/>
    </w:rPr>
  </w:style>
  <w:style w:type="character" w:styleId="ListLabel328">
    <w:name w:val="ListLabel 328"/>
    <w:qFormat/>
    <w:rPr>
      <w:rFonts w:cs="Wingdings"/>
    </w:rPr>
  </w:style>
  <w:style w:type="character" w:styleId="ListLabel329">
    <w:name w:val="ListLabel 329"/>
    <w:qFormat/>
    <w:rPr>
      <w:rFonts w:cs="Symbol"/>
    </w:rPr>
  </w:style>
  <w:style w:type="character" w:styleId="ListLabel330">
    <w:name w:val="ListLabel 330"/>
    <w:qFormat/>
    <w:rPr>
      <w:rFonts w:cs="Courier New"/>
    </w:rPr>
  </w:style>
  <w:style w:type="character" w:styleId="ListLabel331">
    <w:name w:val="ListLabel 331"/>
    <w:qFormat/>
    <w:rPr>
      <w:rFonts w:cs="Wingdings"/>
    </w:rPr>
  </w:style>
  <w:style w:type="character" w:styleId="ListLabel332">
    <w:name w:val="ListLabel 332"/>
    <w:qFormat/>
    <w:rPr>
      <w:rFonts w:cs="Arial"/>
    </w:rPr>
  </w:style>
  <w:style w:type="character" w:styleId="ListLabel333">
    <w:name w:val="ListLabel 333"/>
    <w:qFormat/>
    <w:rPr>
      <w:rFonts w:cs="Arial"/>
    </w:rPr>
  </w:style>
  <w:style w:type="character" w:styleId="ListLabel334">
    <w:name w:val="ListLabel 334"/>
    <w:qFormat/>
    <w:rPr>
      <w:rFonts w:cs="Arial"/>
      <w:strike w:val="false"/>
      <w:dstrike w:val="false"/>
    </w:rPr>
  </w:style>
  <w:style w:type="character" w:styleId="ListLabel335">
    <w:name w:val="ListLabel 335"/>
    <w:qFormat/>
    <w:rPr>
      <w:rFonts w:cs="Arial"/>
    </w:rPr>
  </w:style>
  <w:style w:type="character" w:styleId="ListLabel336">
    <w:name w:val="ListLabel 336"/>
    <w:qFormat/>
    <w:rPr>
      <w:rFonts w:cs="Arial"/>
    </w:rPr>
  </w:style>
  <w:style w:type="character" w:styleId="ListLabel337">
    <w:name w:val="ListLabel 337"/>
    <w:qFormat/>
    <w:rPr>
      <w:rFonts w:cs="Arial"/>
    </w:rPr>
  </w:style>
  <w:style w:type="character" w:styleId="ListLabel338">
    <w:name w:val="ListLabel 338"/>
    <w:qFormat/>
    <w:rPr>
      <w:rFonts w:cs="Arial"/>
    </w:rPr>
  </w:style>
  <w:style w:type="character" w:styleId="ListLabel339">
    <w:name w:val="ListLabel 339"/>
    <w:qFormat/>
    <w:rPr>
      <w:rFonts w:cs="Arial"/>
    </w:rPr>
  </w:style>
  <w:style w:type="character" w:styleId="ListLabel340">
    <w:name w:val="ListLabel 340"/>
    <w:qFormat/>
    <w:rPr>
      <w:rFonts w:cs="Arial"/>
    </w:rPr>
  </w:style>
  <w:style w:type="character" w:styleId="ListLabel341">
    <w:name w:val="ListLabel 341"/>
    <w:qFormat/>
    <w:rPr>
      <w:rFonts w:cs="Arial"/>
    </w:rPr>
  </w:style>
  <w:style w:type="character" w:styleId="ListLabel342">
    <w:name w:val="ListLabel 342"/>
    <w:qFormat/>
    <w:rPr>
      <w:rFonts w:ascii="Arial" w:hAnsi="Arial" w:cs="Symbol"/>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cs="Symbol"/>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cs="Times New Roman"/>
      <w:w w:val="99"/>
      <w:sz w:val="24"/>
      <w:szCs w:val="24"/>
    </w:rPr>
  </w:style>
  <w:style w:type="character" w:styleId="ListLabel352">
    <w:name w:val="ListLabel 352"/>
    <w:qFormat/>
    <w:rPr>
      <w:rFonts w:cs="Times New Roman"/>
      <w:w w:val="99"/>
      <w:sz w:val="24"/>
      <w:szCs w:val="24"/>
    </w:rPr>
  </w:style>
  <w:style w:type="character" w:styleId="ListLabel353">
    <w:name w:val="ListLabel 353"/>
    <w:qFormat/>
    <w:rPr>
      <w:rFonts w:cs="Symbol"/>
    </w:rPr>
  </w:style>
  <w:style w:type="character" w:styleId="ListLabel354">
    <w:name w:val="ListLabel 354"/>
    <w:qFormat/>
    <w:rPr>
      <w:rFonts w:cs="Symbol"/>
    </w:rPr>
  </w:style>
  <w:style w:type="character" w:styleId="ListLabel355">
    <w:name w:val="ListLabel 355"/>
    <w:qFormat/>
    <w:rPr>
      <w:rFonts w:cs="Symbol"/>
    </w:rPr>
  </w:style>
  <w:style w:type="character" w:styleId="ListLabel356">
    <w:name w:val="ListLabel 356"/>
    <w:qFormat/>
    <w:rPr>
      <w:rFonts w:cs="Symbol"/>
    </w:rPr>
  </w:style>
  <w:style w:type="character" w:styleId="ListLabel357">
    <w:name w:val="ListLabel 357"/>
    <w:qFormat/>
    <w:rPr>
      <w:rFonts w:cs="Symbol"/>
    </w:rPr>
  </w:style>
  <w:style w:type="character" w:styleId="ListLabel358">
    <w:name w:val="ListLabel 358"/>
    <w:qFormat/>
    <w:rPr>
      <w:rFonts w:cs="Symbol"/>
    </w:rPr>
  </w:style>
  <w:style w:type="character" w:styleId="ListLabel359">
    <w:name w:val="ListLabel 359"/>
    <w:qFormat/>
    <w:rPr>
      <w:rFonts w:cs="Symbol"/>
    </w:rPr>
  </w:style>
  <w:style w:type="character" w:styleId="ListLabel360">
    <w:name w:val="ListLabel 360"/>
    <w:qFormat/>
    <w:rPr>
      <w:rFonts w:ascii="Arial" w:hAnsi="Arial" w:cs="Symbol"/>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ascii="Arial" w:hAnsi="Arial" w:cs="Symbol"/>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cs="Symbol"/>
    </w:rPr>
  </w:style>
  <w:style w:type="character" w:styleId="ListLabel373">
    <w:name w:val="ListLabel 373"/>
    <w:qFormat/>
    <w:rPr>
      <w:rFonts w:cs="Courier New"/>
    </w:rPr>
  </w:style>
  <w:style w:type="character" w:styleId="ListLabel374">
    <w:name w:val="ListLabel 374"/>
    <w:qFormat/>
    <w:rPr>
      <w:rFonts w:cs="Wingdings"/>
    </w:rPr>
  </w:style>
  <w:style w:type="character" w:styleId="ListLabel375">
    <w:name w:val="ListLabel 375"/>
    <w:qFormat/>
    <w:rPr>
      <w:rFonts w:cs="Symbol"/>
    </w:rPr>
  </w:style>
  <w:style w:type="character" w:styleId="ListLabel376">
    <w:name w:val="ListLabel 376"/>
    <w:qFormat/>
    <w:rPr>
      <w:rFonts w:cs="Courier New"/>
    </w:rPr>
  </w:style>
  <w:style w:type="character" w:styleId="ListLabel377">
    <w:name w:val="ListLabel 377"/>
    <w:qFormat/>
    <w:rPr>
      <w:rFonts w:cs="Wingdings"/>
    </w:rPr>
  </w:style>
  <w:style w:type="character" w:styleId="ListLabel378">
    <w:name w:val="ListLabel 378"/>
    <w:qFormat/>
    <w:rPr>
      <w:rFonts w:ascii="Arial" w:hAnsi="Arial" w:cs="Symbol"/>
    </w:rPr>
  </w:style>
  <w:style w:type="character" w:styleId="ListLabel379">
    <w:name w:val="ListLabel 379"/>
    <w:qFormat/>
    <w:rPr>
      <w:rFonts w:cs="Courier New"/>
    </w:rPr>
  </w:style>
  <w:style w:type="character" w:styleId="ListLabel380">
    <w:name w:val="ListLabel 380"/>
    <w:qFormat/>
    <w:rPr>
      <w:rFonts w:cs="Wingdings"/>
    </w:rPr>
  </w:style>
  <w:style w:type="character" w:styleId="ListLabel381">
    <w:name w:val="ListLabel 381"/>
    <w:qFormat/>
    <w:rPr>
      <w:rFonts w:cs="Symbol"/>
    </w:rPr>
  </w:style>
  <w:style w:type="character" w:styleId="ListLabel382">
    <w:name w:val="ListLabel 382"/>
    <w:qFormat/>
    <w:rPr>
      <w:rFonts w:cs="Courier New"/>
    </w:rPr>
  </w:style>
  <w:style w:type="character" w:styleId="ListLabel383">
    <w:name w:val="ListLabel 383"/>
    <w:qFormat/>
    <w:rPr>
      <w:rFonts w:cs="Wingdings"/>
    </w:rPr>
  </w:style>
  <w:style w:type="character" w:styleId="ListLabel384">
    <w:name w:val="ListLabel 384"/>
    <w:qFormat/>
    <w:rPr>
      <w:rFonts w:cs="Symbol"/>
    </w:rPr>
  </w:style>
  <w:style w:type="character" w:styleId="ListLabel385">
    <w:name w:val="ListLabel 385"/>
    <w:qFormat/>
    <w:rPr>
      <w:rFonts w:cs="Courier New"/>
    </w:rPr>
  </w:style>
  <w:style w:type="character" w:styleId="ListLabel386">
    <w:name w:val="ListLabel 386"/>
    <w:qFormat/>
    <w:rPr>
      <w:rFonts w:cs="Wingdings"/>
    </w:rPr>
  </w:style>
  <w:style w:type="character" w:styleId="ListLabel387">
    <w:name w:val="ListLabel 387"/>
    <w:qFormat/>
    <w:rPr>
      <w:rFonts w:ascii="Arial" w:hAnsi="Arial" w:cs="Symbol"/>
    </w:rPr>
  </w:style>
  <w:style w:type="character" w:styleId="ListLabel388">
    <w:name w:val="ListLabel 388"/>
    <w:qFormat/>
    <w:rPr>
      <w:rFonts w:cs="Courier New"/>
    </w:rPr>
  </w:style>
  <w:style w:type="character" w:styleId="ListLabel389">
    <w:name w:val="ListLabel 389"/>
    <w:qFormat/>
    <w:rPr>
      <w:rFonts w:cs="Wingdings"/>
    </w:rPr>
  </w:style>
  <w:style w:type="character" w:styleId="ListLabel390">
    <w:name w:val="ListLabel 390"/>
    <w:qFormat/>
    <w:rPr>
      <w:rFonts w:cs="Symbol"/>
    </w:rPr>
  </w:style>
  <w:style w:type="character" w:styleId="ListLabel391">
    <w:name w:val="ListLabel 391"/>
    <w:qFormat/>
    <w:rPr>
      <w:rFonts w:cs="Courier New"/>
    </w:rPr>
  </w:style>
  <w:style w:type="character" w:styleId="ListLabel392">
    <w:name w:val="ListLabel 392"/>
    <w:qFormat/>
    <w:rPr>
      <w:rFonts w:cs="Wingdings"/>
    </w:rPr>
  </w:style>
  <w:style w:type="character" w:styleId="ListLabel393">
    <w:name w:val="ListLabel 393"/>
    <w:qFormat/>
    <w:rPr>
      <w:rFonts w:cs="Symbol"/>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ascii="Arial" w:hAnsi="Arial"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2">
    <w:name w:val="ListLabel 402"/>
    <w:qFormat/>
    <w:rPr>
      <w:rFonts w:cs="Symbol"/>
    </w:rPr>
  </w:style>
  <w:style w:type="character" w:styleId="ListLabel403">
    <w:name w:val="ListLabel 403"/>
    <w:qFormat/>
    <w:rPr>
      <w:rFonts w:cs="Courier New"/>
    </w:rPr>
  </w:style>
  <w:style w:type="character" w:styleId="ListLabel404">
    <w:name w:val="ListLabel 404"/>
    <w:qFormat/>
    <w:rPr>
      <w:rFonts w:cs="Wingdings"/>
    </w:rPr>
  </w:style>
  <w:style w:type="character" w:styleId="ListLabel405">
    <w:name w:val="ListLabel 405"/>
    <w:qFormat/>
    <w:rPr>
      <w:rFonts w:ascii="Arial" w:hAnsi="Arial" w:cs="Symbol"/>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cs="Symbol"/>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rFonts w:cs="Symbol"/>
      <w:b/>
      <w:sz w:val="24"/>
    </w:rPr>
  </w:style>
  <w:style w:type="character" w:styleId="ListLabel415">
    <w:name w:val="ListLabel 415"/>
    <w:qFormat/>
    <w:rPr>
      <w:rFonts w:cs="Courier New"/>
    </w:rPr>
  </w:style>
  <w:style w:type="character" w:styleId="ListLabel416">
    <w:name w:val="ListLabel 416"/>
    <w:qFormat/>
    <w:rPr>
      <w:rFonts w:cs="Wingdings"/>
    </w:rPr>
  </w:style>
  <w:style w:type="character" w:styleId="ListLabel417">
    <w:name w:val="ListLabel 417"/>
    <w:qFormat/>
    <w:rPr>
      <w:rFonts w:cs="Symbol"/>
    </w:rPr>
  </w:style>
  <w:style w:type="character" w:styleId="ListLabel418">
    <w:name w:val="ListLabel 418"/>
    <w:qFormat/>
    <w:rPr>
      <w:rFonts w:cs="Courier New"/>
    </w:rPr>
  </w:style>
  <w:style w:type="character" w:styleId="ListLabel419">
    <w:name w:val="ListLabel 419"/>
    <w:qFormat/>
    <w:rPr>
      <w:rFonts w:cs="Wingdings"/>
    </w:rPr>
  </w:style>
  <w:style w:type="character" w:styleId="ListLabel420">
    <w:name w:val="ListLabel 420"/>
    <w:qFormat/>
    <w:rPr>
      <w:rFonts w:cs="Symbol"/>
    </w:rPr>
  </w:style>
  <w:style w:type="character" w:styleId="ListLabel421">
    <w:name w:val="ListLabel 421"/>
    <w:qFormat/>
    <w:rPr>
      <w:rFonts w:cs="Courier New"/>
    </w:rPr>
  </w:style>
  <w:style w:type="character" w:styleId="ListLabel422">
    <w:name w:val="ListLabel 422"/>
    <w:qFormat/>
    <w:rPr>
      <w:rFonts w:cs="Wingdings"/>
    </w:rPr>
  </w:style>
  <w:style w:type="character" w:styleId="ListLabel423">
    <w:name w:val="ListLabel 423"/>
    <w:qFormat/>
    <w:rPr>
      <w:rFonts w:cs="Symbol"/>
      <w:b/>
      <w:sz w:val="24"/>
    </w:rPr>
  </w:style>
  <w:style w:type="character" w:styleId="ListLabel424">
    <w:name w:val="ListLabel 424"/>
    <w:qFormat/>
    <w:rPr>
      <w:rFonts w:cs="Courier New"/>
    </w:rPr>
  </w:style>
  <w:style w:type="character" w:styleId="ListLabel425">
    <w:name w:val="ListLabel 425"/>
    <w:qFormat/>
    <w:rPr>
      <w:rFonts w:cs="Wingdings"/>
    </w:rPr>
  </w:style>
  <w:style w:type="character" w:styleId="ListLabel426">
    <w:name w:val="ListLabel 426"/>
    <w:qFormat/>
    <w:rPr>
      <w:rFonts w:cs="Symbol"/>
    </w:rPr>
  </w:style>
  <w:style w:type="character" w:styleId="ListLabel427">
    <w:name w:val="ListLabel 427"/>
    <w:qFormat/>
    <w:rPr>
      <w:rFonts w:cs="Courier New"/>
    </w:rPr>
  </w:style>
  <w:style w:type="character" w:styleId="ListLabel428">
    <w:name w:val="ListLabel 428"/>
    <w:qFormat/>
    <w:rPr>
      <w:rFonts w:cs="Wingdings"/>
    </w:rPr>
  </w:style>
  <w:style w:type="character" w:styleId="ListLabel429">
    <w:name w:val="ListLabel 429"/>
    <w:qFormat/>
    <w:rPr>
      <w:rFonts w:cs="Symbol"/>
    </w:rPr>
  </w:style>
  <w:style w:type="character" w:styleId="ListLabel430">
    <w:name w:val="ListLabel 430"/>
    <w:qFormat/>
    <w:rPr>
      <w:rFonts w:cs="Courier New"/>
    </w:rPr>
  </w:style>
  <w:style w:type="character" w:styleId="ListLabel431">
    <w:name w:val="ListLabel 431"/>
    <w:qFormat/>
    <w:rPr>
      <w:rFonts w:cs="Wingdings"/>
    </w:rPr>
  </w:style>
  <w:style w:type="character" w:styleId="ListLabel432">
    <w:name w:val="ListLabel 432"/>
    <w:qFormat/>
    <w:rPr>
      <w:rFonts w:cs="Symbol"/>
      <w:b/>
      <w:sz w:val="24"/>
    </w:rPr>
  </w:style>
  <w:style w:type="character" w:styleId="ListLabel433">
    <w:name w:val="ListLabel 433"/>
    <w:qFormat/>
    <w:rPr>
      <w:rFonts w:cs="Courier New"/>
    </w:rPr>
  </w:style>
  <w:style w:type="character" w:styleId="ListLabel434">
    <w:name w:val="ListLabel 434"/>
    <w:qFormat/>
    <w:rPr>
      <w:rFonts w:cs="Wingdings"/>
    </w:rPr>
  </w:style>
  <w:style w:type="character" w:styleId="ListLabel435">
    <w:name w:val="ListLabel 435"/>
    <w:qFormat/>
    <w:rPr>
      <w:rFonts w:cs="Symbol"/>
    </w:rPr>
  </w:style>
  <w:style w:type="character" w:styleId="ListLabel436">
    <w:name w:val="ListLabel 436"/>
    <w:qFormat/>
    <w:rPr>
      <w:rFonts w:cs="Courier New"/>
    </w:rPr>
  </w:style>
  <w:style w:type="character" w:styleId="ListLabel437">
    <w:name w:val="ListLabel 437"/>
    <w:qFormat/>
    <w:rPr>
      <w:rFonts w:cs="Wingdings"/>
    </w:rPr>
  </w:style>
  <w:style w:type="character" w:styleId="ListLabel438">
    <w:name w:val="ListLabel 438"/>
    <w:qFormat/>
    <w:rPr>
      <w:rFonts w:cs="Symbol"/>
    </w:rPr>
  </w:style>
  <w:style w:type="character" w:styleId="ListLabel439">
    <w:name w:val="ListLabel 439"/>
    <w:qFormat/>
    <w:rPr>
      <w:rFonts w:cs="Courier New"/>
    </w:rPr>
  </w:style>
  <w:style w:type="character" w:styleId="ListLabel440">
    <w:name w:val="ListLabel 440"/>
    <w:qFormat/>
    <w:rPr>
      <w:rFonts w:cs="Wingdings"/>
    </w:rPr>
  </w:style>
  <w:style w:type="character" w:styleId="ListLabel441">
    <w:name w:val="ListLabel 441"/>
    <w:qFormat/>
    <w:rPr>
      <w:rFonts w:cs="Symbol"/>
    </w:rPr>
  </w:style>
  <w:style w:type="character" w:styleId="ListLabel442">
    <w:name w:val="ListLabel 442"/>
    <w:qFormat/>
    <w:rPr>
      <w:rFonts w:cs="Courier New"/>
    </w:rPr>
  </w:style>
  <w:style w:type="character" w:styleId="ListLabel443">
    <w:name w:val="ListLabel 443"/>
    <w:qFormat/>
    <w:rPr>
      <w:rFonts w:cs="Wingdings"/>
    </w:rPr>
  </w:style>
  <w:style w:type="character" w:styleId="ListLabel444">
    <w:name w:val="ListLabel 444"/>
    <w:qFormat/>
    <w:rPr>
      <w:rFonts w:cs="Symbol"/>
    </w:rPr>
  </w:style>
  <w:style w:type="character" w:styleId="ListLabel445">
    <w:name w:val="ListLabel 445"/>
    <w:qFormat/>
    <w:rPr>
      <w:rFonts w:cs="Courier New"/>
    </w:rPr>
  </w:style>
  <w:style w:type="character" w:styleId="ListLabel446">
    <w:name w:val="ListLabel 446"/>
    <w:qFormat/>
    <w:rPr>
      <w:rFonts w:cs="Wingdings"/>
    </w:rPr>
  </w:style>
  <w:style w:type="character" w:styleId="ListLabel447">
    <w:name w:val="ListLabel 447"/>
    <w:qFormat/>
    <w:rPr>
      <w:rFonts w:cs="Symbol"/>
    </w:rPr>
  </w:style>
  <w:style w:type="character" w:styleId="ListLabel448">
    <w:name w:val="ListLabel 448"/>
    <w:qFormat/>
    <w:rPr>
      <w:rFonts w:cs="Courier New"/>
    </w:rPr>
  </w:style>
  <w:style w:type="character" w:styleId="ListLabel449">
    <w:name w:val="ListLabel 449"/>
    <w:qFormat/>
    <w:rPr>
      <w:rFonts w:cs="Wingdings"/>
    </w:rPr>
  </w:style>
  <w:style w:type="character" w:styleId="ListLabel450">
    <w:name w:val="ListLabel 450"/>
    <w:qFormat/>
    <w:rPr>
      <w:rFonts w:cs="Symbol"/>
    </w:rPr>
  </w:style>
  <w:style w:type="character" w:styleId="ListLabel451">
    <w:name w:val="ListLabel 451"/>
    <w:qFormat/>
    <w:rPr>
      <w:rFonts w:cs="Courier New"/>
    </w:rPr>
  </w:style>
  <w:style w:type="character" w:styleId="ListLabel452">
    <w:name w:val="ListLabel 452"/>
    <w:qFormat/>
    <w:rPr>
      <w:rFonts w:cs="Wingdings"/>
    </w:rPr>
  </w:style>
  <w:style w:type="character" w:styleId="ListLabel453">
    <w:name w:val="ListLabel 453"/>
    <w:qFormat/>
    <w:rPr>
      <w:rFonts w:cs="Symbol"/>
    </w:rPr>
  </w:style>
  <w:style w:type="character" w:styleId="ListLabel454">
    <w:name w:val="ListLabel 454"/>
    <w:qFormat/>
    <w:rPr>
      <w:rFonts w:cs="Courier New"/>
    </w:rPr>
  </w:style>
  <w:style w:type="character" w:styleId="ListLabel455">
    <w:name w:val="ListLabel 455"/>
    <w:qFormat/>
    <w:rPr>
      <w:rFonts w:cs="Wingdings"/>
    </w:rPr>
  </w:style>
  <w:style w:type="character" w:styleId="ListLabel456">
    <w:name w:val="ListLabel 456"/>
    <w:qFormat/>
    <w:rPr>
      <w:rFonts w:cs="Symbol"/>
    </w:rPr>
  </w:style>
  <w:style w:type="character" w:styleId="ListLabel457">
    <w:name w:val="ListLabel 457"/>
    <w:qFormat/>
    <w:rPr>
      <w:rFonts w:cs="Courier New"/>
    </w:rPr>
  </w:style>
  <w:style w:type="character" w:styleId="ListLabel458">
    <w:name w:val="ListLabel 458"/>
    <w:qFormat/>
    <w:rPr>
      <w:rFonts w:cs="Wingdings"/>
    </w:rPr>
  </w:style>
  <w:style w:type="character" w:styleId="ListLabel459">
    <w:name w:val="ListLabel 459"/>
    <w:qFormat/>
    <w:rPr>
      <w:rFonts w:cs="Courier New"/>
    </w:rPr>
  </w:style>
  <w:style w:type="character" w:styleId="ListLabel460">
    <w:name w:val="ListLabel 460"/>
    <w:qFormat/>
    <w:rPr>
      <w:rFonts w:cs="Courier New"/>
    </w:rPr>
  </w:style>
  <w:style w:type="character" w:styleId="ListLabel461">
    <w:name w:val="ListLabel 461"/>
    <w:qFormat/>
    <w:rPr>
      <w:rFonts w:cs="Courier New"/>
    </w:rPr>
  </w:style>
  <w:style w:type="character" w:styleId="ListLabel462">
    <w:name w:val="ListLabel 462"/>
    <w:qFormat/>
    <w:rPr>
      <w:rFonts w:ascii="Arial" w:hAnsi="Arial" w:cs="Symbol"/>
      <w:sz w:val="24"/>
      <w:szCs w:val="24"/>
    </w:rPr>
  </w:style>
  <w:style w:type="character" w:styleId="ListLabel463">
    <w:name w:val="ListLabel 463"/>
    <w:qFormat/>
    <w:rPr>
      <w:rFonts w:ascii="Arial" w:hAnsi="Arial" w:cs="Times New Roman"/>
      <w:sz w:val="24"/>
    </w:rPr>
  </w:style>
  <w:style w:type="character" w:styleId="ListLabel464">
    <w:name w:val="ListLabel 464"/>
    <w:qFormat/>
    <w:rPr>
      <w:rFonts w:cs="Courier New"/>
    </w:rPr>
  </w:style>
  <w:style w:type="character" w:styleId="ListLabel465">
    <w:name w:val="ListLabel 465"/>
    <w:qFormat/>
    <w:rPr>
      <w:rFonts w:cs="Wingdings"/>
    </w:rPr>
  </w:style>
  <w:style w:type="character" w:styleId="ListLabel466">
    <w:name w:val="ListLabel 466"/>
    <w:qFormat/>
    <w:rPr>
      <w:rFonts w:cs="Symbol"/>
    </w:rPr>
  </w:style>
  <w:style w:type="character" w:styleId="ListLabel467">
    <w:name w:val="ListLabel 467"/>
    <w:qFormat/>
    <w:rPr>
      <w:rFonts w:cs="Courier New"/>
    </w:rPr>
  </w:style>
  <w:style w:type="character" w:styleId="ListLabel468">
    <w:name w:val="ListLabel 468"/>
    <w:qFormat/>
    <w:rPr>
      <w:rFonts w:cs="Wingdings"/>
    </w:rPr>
  </w:style>
  <w:style w:type="character" w:styleId="ListLabel469">
    <w:name w:val="ListLabel 469"/>
    <w:qFormat/>
    <w:rPr>
      <w:rFonts w:cs="Symbol"/>
    </w:rPr>
  </w:style>
  <w:style w:type="character" w:styleId="ListLabel470">
    <w:name w:val="ListLabel 470"/>
    <w:qFormat/>
    <w:rPr>
      <w:rFonts w:cs="Courier New"/>
    </w:rPr>
  </w:style>
  <w:style w:type="character" w:styleId="ListLabel471">
    <w:name w:val="ListLabel 471"/>
    <w:qFormat/>
    <w:rPr>
      <w:rFonts w:cs="Wingdings"/>
    </w:rPr>
  </w:style>
  <w:style w:type="character" w:styleId="ListLabel472">
    <w:name w:val="ListLabel 472"/>
    <w:qFormat/>
    <w:rPr>
      <w:rFonts w:cs="Courier New"/>
    </w:rPr>
  </w:style>
  <w:style w:type="character" w:styleId="ListLabel473">
    <w:name w:val="ListLabel 473"/>
    <w:qFormat/>
    <w:rPr>
      <w:rFonts w:cs="Courier New"/>
    </w:rPr>
  </w:style>
  <w:style w:type="character" w:styleId="ListLabel474">
    <w:name w:val="ListLabel 474"/>
    <w:qFormat/>
    <w:rPr>
      <w:rFonts w:cs="Courier New"/>
    </w:rPr>
  </w:style>
  <w:style w:type="character" w:styleId="ListLabel475">
    <w:name w:val="ListLabel 475"/>
    <w:qFormat/>
    <w:rPr>
      <w:rFonts w:cs="Courier New"/>
    </w:rPr>
  </w:style>
  <w:style w:type="character" w:styleId="ListLabel476">
    <w:name w:val="ListLabel 476"/>
    <w:qFormat/>
    <w:rPr>
      <w:rFonts w:cs="Courier New"/>
    </w:rPr>
  </w:style>
  <w:style w:type="character" w:styleId="ListLabel477">
    <w:name w:val="ListLabel 477"/>
    <w:qFormat/>
    <w:rPr>
      <w:rFonts w:cs="Courier New"/>
    </w:rPr>
  </w:style>
  <w:style w:type="character" w:styleId="ListLabel478">
    <w:name w:val="ListLabel 478"/>
    <w:qFormat/>
    <w:rPr>
      <w:rFonts w:cs="Courier New"/>
    </w:rPr>
  </w:style>
  <w:style w:type="character" w:styleId="ListLabel479">
    <w:name w:val="ListLabel 479"/>
    <w:qFormat/>
    <w:rPr>
      <w:rFonts w:cs="Courier New"/>
    </w:rPr>
  </w:style>
  <w:style w:type="character" w:styleId="ListLabel480">
    <w:name w:val="ListLabel 480"/>
    <w:qFormat/>
    <w:rPr>
      <w:rFonts w:cs="Courier New"/>
    </w:rPr>
  </w:style>
  <w:style w:type="character" w:styleId="ListLabel481">
    <w:name w:val="ListLabel 481"/>
    <w:qFormat/>
    <w:rPr>
      <w:rFonts w:cs="Courier New"/>
    </w:rPr>
  </w:style>
  <w:style w:type="character" w:styleId="ListLabel482">
    <w:name w:val="ListLabel 482"/>
    <w:qFormat/>
    <w:rPr>
      <w:rFonts w:cs="Courier New"/>
    </w:rPr>
  </w:style>
  <w:style w:type="character" w:styleId="ListLabel483">
    <w:name w:val="ListLabel 483"/>
    <w:qFormat/>
    <w:rPr>
      <w:rFonts w:cs="Courier New"/>
    </w:rPr>
  </w:style>
  <w:style w:type="character" w:styleId="ListLabel484">
    <w:name w:val="ListLabel 484"/>
    <w:qFormat/>
    <w:rPr>
      <w:rFonts w:cs="Courier New"/>
    </w:rPr>
  </w:style>
  <w:style w:type="character" w:styleId="ListLabel485">
    <w:name w:val="ListLabel 485"/>
    <w:qFormat/>
    <w:rPr>
      <w:rFonts w:cs="Courier New"/>
    </w:rPr>
  </w:style>
  <w:style w:type="character" w:styleId="ListLabel486">
    <w:name w:val="ListLabel 486"/>
    <w:qFormat/>
    <w:rPr>
      <w:rFonts w:cs="Courier New"/>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otexto"/>
    <w:rsid w:val="00a92d2e"/>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1"/>
    <w:qFormat/>
    <w:rsid w:val="00a92d2e"/>
    <w:pPr>
      <w:suppressLineNumbers/>
    </w:pPr>
    <w:rPr>
      <w:rFonts w:cs="Mangal"/>
    </w:rPr>
  </w:style>
  <w:style w:type="paragraph" w:styleId="Normal1" w:customStyle="1">
    <w:name w:val="Normal1"/>
    <w:qFormat/>
    <w:rsid w:val="00a92d2e"/>
    <w:pPr>
      <w:widowControl/>
      <w:suppressAutoHyphens w:val="true"/>
      <w:bidi w:val="0"/>
      <w:spacing w:lineRule="atLeast" w:line="100" w:before="0" w:after="200"/>
      <w:jc w:val="left"/>
    </w:pPr>
    <w:rPr>
      <w:rFonts w:ascii="Arial" w:hAnsi="Arial" w:eastAsia="SimSun" w:cs="Arial"/>
      <w:color w:val="000000"/>
      <w:sz w:val="24"/>
      <w:szCs w:val="24"/>
      <w:lang w:eastAsia="en-US" w:val="pt-BR" w:bidi="ar-SA"/>
    </w:rPr>
  </w:style>
  <w:style w:type="paragraph" w:styleId="Ttulododocumento">
    <w:name w:val="Title"/>
    <w:basedOn w:val="Normal1"/>
    <w:qFormat/>
    <w:rsid w:val="00a92d2e"/>
    <w:pPr>
      <w:keepNext/>
      <w:spacing w:before="240" w:after="120"/>
    </w:pPr>
    <w:rPr>
      <w:rFonts w:ascii="Liberation Sans" w:hAnsi="Liberation Sans" w:eastAsia="Microsoft YaHei" w:cs="Mangal"/>
      <w:sz w:val="28"/>
      <w:szCs w:val="28"/>
    </w:rPr>
  </w:style>
  <w:style w:type="paragraph" w:styleId="Corpodotexto" w:customStyle="1">
    <w:name w:val="Corpo do texto"/>
    <w:basedOn w:val="Normal1"/>
    <w:link w:val="CorpodetextoChar"/>
    <w:uiPriority w:val="1"/>
    <w:qFormat/>
    <w:rsid w:val="00b82e8d"/>
    <w:pPr>
      <w:widowControl w:val="false"/>
      <w:ind w:left="102" w:hanging="0"/>
    </w:pPr>
    <w:rPr>
      <w:rFonts w:ascii="Arial" w:hAnsi="Arial" w:eastAsia="Arial" w:cs="Arial"/>
      <w:sz w:val="20"/>
      <w:szCs w:val="20"/>
      <w:lang w:val="en-US" w:eastAsia="en-US"/>
    </w:rPr>
  </w:style>
  <w:style w:type="paragraph" w:styleId="Caption">
    <w:name w:val="caption"/>
    <w:basedOn w:val="Normal1"/>
    <w:qFormat/>
    <w:rsid w:val="00844acc"/>
    <w:pPr>
      <w:suppressLineNumbers/>
      <w:spacing w:before="120" w:after="120"/>
    </w:pPr>
    <w:rPr>
      <w:rFonts w:eastAsia="Calibri" w:cs="FreeSans" w:eastAsiaTheme="minorHAnsi"/>
      <w:i/>
      <w:iCs/>
      <w:lang w:eastAsia="en-US"/>
    </w:rPr>
  </w:style>
  <w:style w:type="paragraph" w:styleId="NormalWeb">
    <w:name w:val="Normal (Web)"/>
    <w:basedOn w:val="Normal1"/>
    <w:uiPriority w:val="99"/>
    <w:unhideWhenUsed/>
    <w:qFormat/>
    <w:rsid w:val="008b2cc0"/>
    <w:pPr>
      <w:spacing w:before="280" w:after="280"/>
    </w:pPr>
    <w:rPr/>
  </w:style>
  <w:style w:type="paragraph" w:styleId="ListParagraph">
    <w:name w:val="List Paragraph"/>
    <w:basedOn w:val="Normal1"/>
    <w:uiPriority w:val="1"/>
    <w:qFormat/>
    <w:rsid w:val="0005412b"/>
    <w:pPr>
      <w:spacing w:before="0" w:after="200"/>
      <w:ind w:left="720" w:hanging="0"/>
      <w:contextualSpacing/>
    </w:pPr>
    <w:rPr/>
  </w:style>
  <w:style w:type="paragraph" w:styleId="Default" w:customStyle="1">
    <w:name w:val="Default"/>
    <w:qFormat/>
    <w:rsid w:val="00844acc"/>
    <w:pPr>
      <w:widowControl/>
      <w:suppressAutoHyphens w:val="true"/>
      <w:bidi w:val="0"/>
      <w:spacing w:lineRule="auto" w:line="240"/>
      <w:jc w:val="left"/>
    </w:pPr>
    <w:rPr>
      <w:rFonts w:ascii="Arial" w:hAnsi="Arial" w:eastAsia="Calibri" w:cs="Arial" w:eastAsiaTheme="minorHAnsi"/>
      <w:color w:val="000000"/>
      <w:sz w:val="24"/>
      <w:szCs w:val="24"/>
      <w:lang w:val="nl-NL" w:eastAsia="en-US" w:bidi="ar-SA"/>
    </w:rPr>
  </w:style>
  <w:style w:type="paragraph" w:styleId="Contedodatabela" w:customStyle="1">
    <w:name w:val="Conteúdo da tabela"/>
    <w:basedOn w:val="Normal1"/>
    <w:qFormat/>
    <w:rsid w:val="00844acc"/>
    <w:pPr>
      <w:widowControl w:val="false"/>
      <w:suppressLineNumbers/>
    </w:pPr>
    <w:rPr>
      <w:rFonts w:ascii="Liberation Serif" w:hAnsi="Liberation Serif" w:eastAsia="SimSun" w:cs="Mangal"/>
      <w:lang w:bidi="hi-IN"/>
    </w:rPr>
  </w:style>
  <w:style w:type="paragraph" w:styleId="M5365091212347152756m1402241205955487382gmailwestern" w:customStyle="1">
    <w:name w:val="m_-5365091212347152756m_-1402241205955487382gmail-western"/>
    <w:basedOn w:val="Normal1"/>
    <w:qFormat/>
    <w:rsid w:val="00903e49"/>
    <w:pPr>
      <w:spacing w:before="280" w:after="280"/>
    </w:pPr>
    <w:rPr/>
  </w:style>
  <w:style w:type="paragraph" w:styleId="NoSpacing">
    <w:name w:val="No Spacing"/>
    <w:uiPriority w:val="1"/>
    <w:qFormat/>
    <w:rsid w:val="008e0158"/>
    <w:pPr>
      <w:widowControl/>
      <w:suppressAutoHyphens w:val="true"/>
      <w:bidi w:val="0"/>
      <w:spacing w:lineRule="auto" w:line="240"/>
      <w:jc w:val="both"/>
    </w:pPr>
    <w:rPr>
      <w:rFonts w:ascii="Arial" w:hAnsi="Arial" w:eastAsia="Calibri" w:cs="Times New Roman"/>
      <w:color w:val="auto"/>
      <w:sz w:val="24"/>
      <w:szCs w:val="22"/>
      <w:lang w:eastAsia="en-US" w:val="pt-BR" w:bidi="ar-SA"/>
    </w:rPr>
  </w:style>
  <w:style w:type="paragraph" w:styleId="Footnotetext">
    <w:name w:val="footnote text"/>
    <w:basedOn w:val="Normal1"/>
    <w:link w:val="TextodenotaderodapChar"/>
    <w:uiPriority w:val="99"/>
    <w:semiHidden/>
    <w:unhideWhenUsed/>
    <w:qFormat/>
    <w:rsid w:val="008e0158"/>
    <w:pPr/>
    <w:rPr>
      <w:rFonts w:eastAsia="Calibri" w:eastAsiaTheme="minorHAnsi"/>
      <w:sz w:val="20"/>
      <w:szCs w:val="20"/>
      <w:lang w:eastAsia="en-US"/>
    </w:rPr>
  </w:style>
  <w:style w:type="paragraph" w:styleId="BalloonText">
    <w:name w:val="Balloon Text"/>
    <w:basedOn w:val="Normal1"/>
    <w:link w:val="TextodebaloChar"/>
    <w:uiPriority w:val="99"/>
    <w:semiHidden/>
    <w:unhideWhenUsed/>
    <w:qFormat/>
    <w:rsid w:val="00fc4ac3"/>
    <w:pPr/>
    <w:rPr>
      <w:rFonts w:ascii="Tahoma" w:hAnsi="Tahoma" w:cs="Tahoma"/>
      <w:sz w:val="16"/>
      <w:szCs w:val="16"/>
    </w:rPr>
  </w:style>
  <w:style w:type="paragraph" w:styleId="PargrafodaLista1" w:customStyle="1">
    <w:name w:val="Parágrafo da Lista1"/>
    <w:basedOn w:val="Normal1"/>
    <w:qFormat/>
    <w:rsid w:val="001547b5"/>
    <w:pPr>
      <w:spacing w:before="0" w:after="0"/>
      <w:ind w:left="720" w:hanging="0"/>
      <w:contextualSpacing/>
    </w:pPr>
    <w:rPr>
      <w:rFonts w:ascii="Calibri" w:hAnsi="Calibri" w:eastAsia="Calibri" w:cs="font240"/>
      <w:lang w:eastAsia="en-US"/>
    </w:rPr>
  </w:style>
  <w:style w:type="paragraph" w:styleId="TableParagraph" w:customStyle="1">
    <w:name w:val="Table Paragraph"/>
    <w:basedOn w:val="Normal1"/>
    <w:uiPriority w:val="1"/>
    <w:qFormat/>
    <w:rsid w:val="00b82e8d"/>
    <w:pPr>
      <w:widowControl w:val="false"/>
      <w:ind w:left="25" w:hanging="0"/>
    </w:pPr>
    <w:rPr>
      <w:rFonts w:ascii="Arial" w:hAnsi="Arial" w:eastAsia="Arial" w:cs="Arial"/>
      <w:lang w:val="en-US" w:eastAsia="en-US"/>
    </w:rPr>
  </w:style>
  <w:style w:type="paragraph" w:styleId="Revision">
    <w:name w:val="Revision"/>
    <w:uiPriority w:val="99"/>
    <w:semiHidden/>
    <w:qFormat/>
    <w:rsid w:val="004b164e"/>
    <w:pPr>
      <w:widowControl/>
      <w:suppressAutoHyphens w:val="true"/>
      <w:bidi w:val="0"/>
      <w:spacing w:lineRule="auto" w:line="240"/>
      <w:jc w:val="left"/>
    </w:pPr>
    <w:rPr>
      <w:rFonts w:ascii="Calibri" w:hAnsi="Calibri" w:eastAsia="" w:cs="" w:asciiTheme="minorHAnsi" w:cstheme="minorBidi" w:eastAsiaTheme="minorEastAsia" w:hAnsiTheme="minorHAnsi"/>
      <w:color w:val="auto"/>
      <w:sz w:val="22"/>
      <w:szCs w:val="22"/>
      <w:lang w:val="pt-BR" w:eastAsia="pt-BR" w:bidi="ar-SA"/>
    </w:rPr>
  </w:style>
  <w:style w:type="paragraph" w:styleId="Cabealho">
    <w:name w:val="Header"/>
    <w:basedOn w:val="Normal1"/>
    <w:link w:val="CabealhoChar"/>
    <w:uiPriority w:val="99"/>
    <w:unhideWhenUsed/>
    <w:rsid w:val="004b164e"/>
    <w:pPr>
      <w:tabs>
        <w:tab w:val="center" w:pos="4252" w:leader="none"/>
        <w:tab w:val="right" w:pos="8504" w:leader="none"/>
      </w:tabs>
    </w:pPr>
    <w:rPr/>
  </w:style>
  <w:style w:type="paragraph" w:styleId="Rodap">
    <w:name w:val="Footer"/>
    <w:basedOn w:val="Normal1"/>
    <w:link w:val="RodapChar"/>
    <w:uiPriority w:val="99"/>
    <w:semiHidden/>
    <w:unhideWhenUsed/>
    <w:rsid w:val="004b164e"/>
    <w:pPr>
      <w:tabs>
        <w:tab w:val="center" w:pos="4252" w:leader="none"/>
        <w:tab w:val="right" w:pos="8504" w:leader="none"/>
      </w:tabs>
    </w:pPr>
    <w:rPr/>
  </w:style>
  <w:style w:type="paragraph" w:styleId="Notaderodap" w:customStyle="1">
    <w:name w:val="Footnote Text"/>
    <w:basedOn w:val="Normal1"/>
    <w:rsid w:val="00a92d2e"/>
    <w:pPr/>
    <w:rPr/>
  </w:style>
  <w:style w:type="paragraph" w:styleId="Western" w:customStyle="1">
    <w:name w:val="western"/>
    <w:basedOn w:val="Normal1"/>
    <w:qFormat/>
    <w:rsid w:val="00a92d2e"/>
    <w:pPr>
      <w:spacing w:lineRule="auto" w:line="288" w:before="280" w:after="142"/>
    </w:pPr>
    <w:rPr>
      <w:rFonts w:ascii="Calibri" w:hAnsi="Calibri" w:eastAsia="Times New Roman" w:cs="Times New Roman"/>
      <w:color w:val="00000A"/>
    </w:rPr>
  </w:style>
  <w:style w:type="paragraph" w:styleId="Normal2" w:customStyle="1">
    <w:name w:val="LO-normal"/>
    <w:qFormat/>
    <w:rsid w:val="00d92a42"/>
    <w:pPr>
      <w:widowControl/>
      <w:pBdr/>
      <w:bidi w:val="0"/>
      <w:spacing w:lineRule="auto" w:line="240"/>
      <w:jc w:val="left"/>
    </w:pPr>
    <w:rPr>
      <w:rFonts w:ascii="Liberation Serif" w:hAnsi="Liberation Serif" w:eastAsia="Liberation Serif" w:cs="Liberation Serif"/>
      <w:color w:val="000000"/>
      <w:sz w:val="24"/>
      <w:szCs w:val="24"/>
      <w:lang w:val="pt-BR" w:eastAsia="pt-BR" w:bidi="ar-SA"/>
    </w:rPr>
  </w:style>
  <w:style w:type="paragraph" w:styleId="Annotationtext">
    <w:name w:val="annotation text"/>
    <w:basedOn w:val="Normal"/>
    <w:link w:val="TextodecomentrioChar"/>
    <w:uiPriority w:val="99"/>
    <w:semiHidden/>
    <w:unhideWhenUsed/>
    <w:qFormat/>
    <w:rsid w:val="008f6e5e"/>
    <w:pPr>
      <w:spacing w:lineRule="auto" w:line="240" w:before="0" w:after="20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uiPriority w:val="59"/>
    <w:rsid w:val="00cc6d2b"/>
    <w:pPr>
      <w:spacing w:line="240" w:lineRule="auto"/>
    </w:pPr>
    <w:rPr>
      <w:rFonts w:eastAsiaTheme="minorHAnsi"/>
      <w:lang w:eastAsia="en-US"/>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Normal">
    <w:name w:val="Table Normal"/>
    <w:uiPriority w:val="2"/>
    <w:semiHidden/>
    <w:unhideWhenUsed/>
    <w:qFormat/>
    <w:rsid w:val="00b82e8d"/>
    <w:pPr>
      <w:spacing w:line="240" w:lineRule="auto"/>
    </w:pPr>
    <w:rPr>
      <w:rFonts w:eastAsiaTheme="minorHAnsi"/>
      <w:lang w:val="en-US" w:eastAsia="en-US"/>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ufvjm.edu.br/site/mesp/" TargetMode="External"/><Relationship Id="rId3" Type="http://schemas.openxmlformats.org/officeDocument/2006/relationships/hyperlink" Target="http://www.ufvjm.edu.br/prppg/index.php?option=com_docman&amp;task=doc_download&amp;gid=2560&amp;Itemid=643" TargetMode="External"/><Relationship Id="rId4" Type="http://schemas.openxmlformats.org/officeDocument/2006/relationships/hyperlink" Target="http://ead.ufvjm.edu.br/index.php/especializacao/189-teste" TargetMode="External"/><Relationship Id="rId5" Type="http://schemas.openxmlformats.org/officeDocument/2006/relationships/hyperlink" Target="http://www.ufvjm.edu.br/prppg/index.php?option=com_docman&amp;task=doc_download&amp;gid=2550&amp;Itemid=643" TargetMode="External"/><Relationship Id="rId6" Type="http://schemas.openxmlformats.org/officeDocument/2006/relationships/hyperlink" Target="http://www.ufvjm.edu.br/site/edh/" TargetMode="External"/><Relationship Id="rId7" Type="http://schemas.openxmlformats.org/officeDocument/2006/relationships/footer" Target="footer1.xml"/><Relationship Id="rId8" Type="http://schemas.openxmlformats.org/officeDocument/2006/relationships/hyperlink" Target="https://www.ufmg.br/proex/renex/images/documentos/Plano-nacional-de-extensao-universitaria-editado.pdf" TargetMode="External"/><Relationship Id="rId9" Type="http://schemas.openxmlformats.org/officeDocument/2006/relationships/hyperlink" Target="https://www.ufmg.br/proex/renex/images/documentos/Pol&#237;tica-Nacional-de-Extens&#227;o-Universit&#225;ria-e-book.pdf" TargetMode="External"/><Relationship Id="rId10" Type="http://schemas.openxmlformats.org/officeDocument/2006/relationships/hyperlink" Target="http://www.ufvjm.edu.br/proexc/politicaextensao.html" TargetMode="External"/><Relationship Id="rId11" Type="http://schemas.openxmlformats.org/officeDocument/2006/relationships/footer" Target="footer2.xml"/><Relationship Id="rId12" Type="http://schemas.openxmlformats.org/officeDocument/2006/relationships/footnotes" Target="footnotes.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351B5-32F4-4D2A-B68B-2CED0893F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Application>LibreOffice/5.1.5.2$Windows_x86 LibreOffice_project/7a864d8825610a8c07cfc3bc01dd4fce6a9447e5</Application>
  <Pages>203</Pages>
  <Words>51572</Words>
  <CharactersWithSpaces>278494</CharactersWithSpaces>
  <Paragraphs>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2017-10-20T22:24:00Z</dcterms:created>
  <dc:creator>Projeto CTC</dc:creator>
  <dc:description/>
  <dc:language>pt-BR</dc:language>
  <cp:lastModifiedBy>Projeto CTC</cp:lastModifiedBy>
  <dcterms:modified xsi:type="dcterms:W3CDTF">2017-12-03T23:06:00Z</dcterms:modified>
  <cp:revision>72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