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color w:val="000000"/>
        </w:rPr>
      </w:pPr>
      <w:r>
        <w:rPr>
          <w:color w:val="000000"/>
        </w:rPr>
      </w:r>
    </w:p>
    <w:p>
      <w:pPr>
        <w:pStyle w:val="Normal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RESOLUÇÃO Nº 14, DE 14 DE DEZEMBRO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ind w:left="496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Altera o Anexo da Resolução nº 15 de 03 de agosto de 2012, que trata do Programa de Capacitação e Aperfeiçoamento dos servidores Técnico-Administrativos em Educação (Procape) da Universidade Federal dos Vales do Jequitinhonha e Mucuri.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1"/>
        <w:suppressAutoHyphens w:val="true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CONSELHO UNIVERSITÁRIO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DA UNIVERSIDADE FEDERAL DOS VALES DO JEQUITINHONHA E DO MUCURI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no uso das atribuições legais e regimentais que lhe são conferidas, tendo em vista o que foi deliberado na sua 150ª sessão,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R E S O L V E: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spacing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ab/>
        <w:t>Art.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Aprovar alterações no Anexo da Resolução nº 15, de 03 de agosto de 2012, que trata do Programa de Capacitação e Aperfeiçoamento dos servidores Técnico-Administrativos em Educação (Procape) da Universidade Federal dos Vales do Jequitinhonha e Mucuri.</w:t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Art. 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 referido documento passa a vigorar na forma do anexo.</w:t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Art. 3º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Esta resolução entrará em vigor na data de sua publicação.</w:t>
      </w:r>
    </w:p>
    <w:p>
      <w:pPr>
        <w:pStyle w:val="Normal"/>
        <w:tabs>
          <w:tab w:val="left" w:pos="851" w:leader="none"/>
        </w:tabs>
        <w:suppressAutoHyphens w:val="true"/>
        <w:spacing w:before="0" w:after="240"/>
        <w:jc w:val="center"/>
        <w:rPr>
          <w:rFonts w:ascii="Times New Roman" w:hAnsi="Times New Roman" w:eastAsia="Arial" w:cs="Arial"/>
          <w:color w:val="000000"/>
          <w:sz w:val="24"/>
          <w:szCs w:val="24"/>
        </w:rPr>
      </w:pPr>
      <w:r>
        <w:rPr>
          <w:rFonts w:eastAsia="Arial" w:cs="Arial" w:ascii="Times New Roman" w:hAnsi="Times New Roman"/>
          <w:color w:val="000000"/>
          <w:sz w:val="24"/>
          <w:szCs w:val="24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CLÁUDIO EDUARDO RODRIGUES</w:t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838200" cy="819150"/>
            <wp:effectExtent l="0" t="0" r="0" b="0"/>
            <wp:docPr id="2" name="Figura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ANEXO DA RESOLUÇÃO Nº 14 - CONSU, DE 14 DE DEZEMBRO DE 2017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PROGRAMA DE CAPACITAÇÃO E APERFEIÇOAMENTO DOS SERVIDORES TÉCNICO-ADMINISTRATIVOS EM EDUCAÇÃO (PROCAPE) DA UNIVERSIDADE FEDERAL DOS VALES DO JEQUITINHONHA E MUCURI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Regulamenta o Programa de Capacitação e Aperfeiçoamento dos servidores técnico-administrativos em Educação da UFVJM, em consonância com o estabelecido nas Leis nº 11091/05 e 8.112/90 e as diretrizes do Decreto nº 5825/06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e do Decreto 12.772/12.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sz w:val="24"/>
          <w:szCs w:val="24"/>
          <w:highlight w:val="white"/>
          <w:u w:val="none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sz w:val="24"/>
          <w:szCs w:val="24"/>
          <w:highlight w:val="white"/>
          <w:u w:val="none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Art. 1º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O PROCAPE compreenderá a capacitação e qualificação nas suas mais diversas formas, correspondentes à natureza das atividades dos servidores na área de Educação e as exigências dos cargos, ambiente organizacional, incluindo a educação formal, conforme o Art.21, da Lei 9.394/96 – Lei de Diretrizes e Bases da Educação.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 Art. 2º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O PROCAPE tem os seguintes objetivos específicos: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I - contribuir pa</w:t>
      </w:r>
      <w:bookmarkStart w:id="0" w:name="_GoBack"/>
      <w:bookmarkEnd w:id="0"/>
      <w:r>
        <w:rPr>
          <w:rFonts w:ascii="Times New Roman" w:hAnsi="Times New Roman"/>
          <w:i w:val="false"/>
          <w:iCs w:val="false"/>
          <w:sz w:val="24"/>
          <w:szCs w:val="24"/>
        </w:rPr>
        <w:t xml:space="preserve">ra o desenvolvimento do servidor da UFVJM, como profissional e cidadão;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 - capacitar e qualificar o servidor para o exercício de atividades de forma articulada com a função social e técnico-científica da Instituição;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III - habilitar o servidor para o desenvolvimento de ações de gestão pública;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IV - promover ações de qualificação para os servidores no âmbito da educação fundamental e ensino médio, de graduação e pós-graduação lato e stricto sensu.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 Art. 3º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O PROCAPE será implementado nas seguintes linhas de desenvolvimento: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 - Iniciação ao Serviço Público - visa dar conhecimento ao servidor da função do Estado, das especificidades do Serviço Público, da missão da UFVJM e da conduta do servidor público e sua integração ao ambiente institucional;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II- Formação geral – visa a oferta de informações ao servidor sobre a importância dos aspectos profissionais vinculados à formulação, ao planejamento, à execução e ao controle das metas institucionais;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III- Educação formal – visa a implementação de ações que contemplem os diversos níveis de educação formal;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IV- Gestão – objetiva a preparação do servidor para o desenvolvimento da atividade de gestão, que deverá se constituir em pré-requisito para o exercício de funções de chefia, coordenação, assessoramento e direção;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V- Inter-relação entre ambientes – visa à capacitação do servidor para o desenvolvimento de atividades relacionadas e desenvolvidas em mais de um ambiente organizacional;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VI - Específica – visa à capacitação e qualificação do servidor para o desempenho de atividades vinculadas ao ambiente organizacional em que atua e o cargo que ocupa.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>Art. 4º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As ações de capacitação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poderão ser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oferecidas por meio de cursos em diversas modalidades (forma única, modular, presencial, à distância e outros).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Art. 5º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As ações de capacitação quanto à duração serão classificadas em: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 – curta duração: ações cuja carga horária seja inferior a 100 horas;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 - média duração: ações cuja carga horária seja superior a 100 horas e inferior a 360 horas;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III- longa duração: ações cuja duração seja igual ou superior a 360 horas.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 xml:space="preserve">Art.6º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A participação em ações de capacitação e qualificação poderão ocorrer: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 – com ônus, quando acarretar despesa total ou parcial para a UFVJM, com inscrições, passagens, diárias e outros, sendo assegurado ao servidor o vencimento e demais vantagens do cargo ou função;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 - com ônus limitado, quando implicar apenas na manutenção do vencimento e demais vantagens do cargo ou função;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III – sem ônus, quando não acarretar qualquer despesa para a Universidade, inclusive o pagamento do vencimento ou demais vantagens.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Art. 7º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As ações de capacitação, aperfeiçoamento e qualificação, poderão ocorrer dentro e fora da UFVJM, e também em articulação com outras instituições.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§ 1 – Para as ações de capacitação oferecidas pela UFVJM serão selecionados instrutores que devem atender aos requisitos de qualificação técnica, preferencialmente, entre aqueles que possuem vínculo jurídico com a UFVJM, Técnicos-Administrativos em Educação e Docentes.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§ 2. A PROGEP, após ampla divulgação, manterá um cadastro de profissionais destinado a servir de base para recrutamento de instrutores. </w:t>
      </w:r>
    </w:p>
    <w:p>
      <w:pPr>
        <w:pStyle w:val="Normal"/>
        <w:jc w:val="both"/>
        <w:rPr>
          <w:rFonts w:ascii="Times New Roman" w:hAnsi="Times New Roman"/>
          <w:strike/>
          <w:sz w:val="24"/>
          <w:szCs w:val="24"/>
          <w:highlight w:val="red"/>
        </w:rPr>
      </w:pPr>
      <w:r>
        <w:rPr>
          <w:rFonts w:ascii="Times New Roman" w:hAnsi="Times New Roman"/>
          <w:strike/>
          <w:sz w:val="24"/>
          <w:szCs w:val="24"/>
          <w:highlight w:val="red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ab/>
        <w:t xml:space="preserve">Art. 8º.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As inscrições para participar de ações de capacitação e aperfeiçoamento deverão ser efetuadas via SIGA.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§ 1º. A PROGEP confirmará a inscrição do servidor de acordo com a ordem de chegada e a seleção, em caso de um número de inscritos superior ao número de vagas, dar-se-á na seguinte ordem: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 – Servidor que não tenha desistido de cursos oferecidos pela UFVJM sem justificativa;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II – Um servidor de cada divisão/departamento, indicado por sua chefia imediata;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III – Relação direta com o ambiente organizacional do servidor.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highlight w:val="yellow"/>
          <w:u w:val="single"/>
        </w:rPr>
      </w:pPr>
      <w:r>
        <w:rPr>
          <w:rFonts w:ascii="Times New Roman" w:hAnsi="Times New Roman"/>
          <w:b/>
          <w:sz w:val="24"/>
          <w:szCs w:val="24"/>
          <w:highlight w:val="yellow"/>
          <w:u w:val="single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 xml:space="preserve">Art. 9.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A escolha dos servidores que participarão do Plano Anual de Capacitação deverá ser feita em processo coletivo de avaliação que envolva as chefias e os servidores de cada setor/órgão, observados seus objetivos e os interesses da Instituição, levando-se em consideração: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 – o resultado da avaliação de desempenho;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 – Compatibilidade dos requisitos com a ação prevista;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III – a correlação do conteúdo programático com as atribuições do cargo;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IV – a anuência da chefia imediata;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V - a disponibilidade de oferta de vagas.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Parágrafo único - Será permitida ao servidor participar de cursos de capacitação incluídos no PLANCAP durante o horário de trabalho.</w:t>
      </w:r>
    </w:p>
    <w:p>
      <w:pPr>
        <w:pStyle w:val="Normal"/>
        <w:jc w:val="both"/>
        <w:rPr>
          <w:rFonts w:ascii="Times New Roman" w:hAnsi="Times New Roman"/>
          <w:strike/>
          <w:sz w:val="24"/>
          <w:szCs w:val="24"/>
          <w:highlight w:val="red"/>
        </w:rPr>
      </w:pPr>
      <w:r>
        <w:rPr>
          <w:rFonts w:ascii="Times New Roman" w:hAnsi="Times New Roman"/>
          <w:strike/>
          <w:sz w:val="24"/>
          <w:szCs w:val="24"/>
          <w:highlight w:val="red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 xml:space="preserve">Art. 10º.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Para a solicitação da progressão funcional, o servidor deverá apresentar a seguinte documentação: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 – Requerimento devidamente preenchido e assinado;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II – Certificado, diploma ou documento autenticado que comprove a participação e o aproveitamento satisfatório do servidor em curso de capacitação;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§ 1º - No certificado deverão constar a carga horária cursada e o período de realização do curso.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§ 2º - O servidor poderá apresentar certificado de um curso ou mais para requerer progressão por capacitação profissional, desde que a carga horária de cada curso não seja inferior a 20 (vinte) horas.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§ 3º - O servidor deverá se informar, de acordo com seu próprio interesse, a respeito dos cursos realizados por ele, as atividades que, em consonância com as diretrizes nacionais, poderão ser utilizadas para progressão funcional por capacitação profissional, respeitadas: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 – A carga horária prevista para a classe e nível de capacitação;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II – A correlação entre o conteúdo dos cursos com os cargos, atividades e o ambiente organizacional;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III – A certificação das ações de capacitação que acontecem fora da UFVJM, que deverão ser validadas pela Pró-Reitoria de Gestão de Pessoas (PROGEP).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Art. </w:t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>11.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 participação em cursos externos de capacitação e qualificação, promovidos por outras instituições, poderão ser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custeados pela instituição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desde que eles apresentem correlação direta com o cargo do servidor, o ambiente organizacional e haja disponibilidade orçamentária.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 xml:space="preserve">Art. </w:t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12.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É vedado autorizar a participação do servidor em cursos de capacitação fora da sua cidade de lotação, exceto quando ficar demonstrada a inexistência de curso similar em tal localidade, devendo ser priorizado, nesse caso, cursos ofertados por órgãos oficiais.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 xml:space="preserve">Art. </w:t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13.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 desistência do servidor de qualquer curso de capacitação, depois de efetuada sua inscrição, deverá ser comunicada a PROGEP, pela chefia imediata, por escrito, com antecedência mínima de 5 dias úteis da data limite estabelecida para cancelamento da inscrição.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ab/>
        <w:t xml:space="preserve">Art. </w:t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14.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O abandono do curso, seja interno ou externo, sua reprovação por motivo de qualquer natureza, sem a devida comunicação, implicarão: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 - ressarcimento total das despesas realizadas, nas formas especificadas nos artigos 46 e 47 da Lei nº 8112/90;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II- impedimento de participação em cursos de capacitação por um período de 6 meses da data de encerramento da ação de capacitação.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§ lº O servidor será desonerado do ressarcimento e isento das sanções previstas, quando tiver de interromper sua participação no curso por necessidade do serviço, licença para tratamento de saúde ou por motivo de doença em pessoa da família.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§ 2º A ausência não justificada do servidor às atividades do curso, em horário de expediente, ainda que respeitado o limite de faltas permitido, sem a devida comunicação à sua chefia imediata, configurará falta ao serviço, com seus devidos efeitos legais.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§ 3º O abandono do curso de capacitação deverá ser comunicado a PROGEP pelo instrutor, por escrito, para que sejam tomadas as providências supracitadas.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ab/>
        <w:t>Art. 15.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Os ocupantes de Cargo de Direção, sem vínculo efetivo com a UFVJM, poderão participar das ações de capacitação de curta e média duração, desde que haja disponibilidade de vagas e disponibilidade orçamentária.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ab/>
        <w:t>Art. 16.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 A PROGEP emitirá certificado ao servidor que participar dos cursos ofertados pelo PLANCAP e que tenha obtido 75% (setenta e cinco por cento) de frequência e/ou pontuação mínima em conformidade com o estabelecido em cada curso.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 xml:space="preserve">Art. </w:t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17.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As ações de capacitação do PROCAPE serão conduzidas, direta ou indiretamente, pela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PROGEP,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acompanhadas e fiscalizadas pela Comissão Interna de Supervisão do Plano de Carreira dos Cargos Técnico-Administrativos em Educação – CIS.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>§ 1º - Os cursos e eventos do PLANCAP, quando encerrados, deverão ser submetidos a avaliação, com o objetivo de subsidiar o aperfeiçoamento das ações e tendo como parâmetro a valoração de indicadores como: Desempenho dos Instrutores; Interesse dos participantes; Relevância do Conteúdo; Carga Horária; Espaço Físico; Etc.</w:t>
      </w:r>
    </w:p>
    <w:p>
      <w:pPr>
        <w:pStyle w:val="Normal"/>
        <w:jc w:val="both"/>
        <w:rPr>
          <w:rFonts w:ascii="Times New Roman" w:hAnsi="Times New Roman"/>
          <w:b/>
          <w:b/>
          <w:sz w:val="24"/>
          <w:szCs w:val="24"/>
          <w:highlight w:val="yellow"/>
          <w:u w:val="single"/>
        </w:rPr>
      </w:pPr>
      <w:r>
        <w:rPr>
          <w:rFonts w:ascii="Times New Roman" w:hAnsi="Times New Roman"/>
          <w:b/>
          <w:sz w:val="24"/>
          <w:szCs w:val="24"/>
          <w:highlight w:val="yellow"/>
          <w:u w:val="singl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ab/>
        <w:t>Art. 18.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Compete às Unidades Administrativas o repasse de informações a PROGEP, visando à implementação do PLANCAP.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Parágrafo único - As unidades administrativas, com base nas especificidades do ambiente de trabalho, deverão apresentar até julho de cada ano, o levantamento das necessidades de capacitação dos servidores.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Art. 19.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Anualmente, a PROGEP elaborará o PLANCAP, a ser executado no ano subsequente, em consonância com os objetivos institucionais e com as demandas encaminhadas pelos órgãos administrativos.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ab/>
        <w:t>Art. 20.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A PROGEP poderá solicitar apoio aos órgãos e demais setores da UFVJM para execução das ações de desenvolvimento dos servidores.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Calibri" w:hAnsi="Calibri" w:eastAsia="" w:cs="" w:asciiTheme="minorHAnsi" w:cstheme="minorBidi" w:eastAsiaTheme="minorEastAsia" w:hAnsiTheme="minorHAnsi"/>
          <w:b w:val="false"/>
          <w:b w:val="false"/>
          <w:bCs w:val="false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>Art. 21.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 A participação dos servidores na pós-graduação stricto sensu poderá implicar em afastamento total ou parcial, desde que respeitado o disposto em regulamentação específica, a ser estabelecida pelo Consu, para tratar especificamente desse assunto.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hd w:val="clear" w:fill="FFFFFF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 xml:space="preserve">Art. 22. 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Após conclusão do programa de graduação e pós-graduação o servidor deverá, no prazo de até 90 (noventa) dias, apresentar ao setor/órgão/unidade administrativa cópia do documento de aprovação ou conclusão do curso. </w:t>
      </w:r>
    </w:p>
    <w:p>
      <w:pPr>
        <w:pStyle w:val="Normal"/>
        <w:shd w:val="clear" w:fill="FFFFFF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Art. 23.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Cabe a Comissão Interna de Supervisão do PCCTAE apresentar propostas, acompanhar e fiscalizar a execução do PROCAPE, os programas de capacitação e qualificação, de avaliação de desempenho e de dimensionamento das necessidades institucionais.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cstheme="minorBidi" w:eastAsiaTheme="minorEastAsia" w:ascii="Times New Roman" w:hAnsi="Times New Roman"/>
          <w:i w:val="false"/>
          <w:iCs w:val="false"/>
          <w:sz w:val="24"/>
          <w:szCs w:val="24"/>
          <w:highlight w:val="whit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Art. 24.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Cabe à PROGEP e à CIS proporem normas complementares que se fizerem necessárias para o cumprimento desta, que serão aprovadas pelo Conselho Universitário.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cstheme="minorBidi" w:eastAsiaTheme="minorEastAsia" w:ascii="Times New Roman" w:hAnsi="Times New Roman"/>
          <w:i w:val="false"/>
          <w:iCs w:val="false"/>
          <w:sz w:val="24"/>
          <w:szCs w:val="24"/>
          <w:highlight w:val="whit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Art. 25.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 Os recursos destinados para capacitação e qualificação dos servidores técnico-administrativos serão geridos pela CIS, conforme sua Norma Interna de Funcionamento – NIF. 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  <w:u w:val="none"/>
        </w:rPr>
        <w:tab/>
        <w:t>Art. 26.</w:t>
      </w:r>
      <w:r>
        <w:rPr>
          <w:rFonts w:eastAsia="" w:cs="" w:ascii="Times New Roman" w:hAnsi="Times New Roman" w:cstheme="minorBidi" w:eastAsiaTheme="minorEastAsia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  <w:t xml:space="preserve"> As bolsas concedidas para Qualificação (graduação, especialização, mestrado e doutorado), seus valores, e os critérios para seu recebimento, tanto para o servidor docente quanto para o técnico administrativo, estão discriminadas no Plano Anual de Qualificação (PLANQUALI), e serão distribuídas, por ampla concorrência, via Edital.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b w:val="false"/>
          <w:b w:val="false"/>
          <w:bCs w:val="false"/>
          <w:i w:val="false"/>
          <w:i w:val="false"/>
          <w:iCs w:val="false"/>
          <w:sz w:val="24"/>
          <w:szCs w:val="24"/>
          <w:highlight w:val="white"/>
          <w:u w:val="none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i w:val="false"/>
          <w:iCs w:val="false"/>
          <w:sz w:val="24"/>
          <w:szCs w:val="24"/>
          <w:highlight w:val="white"/>
          <w:u w:val="non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ab/>
      </w: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 xml:space="preserve">Art. 27. </w:t>
      </w:r>
      <w:r>
        <w:rPr>
          <w:rFonts w:eastAsia="" w:cs="" w:ascii="Times New Roman" w:hAnsi="Times New Roman" w:cstheme="minorBidi" w:eastAsiaTheme="minorEastAsia"/>
          <w:i w:val="false"/>
          <w:iCs w:val="false"/>
          <w:sz w:val="24"/>
          <w:szCs w:val="24"/>
          <w:highlight w:val="white"/>
        </w:rPr>
        <w:t xml:space="preserve">Os casos omissos serão analisados pela PROGEP, juntamente com a CIS, e submetidos ao Conselho Universitário – CONSU. </w:t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cstheme="minorBidi" w:eastAsiaTheme="minorEastAsia" w:ascii="Times New Roman" w:hAnsi="Times New Roman"/>
          <w:i w:val="false"/>
          <w:iCs w:val="false"/>
          <w:sz w:val="24"/>
          <w:szCs w:val="24"/>
          <w:highlight w:val="whit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cstheme="minorBidi" w:eastAsiaTheme="minorEastAsia" w:ascii="Times New Roman" w:hAnsi="Times New Roman"/>
          <w:i w:val="false"/>
          <w:iCs w:val="false"/>
          <w:sz w:val="24"/>
          <w:szCs w:val="24"/>
          <w:highlight w:val="white"/>
        </w:rPr>
      </w:r>
    </w:p>
    <w:p>
      <w:pPr>
        <w:pStyle w:val="Normal"/>
        <w:jc w:val="both"/>
        <w:rPr>
          <w:rFonts w:ascii="Times New Roman" w:hAnsi="Times New Roman" w:eastAsia="" w:cs="" w:cstheme="minorBidi" w:eastAsiaTheme="minorEastAsia"/>
          <w:i w:val="false"/>
          <w:i w:val="false"/>
          <w:iCs w:val="false"/>
          <w:sz w:val="24"/>
          <w:szCs w:val="24"/>
          <w:highlight w:val="white"/>
        </w:rPr>
      </w:pPr>
      <w:r>
        <w:rPr>
          <w:rFonts w:eastAsia="" w:cs="" w:cstheme="minorBidi" w:eastAsiaTheme="minorEastAsia" w:ascii="Times New Roman" w:hAnsi="Times New Roman"/>
          <w:i w:val="false"/>
          <w:iCs w:val="false"/>
          <w:sz w:val="24"/>
          <w:szCs w:val="24"/>
          <w:highlight w:val="white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eastAsia="" w:cs="" w:ascii="Times New Roman" w:hAnsi="Times New Roman" w:cstheme="minorBidi" w:eastAsiaTheme="minorEastAsia"/>
          <w:b/>
          <w:bCs/>
          <w:i w:val="false"/>
          <w:iCs w:val="false"/>
          <w:sz w:val="24"/>
          <w:szCs w:val="24"/>
          <w:highlight w:val="white"/>
        </w:rPr>
        <w:t>CLÁUDIO EDUARDO RODRIGUES</w:t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Título 1"/>
    <w:basedOn w:val="Ttulododocumento"/>
    <w:qFormat/>
    <w:pPr>
      <w:outlineLvl w:val="0"/>
    </w:pPr>
    <w:rPr/>
  </w:style>
  <w:style w:type="paragraph" w:styleId="Ttulo2">
    <w:name w:val="Título 2"/>
    <w:basedOn w:val="Ttulododocumento"/>
    <w:qFormat/>
    <w:pPr>
      <w:outlineLvl w:val="1"/>
    </w:pPr>
    <w:rPr/>
  </w:style>
  <w:style w:type="paragraph" w:styleId="Ttulo3">
    <w:name w:val="Título 3"/>
    <w:basedOn w:val="Ttulododocument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ítulo do documento"/>
    <w:basedOn w:val="Ttulo"/>
    <w:qFormat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Cabeçalho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ítulo"/>
    <w:basedOn w:val="Ttulododocumento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Application>LibreOffice/5.0.5.2$Windows_X86_64 LibreOffice_project/55b006a02d247b5f7215fc6ea0fde844b30035b3</Application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language>pt</dc:language>
  <cp:lastPrinted>2017-09-13T15:08:09Z</cp:lastPrinted>
  <dcterms:modified xsi:type="dcterms:W3CDTF">2017-12-18T15:06:32Z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