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diagrams/data3.xml" ContentType="application/vnd.openxmlformats-officedocument.drawingml.diagramData+xml"/>
  <Override PartName="/word/diagrams/colors3.xml" ContentType="application/vnd.openxmlformats-officedocument.drawingml.diagramColors+xml"/>
  <Override PartName="/word/diagrams/quickStyle3.xml" ContentType="application/vnd.openxmlformats-officedocument.drawingml.diagramStyle+xml"/>
  <Override PartName="/word/diagrams/layout3.xml" ContentType="application/vnd.openxmlformats-officedocument.drawingml.diagramLayout+xml"/>
  <Override PartName="/word/diagrams/drawing3.xml" ContentType="application/vnd.openxmlformats-officedocument.drawingml.diagramDrawing+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footer2.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144" w:after="144"/>
        <w:rPr>
          <w:rFonts w:ascii="Arial" w:hAnsi="Arial" w:cs="Arial"/>
        </w:rPr>
      </w:pPr>
      <w:bookmarkStart w:id="0" w:name="_GoBack"/>
      <w:bookmarkStart w:id="1" w:name="_GoBack"/>
      <w:bookmarkEnd w:id="1"/>
      <w:r>
        <w:rPr>
          <w:rFonts w:cs="Arial" w:ascii="Arial" w:hAnsi="Arial"/>
        </w:rPr>
      </w:r>
    </w:p>
    <w:p>
      <w:pPr>
        <w:pStyle w:val="Normal"/>
        <w:spacing w:lineRule="auto" w:line="360" w:before="144" w:after="144"/>
        <w:rPr>
          <w:rFonts w:ascii="Arial" w:hAnsi="Arial" w:cs="Arial"/>
        </w:rPr>
      </w:pPr>
      <w:r>
        <w:rPr>
          <w:rFonts w:cs="Arial" w:ascii="Arial" w:hAnsi="Arial"/>
        </w:rPr>
      </w:r>
    </w:p>
    <w:p>
      <w:pPr>
        <w:pStyle w:val="Normal"/>
        <w:spacing w:lineRule="auto" w:line="360" w:before="144" w:after="144"/>
        <w:rPr>
          <w:rFonts w:ascii="Arial" w:hAnsi="Arial" w:cs="Arial"/>
        </w:rPr>
      </w:pPr>
      <w:r>
        <w:rPr>
          <w:rFonts w:cs="Arial" w:ascii="Arial" w:hAnsi="Arial"/>
        </w:rPr>
      </w:r>
    </w:p>
    <w:p>
      <w:pPr>
        <w:pStyle w:val="Normal"/>
        <w:spacing w:lineRule="auto" w:line="360" w:before="144" w:after="144"/>
        <w:rPr>
          <w:rFonts w:ascii="Arial" w:hAnsi="Arial" w:cs="Arial"/>
        </w:rPr>
      </w:pPr>
      <w:r>
        <w:rPr>
          <w:rFonts w:cs="Arial" w:ascii="Arial" w:hAnsi="Arial"/>
        </w:rPr>
      </w:r>
    </w:p>
    <w:p>
      <w:pPr>
        <w:pStyle w:val="Normal"/>
        <w:spacing w:lineRule="auto" w:line="360" w:before="144" w:after="144"/>
        <w:rPr>
          <w:rFonts w:ascii="Arial" w:hAnsi="Arial" w:cs="Arial"/>
        </w:rPr>
      </w:pPr>
      <w:r>
        <w:rPr>
          <w:rFonts w:cs="Arial" w:ascii="Arial" w:hAnsi="Arial"/>
        </w:rPr>
      </w:r>
    </w:p>
    <w:p>
      <w:pPr>
        <w:pStyle w:val="Normal"/>
        <w:spacing w:lineRule="auto" w:line="360" w:before="144" w:after="144"/>
        <w:rPr>
          <w:rFonts w:ascii="Arial" w:hAnsi="Arial" w:cs="Arial"/>
        </w:rPr>
      </w:pPr>
      <w:r>
        <w:rPr>
          <w:rFonts w:cs="Arial" w:ascii="Arial" w:hAnsi="Arial"/>
        </w:rPr>
      </w:r>
    </w:p>
    <w:p>
      <w:pPr>
        <w:pStyle w:val="Normal"/>
        <w:spacing w:lineRule="auto" w:line="360" w:before="144" w:after="144"/>
        <w:rPr>
          <w:rFonts w:ascii="Arial" w:hAnsi="Arial" w:cs="Arial"/>
        </w:rPr>
      </w:pPr>
      <w:r>
        <w:rPr>
          <w:rFonts w:cs="Arial" w:ascii="Arial" w:hAnsi="Arial"/>
        </w:rPr>
      </w:r>
    </w:p>
    <w:p>
      <w:pPr>
        <w:pStyle w:val="Normal"/>
        <w:spacing w:lineRule="auto" w:line="360" w:before="144" w:after="144"/>
        <w:jc w:val="center"/>
        <w:rPr>
          <w:rFonts w:ascii="Arial" w:hAnsi="Arial" w:cs="Arial"/>
          <w:b/>
          <w:b/>
          <w:sz w:val="48"/>
          <w:szCs w:val="48"/>
        </w:rPr>
      </w:pPr>
      <w:r>
        <w:rPr>
          <w:rFonts w:cs="Arial" w:ascii="Arial" w:hAnsi="Arial"/>
          <w:b/>
          <w:sz w:val="48"/>
          <w:szCs w:val="48"/>
        </w:rPr>
        <w:t>Projeto Pedagógico do Curso de Graduação em História</w:t>
      </w:r>
    </w:p>
    <w:p>
      <w:pPr>
        <w:pStyle w:val="Normal"/>
        <w:spacing w:lineRule="auto" w:line="360" w:before="144" w:after="144"/>
        <w:jc w:val="center"/>
        <w:rPr>
          <w:rFonts w:ascii="Arial" w:hAnsi="Arial" w:cs="Arial"/>
          <w:b/>
          <w:b/>
          <w:sz w:val="48"/>
          <w:szCs w:val="48"/>
        </w:rPr>
      </w:pPr>
      <w:r>
        <w:rPr>
          <w:rFonts w:cs="Arial" w:ascii="Arial" w:hAnsi="Arial"/>
          <w:b/>
          <w:sz w:val="48"/>
          <w:szCs w:val="48"/>
        </w:rPr>
        <w:t>Licenciatura</w:t>
      </w:r>
    </w:p>
    <w:p>
      <w:pPr>
        <w:pStyle w:val="Normal"/>
        <w:spacing w:lineRule="auto" w:line="360" w:before="144" w:after="144"/>
        <w:jc w:val="both"/>
        <w:rPr>
          <w:rFonts w:ascii="Arial" w:hAnsi="Arial" w:cs="Arial"/>
          <w:b/>
          <w:b/>
          <w:sz w:val="48"/>
          <w:szCs w:val="48"/>
        </w:rPr>
      </w:pPr>
      <w:r>
        <w:rPr>
          <w:rFonts w:cs="Arial" w:ascii="Arial" w:hAnsi="Arial"/>
          <w:b/>
          <w:sz w:val="48"/>
          <w:szCs w:val="48"/>
        </w:rPr>
      </w:r>
    </w:p>
    <w:p>
      <w:pPr>
        <w:pStyle w:val="Normal"/>
        <w:spacing w:lineRule="auto" w:line="360" w:before="144" w:after="144"/>
        <w:jc w:val="both"/>
        <w:rPr>
          <w:rFonts w:ascii="Arial" w:hAnsi="Arial" w:cs="Arial"/>
          <w:b/>
          <w:b/>
          <w:sz w:val="48"/>
          <w:szCs w:val="48"/>
        </w:rPr>
      </w:pPr>
      <w:r>
        <w:rPr>
          <w:rFonts w:cs="Arial" w:ascii="Arial" w:hAnsi="Arial"/>
          <w:b/>
          <w:sz w:val="48"/>
          <w:szCs w:val="48"/>
        </w:rPr>
      </w:r>
    </w:p>
    <w:p>
      <w:pPr>
        <w:pStyle w:val="Normal"/>
        <w:spacing w:lineRule="auto" w:line="360" w:before="144" w:after="144"/>
        <w:jc w:val="both"/>
        <w:rPr>
          <w:rFonts w:ascii="Arial" w:hAnsi="Arial" w:cs="Arial"/>
          <w:b/>
          <w:b/>
          <w:sz w:val="48"/>
          <w:szCs w:val="48"/>
        </w:rPr>
      </w:pPr>
      <w:r>
        <w:rPr>
          <w:rFonts w:cs="Arial" w:ascii="Arial" w:hAnsi="Arial"/>
          <w:b/>
          <w:sz w:val="48"/>
          <w:szCs w:val="48"/>
        </w:rPr>
      </w:r>
    </w:p>
    <w:p>
      <w:pPr>
        <w:pStyle w:val="Normal"/>
        <w:spacing w:lineRule="auto" w:line="360" w:before="144" w:after="144"/>
        <w:jc w:val="both"/>
        <w:rPr>
          <w:rFonts w:ascii="Arial" w:hAnsi="Arial" w:cs="Arial"/>
          <w:b/>
          <w:b/>
          <w:sz w:val="48"/>
          <w:szCs w:val="48"/>
        </w:rPr>
      </w:pPr>
      <w:r>
        <w:rPr>
          <w:rFonts w:cs="Arial" w:ascii="Arial" w:hAnsi="Arial"/>
          <w:b/>
          <w:sz w:val="48"/>
          <w:szCs w:val="48"/>
        </w:rPr>
      </w:r>
    </w:p>
    <w:p>
      <w:pPr>
        <w:pStyle w:val="Normal"/>
        <w:spacing w:lineRule="auto" w:line="360" w:before="144" w:after="144"/>
        <w:jc w:val="both"/>
        <w:rPr>
          <w:rFonts w:ascii="Arial" w:hAnsi="Arial" w:cs="Arial"/>
          <w:b/>
          <w:b/>
          <w:sz w:val="48"/>
          <w:szCs w:val="48"/>
        </w:rPr>
      </w:pPr>
      <w:r>
        <w:rPr>
          <w:rFonts w:cs="Arial" w:ascii="Arial" w:hAnsi="Arial"/>
          <w:b/>
          <w:sz w:val="48"/>
          <w:szCs w:val="48"/>
        </w:rPr>
      </w:r>
    </w:p>
    <w:p>
      <w:pPr>
        <w:pStyle w:val="Normal"/>
        <w:spacing w:lineRule="auto" w:line="360" w:before="144" w:after="144"/>
        <w:jc w:val="both"/>
        <w:rPr>
          <w:rFonts w:ascii="Arial" w:hAnsi="Arial" w:cs="Arial"/>
          <w:b/>
          <w:b/>
          <w:sz w:val="48"/>
          <w:szCs w:val="48"/>
        </w:rPr>
      </w:pPr>
      <w:r>
        <w:rPr>
          <w:rFonts w:cs="Arial" w:ascii="Arial" w:hAnsi="Arial"/>
          <w:b/>
          <w:sz w:val="48"/>
          <w:szCs w:val="48"/>
        </w:rPr>
      </w:r>
    </w:p>
    <w:p>
      <w:pPr>
        <w:pStyle w:val="Normal"/>
        <w:spacing w:lineRule="auto" w:line="360" w:before="144" w:after="144"/>
        <w:jc w:val="center"/>
        <w:rPr>
          <w:rFonts w:ascii="Arial" w:hAnsi="Arial" w:cs="Arial"/>
          <w:b/>
          <w:b/>
          <w:sz w:val="24"/>
          <w:szCs w:val="24"/>
        </w:rPr>
      </w:pPr>
      <w:r>
        <w:rPr>
          <w:rFonts w:cs="Arial" w:ascii="Arial" w:hAnsi="Arial"/>
          <w:b/>
          <w:sz w:val="24"/>
          <w:szCs w:val="24"/>
        </w:rPr>
        <w:t>Março de 2018</w:t>
      </w:r>
    </w:p>
    <w:p>
      <w:pPr>
        <w:pStyle w:val="Normal"/>
        <w:spacing w:lineRule="auto" w:line="360" w:before="144" w:after="144"/>
        <w:jc w:val="center"/>
        <w:rPr>
          <w:rFonts w:ascii="Arial" w:hAnsi="Arial" w:cs="Arial"/>
          <w:b/>
          <w:b/>
          <w:sz w:val="24"/>
          <w:szCs w:val="24"/>
        </w:rPr>
      </w:pPr>
      <w:r>
        <w:rPr>
          <w:rFonts w:cs="Arial" w:ascii="Arial" w:hAnsi="Arial"/>
          <w:b/>
          <w:sz w:val="24"/>
          <w:szCs w:val="24"/>
        </w:rPr>
      </w:r>
    </w:p>
    <w:p>
      <w:pPr>
        <w:pStyle w:val="Normal"/>
        <w:spacing w:before="144" w:after="144"/>
        <w:jc w:val="center"/>
        <w:rPr>
          <w:rFonts w:ascii="Arial" w:hAnsi="Arial" w:cs="Arial"/>
          <w:sz w:val="24"/>
          <w:szCs w:val="24"/>
        </w:rPr>
      </w:pPr>
      <w:r>
        <w:rPr>
          <w:rFonts w:cs="Arial" w:ascii="Arial" w:hAnsi="Arial"/>
          <w:sz w:val="24"/>
          <w:szCs w:val="24"/>
        </w:rPr>
      </w:r>
    </w:p>
    <w:tbl>
      <w:tblPr>
        <w:tblW w:w="9214" w:type="dxa"/>
        <w:jc w:val="left"/>
        <w:tblInd w:w="55" w:type="dxa"/>
        <w:tblBorders/>
        <w:tblCellMar>
          <w:top w:w="55" w:type="dxa"/>
          <w:left w:w="55" w:type="dxa"/>
          <w:bottom w:w="55" w:type="dxa"/>
          <w:right w:w="55" w:type="dxa"/>
        </w:tblCellMar>
        <w:tblLook w:firstRow="0" w:noVBand="0" w:lastRow="0" w:firstColumn="0" w:lastColumn="0" w:noHBand="0" w:val="0000"/>
      </w:tblPr>
      <w:tblGrid>
        <w:gridCol w:w="3828"/>
        <w:gridCol w:w="5385"/>
      </w:tblGrid>
      <w:tr>
        <w:trPr/>
        <w:tc>
          <w:tcPr>
            <w:tcW w:w="3828" w:type="dxa"/>
            <w:tcBorders/>
            <w:shd w:color="auto" w:fill="auto" w:val="clear"/>
          </w:tcPr>
          <w:p>
            <w:pPr>
              <w:pStyle w:val="Normal"/>
              <w:suppressLineNumbers/>
              <w:suppressAutoHyphens w:val="true"/>
              <w:snapToGrid w:val="false"/>
              <w:spacing w:before="144" w:after="144"/>
              <w:jc w:val="both"/>
              <w:rPr>
                <w:rFonts w:ascii="Arial" w:hAnsi="Arial" w:eastAsia="Times New Roman" w:cs="Arial"/>
                <w:b/>
                <w:b/>
                <w:bCs/>
                <w:sz w:val="24"/>
                <w:szCs w:val="24"/>
                <w:lang w:eastAsia="ar-SA"/>
              </w:rPr>
            </w:pPr>
            <w:r>
              <w:rPr>
                <w:rFonts w:eastAsia="Times New Roman" w:cs="Arial" w:ascii="Arial" w:hAnsi="Arial"/>
                <w:b/>
                <w:bCs/>
                <w:sz w:val="24"/>
                <w:szCs w:val="24"/>
                <w:lang w:eastAsia="ar-SA"/>
              </w:rPr>
              <w:t>Reitor</w:t>
            </w:r>
          </w:p>
        </w:tc>
        <w:tc>
          <w:tcPr>
            <w:tcW w:w="5385" w:type="dxa"/>
            <w:tcBorders/>
            <w:shd w:color="auto" w:fill="auto" w:val="clear"/>
          </w:tcPr>
          <w:p>
            <w:pPr>
              <w:pStyle w:val="Normal"/>
              <w:suppressLineNumbers/>
              <w:suppressAutoHyphens w:val="true"/>
              <w:snapToGrid w:val="false"/>
              <w:spacing w:before="144" w:after="144"/>
              <w:jc w:val="both"/>
              <w:rPr>
                <w:rFonts w:ascii="Arial" w:hAnsi="Arial" w:eastAsia="Times New Roman" w:cs="Arial"/>
                <w:sz w:val="24"/>
                <w:szCs w:val="24"/>
                <w:lang w:eastAsia="ar-SA"/>
              </w:rPr>
            </w:pPr>
            <w:r>
              <w:rPr>
                <w:rFonts w:eastAsia="Times New Roman" w:cs="Arial" w:ascii="Arial" w:hAnsi="Arial"/>
                <w:sz w:val="24"/>
                <w:szCs w:val="24"/>
                <w:lang w:eastAsia="ar-SA"/>
              </w:rPr>
              <w:t>Gilciano Saraiva Nogueira</w:t>
            </w:r>
          </w:p>
        </w:tc>
      </w:tr>
      <w:tr>
        <w:trPr/>
        <w:tc>
          <w:tcPr>
            <w:tcW w:w="3828" w:type="dxa"/>
            <w:tcBorders/>
            <w:shd w:color="auto" w:fill="auto" w:val="clear"/>
          </w:tcPr>
          <w:p>
            <w:pPr>
              <w:pStyle w:val="Normal"/>
              <w:suppressLineNumbers/>
              <w:suppressAutoHyphens w:val="true"/>
              <w:snapToGrid w:val="false"/>
              <w:spacing w:before="144" w:after="144"/>
              <w:jc w:val="both"/>
              <w:rPr>
                <w:rFonts w:ascii="Arial" w:hAnsi="Arial" w:eastAsia="Times New Roman" w:cs="Arial"/>
                <w:b/>
                <w:b/>
                <w:bCs/>
                <w:sz w:val="24"/>
                <w:szCs w:val="24"/>
                <w:lang w:eastAsia="ar-SA"/>
              </w:rPr>
            </w:pPr>
            <w:r>
              <w:rPr>
                <w:rFonts w:eastAsia="Times New Roman" w:cs="Arial" w:ascii="Arial" w:hAnsi="Arial"/>
                <w:b/>
                <w:bCs/>
                <w:sz w:val="24"/>
                <w:szCs w:val="24"/>
                <w:lang w:eastAsia="ar-SA"/>
              </w:rPr>
              <w:t>Vice-Reitor</w:t>
            </w:r>
          </w:p>
        </w:tc>
        <w:tc>
          <w:tcPr>
            <w:tcW w:w="5385" w:type="dxa"/>
            <w:tcBorders/>
            <w:shd w:color="auto" w:fill="auto" w:val="clear"/>
          </w:tcPr>
          <w:p>
            <w:pPr>
              <w:pStyle w:val="Normal"/>
              <w:suppressLineNumbers/>
              <w:suppressAutoHyphens w:val="true"/>
              <w:snapToGrid w:val="false"/>
              <w:spacing w:before="144" w:after="144"/>
              <w:jc w:val="both"/>
              <w:rPr>
                <w:rFonts w:ascii="Arial" w:hAnsi="Arial" w:eastAsia="Times New Roman" w:cs="Arial"/>
                <w:sz w:val="24"/>
                <w:szCs w:val="24"/>
                <w:lang w:eastAsia="ar-SA"/>
              </w:rPr>
            </w:pPr>
            <w:r>
              <w:rPr>
                <w:rFonts w:eastAsia="Times New Roman" w:cs="Arial" w:ascii="Arial" w:hAnsi="Arial"/>
                <w:sz w:val="24"/>
                <w:szCs w:val="24"/>
                <w:lang w:eastAsia="ar-SA"/>
              </w:rPr>
              <w:t>Cláudio Eduardo Rodrigues</w:t>
            </w:r>
          </w:p>
        </w:tc>
      </w:tr>
      <w:tr>
        <w:trPr>
          <w:trHeight w:val="1645" w:hRule="atLeast"/>
        </w:trPr>
        <w:tc>
          <w:tcPr>
            <w:tcW w:w="3828" w:type="dxa"/>
            <w:tcBorders/>
            <w:shd w:color="auto" w:fill="auto" w:val="clear"/>
          </w:tcPr>
          <w:p>
            <w:pPr>
              <w:pStyle w:val="Normal"/>
              <w:suppressLineNumbers/>
              <w:suppressAutoHyphens w:val="true"/>
              <w:snapToGrid w:val="false"/>
              <w:spacing w:before="144" w:after="144"/>
              <w:jc w:val="both"/>
              <w:rPr>
                <w:rFonts w:ascii="Arial" w:hAnsi="Arial" w:eastAsia="Times New Roman" w:cs="Arial"/>
                <w:b/>
                <w:b/>
                <w:bCs/>
                <w:sz w:val="24"/>
                <w:szCs w:val="24"/>
                <w:lang w:eastAsia="ar-SA"/>
              </w:rPr>
            </w:pPr>
            <w:r>
              <w:rPr>
                <w:rFonts w:eastAsia="Times New Roman" w:cs="Arial" w:ascii="Arial" w:hAnsi="Arial"/>
                <w:b/>
                <w:bCs/>
                <w:sz w:val="24"/>
                <w:szCs w:val="24"/>
                <w:lang w:eastAsia="ar-SA"/>
              </w:rPr>
              <w:t>Coordenadora do Curso de História</w:t>
            </w:r>
          </w:p>
          <w:p>
            <w:pPr>
              <w:pStyle w:val="Normal"/>
              <w:suppressLineNumbers/>
              <w:suppressAutoHyphens w:val="true"/>
              <w:snapToGrid w:val="false"/>
              <w:spacing w:before="144" w:after="144"/>
              <w:jc w:val="both"/>
              <w:rPr>
                <w:rFonts w:ascii="Arial" w:hAnsi="Arial" w:eastAsia="Times New Roman" w:cs="Arial"/>
                <w:b/>
                <w:b/>
                <w:bCs/>
                <w:sz w:val="20"/>
                <w:szCs w:val="20"/>
                <w:lang w:eastAsia="ar-SA"/>
              </w:rPr>
            </w:pPr>
            <w:r>
              <w:rPr>
                <w:rFonts w:eastAsia="Times New Roman" w:cs="Arial" w:ascii="Arial" w:hAnsi="Arial"/>
                <w:b/>
                <w:bCs/>
                <w:sz w:val="20"/>
                <w:szCs w:val="20"/>
                <w:lang w:eastAsia="ar-SA"/>
              </w:rPr>
              <w:t>(PORTARIA N.º 544, DE 3 DE MARÇO DE 2017)</w:t>
            </w:r>
          </w:p>
        </w:tc>
        <w:tc>
          <w:tcPr>
            <w:tcW w:w="5385" w:type="dxa"/>
            <w:tcBorders/>
            <w:shd w:color="auto" w:fill="auto" w:val="clear"/>
          </w:tcPr>
          <w:p>
            <w:pPr>
              <w:pStyle w:val="Normal"/>
              <w:suppressLineNumbers/>
              <w:suppressAutoHyphens w:val="true"/>
              <w:snapToGrid w:val="false"/>
              <w:spacing w:before="144" w:after="144"/>
              <w:jc w:val="both"/>
              <w:rPr>
                <w:rFonts w:ascii="Arial" w:hAnsi="Arial" w:eastAsia="Times New Roman" w:cs="Arial"/>
                <w:sz w:val="24"/>
                <w:szCs w:val="24"/>
                <w:lang w:eastAsia="ar-SA"/>
              </w:rPr>
            </w:pPr>
            <w:r>
              <w:rPr>
                <w:rFonts w:eastAsia="Times New Roman" w:cs="Arial" w:ascii="Arial" w:hAnsi="Arial"/>
                <w:sz w:val="24"/>
                <w:szCs w:val="24"/>
                <w:lang w:eastAsia="ar-SA"/>
              </w:rPr>
              <w:t>Keila Auxiliadora Carvalho</w:t>
            </w:r>
          </w:p>
          <w:p>
            <w:pPr>
              <w:pStyle w:val="Normal"/>
              <w:suppressLineNumbers/>
              <w:suppressAutoHyphens w:val="true"/>
              <w:snapToGrid w:val="false"/>
              <w:spacing w:before="144" w:after="144"/>
              <w:jc w:val="both"/>
              <w:rPr>
                <w:rFonts w:ascii="Arial" w:hAnsi="Arial" w:eastAsia="Times New Roman" w:cs="Arial"/>
                <w:sz w:val="20"/>
                <w:szCs w:val="20"/>
                <w:lang w:eastAsia="ar-SA"/>
              </w:rPr>
            </w:pPr>
            <w:r>
              <w:rPr>
                <w:rFonts w:eastAsia="Times New Roman" w:cs="Arial" w:ascii="Arial" w:hAnsi="Arial"/>
                <w:sz w:val="20"/>
                <w:szCs w:val="20"/>
                <w:lang w:eastAsia="ar-SA"/>
              </w:rPr>
            </w:r>
          </w:p>
          <w:p>
            <w:pPr>
              <w:pStyle w:val="Normal"/>
              <w:suppressLineNumbers/>
              <w:suppressAutoHyphens w:val="true"/>
              <w:snapToGrid w:val="false"/>
              <w:spacing w:before="144" w:after="144"/>
              <w:jc w:val="both"/>
              <w:rPr>
                <w:rFonts w:ascii="Arial" w:hAnsi="Arial" w:eastAsia="Times New Roman" w:cs="Arial"/>
                <w:sz w:val="24"/>
                <w:szCs w:val="24"/>
                <w:lang w:eastAsia="ar-SA"/>
              </w:rPr>
            </w:pPr>
            <w:r>
              <w:rPr>
                <w:rFonts w:eastAsia="Times New Roman" w:cs="Arial" w:ascii="Arial" w:hAnsi="Arial"/>
                <w:sz w:val="24"/>
                <w:szCs w:val="24"/>
                <w:lang w:eastAsia="ar-SA"/>
              </w:rPr>
            </w:r>
          </w:p>
          <w:p>
            <w:pPr>
              <w:pStyle w:val="Normal"/>
              <w:suppressLineNumbers/>
              <w:suppressAutoHyphens w:val="true"/>
              <w:snapToGrid w:val="false"/>
              <w:spacing w:before="144" w:after="144"/>
              <w:jc w:val="both"/>
              <w:rPr>
                <w:rFonts w:ascii="Arial" w:hAnsi="Arial" w:eastAsia="Times New Roman" w:cs="Arial"/>
                <w:sz w:val="24"/>
                <w:szCs w:val="24"/>
                <w:lang w:eastAsia="ar-SA"/>
              </w:rPr>
            </w:pPr>
            <w:r>
              <w:rPr>
                <w:rFonts w:eastAsia="Times New Roman" w:cs="Arial" w:ascii="Arial" w:hAnsi="Arial"/>
                <w:sz w:val="24"/>
                <w:szCs w:val="24"/>
                <w:lang w:eastAsia="ar-SA"/>
              </w:rPr>
            </w:r>
          </w:p>
        </w:tc>
      </w:tr>
      <w:tr>
        <w:trPr/>
        <w:tc>
          <w:tcPr>
            <w:tcW w:w="3828" w:type="dxa"/>
            <w:tcBorders/>
            <w:shd w:color="auto" w:fill="auto" w:val="clear"/>
          </w:tcPr>
          <w:p>
            <w:pPr>
              <w:pStyle w:val="Normal"/>
              <w:suppressLineNumbers/>
              <w:suppressAutoHyphens w:val="true"/>
              <w:snapToGrid w:val="false"/>
              <w:spacing w:before="144" w:after="144"/>
              <w:jc w:val="both"/>
              <w:rPr>
                <w:rFonts w:ascii="Arial" w:hAnsi="Arial" w:eastAsia="Times New Roman" w:cs="Arial"/>
                <w:b/>
                <w:b/>
                <w:bCs/>
                <w:sz w:val="24"/>
                <w:szCs w:val="24"/>
                <w:lang w:eastAsia="ar-SA"/>
              </w:rPr>
            </w:pPr>
            <w:r>
              <w:rPr>
                <w:rFonts w:eastAsia="Times New Roman" w:cs="Arial" w:ascii="Arial" w:hAnsi="Arial"/>
                <w:b/>
                <w:bCs/>
                <w:sz w:val="24"/>
                <w:szCs w:val="24"/>
                <w:lang w:eastAsia="ar-SA"/>
              </w:rPr>
              <w:t>Vice coordenadora do Curso de História</w:t>
            </w:r>
          </w:p>
          <w:p>
            <w:pPr>
              <w:pStyle w:val="Normal"/>
              <w:suppressLineNumbers/>
              <w:suppressAutoHyphens w:val="true"/>
              <w:snapToGrid w:val="false"/>
              <w:spacing w:before="144" w:after="144"/>
              <w:jc w:val="both"/>
              <w:rPr>
                <w:rFonts w:ascii="Arial" w:hAnsi="Arial" w:eastAsia="Times New Roman" w:cs="Arial"/>
                <w:b/>
                <w:b/>
                <w:bCs/>
                <w:sz w:val="24"/>
                <w:szCs w:val="24"/>
                <w:lang w:eastAsia="ar-SA"/>
              </w:rPr>
            </w:pPr>
            <w:r>
              <w:rPr>
                <w:rFonts w:eastAsia="Times New Roman" w:cs="Arial" w:ascii="Arial" w:hAnsi="Arial"/>
                <w:b/>
                <w:bCs/>
                <w:sz w:val="20"/>
                <w:szCs w:val="20"/>
                <w:lang w:eastAsia="ar-SA"/>
              </w:rPr>
              <w:t>(PORTARIA N.º 2863, DE 9 DE OUTUBRO DE 2017)</w:t>
            </w:r>
          </w:p>
        </w:tc>
        <w:tc>
          <w:tcPr>
            <w:tcW w:w="5385" w:type="dxa"/>
            <w:tcBorders/>
            <w:shd w:color="auto" w:fill="auto" w:val="clear"/>
          </w:tcPr>
          <w:p>
            <w:pPr>
              <w:pStyle w:val="Normal"/>
              <w:suppressLineNumbers/>
              <w:suppressAutoHyphens w:val="true"/>
              <w:snapToGrid w:val="false"/>
              <w:spacing w:before="144" w:after="144"/>
              <w:jc w:val="both"/>
              <w:rPr>
                <w:rFonts w:ascii="Arial" w:hAnsi="Arial" w:eastAsia="Times New Roman" w:cs="Arial"/>
                <w:sz w:val="24"/>
                <w:szCs w:val="24"/>
                <w:lang w:eastAsia="ar-SA"/>
              </w:rPr>
            </w:pPr>
            <w:r>
              <w:rPr>
                <w:rFonts w:eastAsia="Times New Roman" w:cs="Arial" w:ascii="Arial" w:hAnsi="Arial"/>
                <w:sz w:val="24"/>
                <w:szCs w:val="24"/>
                <w:lang w:eastAsia="ar-SA"/>
              </w:rPr>
              <w:t>Flávia Aparecida Amaral Ferreira Muniz</w:t>
            </w:r>
          </w:p>
        </w:tc>
      </w:tr>
    </w:tbl>
    <w:p>
      <w:pPr>
        <w:pStyle w:val="Normal"/>
        <w:suppressLineNumbers/>
        <w:tabs>
          <w:tab w:val="left" w:pos="3938" w:leader="none"/>
        </w:tabs>
        <w:suppressAutoHyphens w:val="true"/>
        <w:snapToGrid w:val="false"/>
        <w:spacing w:before="144" w:after="144"/>
        <w:ind w:left="110" w:hanging="0"/>
        <w:rPr>
          <w:rFonts w:ascii="Arial" w:hAnsi="Arial" w:eastAsia="Times New Roman" w:cs="Arial"/>
          <w:sz w:val="24"/>
          <w:szCs w:val="24"/>
          <w:lang w:eastAsia="ar-SA"/>
        </w:rPr>
      </w:pPr>
      <w:r>
        <w:rPr>
          <w:rFonts w:eastAsia="Times New Roman" w:cs="Arial" w:ascii="Arial" w:hAnsi="Arial"/>
          <w:sz w:val="24"/>
          <w:szCs w:val="24"/>
          <w:lang w:eastAsia="ar-SA"/>
        </w:rPr>
      </w:r>
    </w:p>
    <w:p>
      <w:pPr>
        <w:pStyle w:val="Normal"/>
        <w:spacing w:before="144" w:after="144"/>
        <w:jc w:val="center"/>
        <w:rPr>
          <w:rFonts w:ascii="Arial" w:hAnsi="Arial" w:cs="Arial"/>
          <w:b/>
          <w:b/>
          <w:sz w:val="24"/>
          <w:szCs w:val="24"/>
        </w:rPr>
      </w:pPr>
      <w:r>
        <w:rPr>
          <w:rFonts w:cs="Arial" w:ascii="Arial" w:hAnsi="Arial"/>
          <w:b/>
          <w:sz w:val="24"/>
          <w:szCs w:val="24"/>
        </w:rPr>
        <w:t>Comissão Elaboradora do Projeto Pedagógico do Curso</w:t>
      </w:r>
    </w:p>
    <w:p>
      <w:pPr>
        <w:pStyle w:val="Normal"/>
        <w:spacing w:before="144" w:after="144"/>
        <w:jc w:val="center"/>
        <w:rPr>
          <w:rFonts w:ascii="Arial" w:hAnsi="Arial" w:cs="Arial"/>
          <w:sz w:val="24"/>
          <w:szCs w:val="24"/>
        </w:rPr>
      </w:pPr>
      <w:r>
        <w:rPr>
          <w:rFonts w:cs="Arial" w:ascii="Arial" w:hAnsi="Arial"/>
          <w:sz w:val="24"/>
          <w:szCs w:val="24"/>
        </w:rPr>
        <w:t>Ana Cristina Pereira Lage</w:t>
      </w:r>
    </w:p>
    <w:p>
      <w:pPr>
        <w:pStyle w:val="Normal"/>
        <w:spacing w:before="144" w:after="144"/>
        <w:jc w:val="center"/>
        <w:rPr>
          <w:rFonts w:ascii="Arial" w:hAnsi="Arial" w:cs="Arial"/>
          <w:sz w:val="24"/>
          <w:szCs w:val="24"/>
        </w:rPr>
      </w:pPr>
      <w:r>
        <w:rPr>
          <w:rFonts w:cs="Arial" w:ascii="Arial" w:hAnsi="Arial"/>
          <w:sz w:val="24"/>
          <w:szCs w:val="24"/>
        </w:rPr>
        <w:t>Ana Paula Pereira Costa</w:t>
      </w:r>
    </w:p>
    <w:p>
      <w:pPr>
        <w:pStyle w:val="Normal"/>
        <w:suppressLineNumbers/>
        <w:suppressAutoHyphens w:val="true"/>
        <w:snapToGrid w:val="false"/>
        <w:spacing w:before="144" w:after="144"/>
        <w:jc w:val="center"/>
        <w:rPr>
          <w:rFonts w:ascii="Arial" w:hAnsi="Arial" w:eastAsia="Times New Roman" w:cs="Arial"/>
          <w:sz w:val="24"/>
          <w:szCs w:val="24"/>
          <w:lang w:eastAsia="ar-SA"/>
        </w:rPr>
      </w:pPr>
      <w:r>
        <w:rPr>
          <w:rFonts w:eastAsia="Times New Roman" w:cs="Arial" w:ascii="Arial" w:hAnsi="Arial"/>
          <w:sz w:val="24"/>
          <w:szCs w:val="24"/>
          <w:lang w:eastAsia="ar-SA"/>
        </w:rPr>
        <w:t>Caio Pedrosa da Silva</w:t>
      </w:r>
    </w:p>
    <w:p>
      <w:pPr>
        <w:pStyle w:val="Normal"/>
        <w:spacing w:before="144" w:after="144"/>
        <w:jc w:val="center"/>
        <w:rPr>
          <w:rFonts w:ascii="Arial" w:hAnsi="Arial" w:cs="Arial"/>
          <w:sz w:val="24"/>
          <w:szCs w:val="24"/>
        </w:rPr>
      </w:pPr>
      <w:r>
        <w:rPr>
          <w:rFonts w:cs="Arial" w:ascii="Arial" w:hAnsi="Arial"/>
          <w:sz w:val="24"/>
          <w:szCs w:val="24"/>
        </w:rPr>
        <w:t>Elaine Leonara de Vargas Sodré</w:t>
      </w:r>
    </w:p>
    <w:p>
      <w:pPr>
        <w:pStyle w:val="Normal"/>
        <w:suppressLineNumbers/>
        <w:suppressAutoHyphens w:val="true"/>
        <w:snapToGrid w:val="false"/>
        <w:spacing w:before="144" w:after="144"/>
        <w:jc w:val="center"/>
        <w:rPr>
          <w:rFonts w:ascii="Arial" w:hAnsi="Arial" w:eastAsia="Times New Roman" w:cs="Arial"/>
          <w:sz w:val="24"/>
          <w:szCs w:val="24"/>
          <w:lang w:eastAsia="ar-SA"/>
        </w:rPr>
      </w:pPr>
      <w:r>
        <w:rPr>
          <w:rFonts w:eastAsia="Times New Roman" w:cs="Arial" w:ascii="Arial" w:hAnsi="Arial"/>
          <w:sz w:val="24"/>
          <w:szCs w:val="24"/>
          <w:lang w:eastAsia="ar-SA"/>
        </w:rPr>
        <w:t>Elizabeth Aparecida Duque Seabra</w:t>
      </w:r>
    </w:p>
    <w:p>
      <w:pPr>
        <w:pStyle w:val="Normal"/>
        <w:suppressLineNumbers/>
        <w:suppressAutoHyphens w:val="true"/>
        <w:snapToGrid w:val="false"/>
        <w:spacing w:before="144" w:after="144"/>
        <w:jc w:val="center"/>
        <w:rPr>
          <w:rFonts w:ascii="Arial" w:hAnsi="Arial" w:eastAsia="Times New Roman" w:cs="Arial"/>
          <w:sz w:val="24"/>
          <w:szCs w:val="24"/>
          <w:lang w:eastAsia="ar-SA"/>
        </w:rPr>
      </w:pPr>
      <w:r>
        <w:rPr>
          <w:rFonts w:eastAsia="Times New Roman" w:cs="Arial" w:ascii="Arial" w:hAnsi="Arial"/>
          <w:sz w:val="24"/>
          <w:szCs w:val="24"/>
          <w:lang w:eastAsia="ar-SA"/>
        </w:rPr>
        <w:t>Flávia Aparecida Amaral Ferreira Muniz</w:t>
      </w:r>
    </w:p>
    <w:p>
      <w:pPr>
        <w:pStyle w:val="Normal"/>
        <w:spacing w:before="144" w:after="144"/>
        <w:jc w:val="center"/>
        <w:rPr>
          <w:rFonts w:ascii="Arial" w:hAnsi="Arial" w:cs="Arial"/>
          <w:sz w:val="24"/>
          <w:szCs w:val="24"/>
        </w:rPr>
      </w:pPr>
      <w:r>
        <w:rPr>
          <w:rFonts w:cs="Arial" w:ascii="Arial" w:hAnsi="Arial"/>
          <w:sz w:val="24"/>
          <w:szCs w:val="24"/>
        </w:rPr>
        <w:t>Luciana Lopes dos Santos</w:t>
      </w:r>
    </w:p>
    <w:p>
      <w:pPr>
        <w:pStyle w:val="Normal"/>
        <w:suppressLineNumbers/>
        <w:suppressAutoHyphens w:val="true"/>
        <w:snapToGrid w:val="false"/>
        <w:spacing w:before="144" w:after="144"/>
        <w:jc w:val="center"/>
        <w:rPr>
          <w:rFonts w:ascii="Arial" w:hAnsi="Arial" w:eastAsia="Times New Roman" w:cs="Arial"/>
          <w:sz w:val="24"/>
          <w:szCs w:val="24"/>
          <w:lang w:eastAsia="ar-SA"/>
        </w:rPr>
      </w:pPr>
      <w:r>
        <w:rPr>
          <w:rFonts w:eastAsia="Times New Roman" w:cs="Arial" w:ascii="Arial" w:hAnsi="Arial"/>
          <w:sz w:val="24"/>
          <w:szCs w:val="24"/>
          <w:lang w:eastAsia="ar-SA"/>
        </w:rPr>
        <w:t>Luciano Magela Roza</w:t>
      </w:r>
    </w:p>
    <w:p>
      <w:pPr>
        <w:pStyle w:val="Normal"/>
        <w:spacing w:before="144" w:after="144"/>
        <w:jc w:val="center"/>
        <w:rPr>
          <w:rFonts w:ascii="Arial" w:hAnsi="Arial" w:cs="Arial"/>
          <w:sz w:val="24"/>
          <w:szCs w:val="24"/>
        </w:rPr>
      </w:pPr>
      <w:r>
        <w:rPr>
          <w:rFonts w:cs="Arial" w:ascii="Arial" w:hAnsi="Arial"/>
          <w:sz w:val="24"/>
          <w:szCs w:val="24"/>
        </w:rPr>
        <w:t>Marcos Lobato Martins</w:t>
      </w:r>
    </w:p>
    <w:p>
      <w:pPr>
        <w:pStyle w:val="Normal"/>
        <w:spacing w:before="144" w:after="144"/>
        <w:jc w:val="center"/>
        <w:rPr>
          <w:rFonts w:ascii="Arial" w:hAnsi="Arial" w:cs="Arial"/>
          <w:sz w:val="24"/>
          <w:szCs w:val="24"/>
        </w:rPr>
      </w:pPr>
      <w:r>
        <w:rPr>
          <w:rFonts w:cs="Arial" w:ascii="Arial" w:hAnsi="Arial"/>
          <w:sz w:val="24"/>
          <w:szCs w:val="24"/>
        </w:rPr>
        <w:t>Rogério Pereira de Arruda</w:t>
      </w:r>
    </w:p>
    <w:p>
      <w:pPr>
        <w:pStyle w:val="Normal"/>
        <w:spacing w:before="144" w:after="144"/>
        <w:jc w:val="center"/>
        <w:rPr>
          <w:rFonts w:ascii="Arial" w:hAnsi="Arial" w:cs="Arial"/>
          <w:sz w:val="24"/>
          <w:szCs w:val="24"/>
        </w:rPr>
      </w:pPr>
      <w:r>
        <w:rPr>
          <w:rFonts w:cs="Arial" w:ascii="Arial" w:hAnsi="Arial"/>
          <w:sz w:val="24"/>
          <w:szCs w:val="24"/>
        </w:rPr>
        <w:t>Wellington de Oliveira</w:t>
      </w:r>
    </w:p>
    <w:p>
      <w:pPr>
        <w:pStyle w:val="Normal"/>
        <w:spacing w:before="144" w:after="144"/>
        <w:jc w:val="center"/>
        <w:rPr>
          <w:rFonts w:ascii="Arial" w:hAnsi="Arial" w:cs="Arial"/>
          <w:sz w:val="24"/>
          <w:szCs w:val="24"/>
        </w:rPr>
      </w:pPr>
      <w:r>
        <w:rPr>
          <w:rFonts w:cs="Arial" w:ascii="Arial" w:hAnsi="Arial"/>
          <w:sz w:val="24"/>
          <w:szCs w:val="24"/>
        </w:rPr>
      </w:r>
    </w:p>
    <w:p>
      <w:pPr>
        <w:pStyle w:val="Normal"/>
        <w:suppressAutoHyphens w:val="true"/>
        <w:spacing w:lineRule="auto" w:line="360" w:before="144" w:after="144"/>
        <w:jc w:val="both"/>
        <w:rPr>
          <w:rFonts w:ascii="Arial" w:hAnsi="Arial" w:eastAsia="Times New Roman" w:cs="Arial"/>
          <w:b/>
          <w:b/>
          <w:bCs/>
          <w:sz w:val="28"/>
          <w:szCs w:val="28"/>
          <w:lang w:eastAsia="ar-SA"/>
        </w:rPr>
      </w:pPr>
      <w:r>
        <w:rPr>
          <w:rFonts w:eastAsia="Times New Roman" w:cs="Arial" w:ascii="Arial" w:hAnsi="Arial"/>
          <w:b/>
          <w:bCs/>
          <w:sz w:val="28"/>
          <w:szCs w:val="28"/>
          <w:lang w:eastAsia="ar-SA"/>
        </w:rPr>
      </w:r>
    </w:p>
    <w:p>
      <w:pPr>
        <w:pStyle w:val="Normal"/>
        <w:suppressAutoHyphens w:val="true"/>
        <w:spacing w:before="144" w:after="144"/>
        <w:jc w:val="both"/>
        <w:rPr>
          <w:rFonts w:ascii="Arial" w:hAnsi="Arial" w:eastAsia="Times New Roman" w:cs="Arial"/>
          <w:b/>
          <w:b/>
          <w:bCs/>
          <w:sz w:val="24"/>
          <w:szCs w:val="28"/>
          <w:lang w:eastAsia="ar-SA"/>
        </w:rPr>
      </w:pPr>
      <w:r>
        <w:rPr>
          <w:rFonts w:eastAsia="Times New Roman" w:cs="Arial" w:ascii="Arial" w:hAnsi="Arial"/>
          <w:b/>
          <w:bCs/>
          <w:sz w:val="24"/>
          <w:szCs w:val="28"/>
          <w:lang w:eastAsia="ar-SA"/>
        </w:rPr>
      </w:r>
    </w:p>
    <w:p>
      <w:pPr>
        <w:pStyle w:val="Normal"/>
        <w:suppressAutoHyphens w:val="true"/>
        <w:spacing w:before="144" w:after="144"/>
        <w:jc w:val="both"/>
        <w:rPr>
          <w:rFonts w:ascii="Arial" w:hAnsi="Arial" w:eastAsia="Times New Roman" w:cs="Arial"/>
          <w:b/>
          <w:b/>
          <w:bCs/>
          <w:sz w:val="28"/>
          <w:szCs w:val="28"/>
          <w:lang w:eastAsia="ar-SA"/>
        </w:rPr>
      </w:pPr>
      <w:r>
        <w:rPr>
          <w:rFonts w:eastAsia="Times New Roman" w:cs="Arial" w:ascii="Arial" w:hAnsi="Arial"/>
          <w:b/>
          <w:bCs/>
          <w:sz w:val="24"/>
          <w:szCs w:val="28"/>
          <w:lang w:eastAsia="ar-SA"/>
        </w:rPr>
        <w:t>SUMÁRIO</w:t>
      </w:r>
    </w:p>
    <w:tbl>
      <w:tblPr>
        <w:tblStyle w:val="TabeladeGradeClara1"/>
        <w:tblW w:w="8504" w:type="dxa"/>
        <w:jc w:val="left"/>
        <w:tblInd w:w="0" w:type="dxa"/>
        <w:tblCellMar>
          <w:top w:w="0" w:type="dxa"/>
          <w:left w:w="108" w:type="dxa"/>
          <w:bottom w:w="0" w:type="dxa"/>
          <w:right w:w="108" w:type="dxa"/>
        </w:tblCellMar>
        <w:tblLook w:firstRow="0" w:noVBand="0" w:lastRow="0" w:firstColumn="0" w:lastColumn="0" w:noHBand="0" w:val="0000"/>
      </w:tblPr>
      <w:tblGrid>
        <w:gridCol w:w="645"/>
        <w:gridCol w:w="7335"/>
        <w:gridCol w:w="524"/>
      </w:tblGrid>
      <w:tr>
        <w:trPr/>
        <w:tc>
          <w:tcPr>
            <w:tcW w:w="64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bCs/>
                <w:lang w:eastAsia="ar-SA"/>
              </w:rPr>
            </w:pPr>
            <w:r>
              <w:rPr>
                <w:rFonts w:eastAsia="Times New Roman" w:cs="Arial" w:ascii="Arial" w:hAnsi="Arial"/>
                <w:b/>
                <w:bCs/>
                <w:lang w:eastAsia="ar-SA"/>
              </w:rPr>
              <w:t>1.</w:t>
            </w:r>
          </w:p>
        </w:tc>
        <w:tc>
          <w:tcPr>
            <w:tcW w:w="733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lang w:eastAsia="ar-SA"/>
              </w:rPr>
            </w:pPr>
            <w:r>
              <w:rPr>
                <w:rFonts w:eastAsia="Times New Roman" w:cs="Arial" w:ascii="Arial" w:hAnsi="Arial"/>
                <w:b/>
                <w:lang w:eastAsia="ar-SA"/>
              </w:rPr>
              <w:t>Caracterização do Curso</w:t>
            </w:r>
          </w:p>
          <w:p>
            <w:pPr>
              <w:pStyle w:val="Normal"/>
              <w:suppressLineNumbers/>
              <w:suppressAutoHyphens w:val="true"/>
              <w:snapToGrid w:val="false"/>
              <w:spacing w:lineRule="auto" w:line="360" w:before="0" w:after="0"/>
              <w:contextualSpacing/>
              <w:jc w:val="both"/>
              <w:rPr>
                <w:rFonts w:ascii="Arial" w:hAnsi="Arial" w:eastAsia="Times New Roman" w:cs="Arial"/>
                <w:b/>
                <w:b/>
                <w:lang w:eastAsia="ar-SA"/>
              </w:rPr>
            </w:pPr>
            <w:r>
              <w:rPr>
                <w:rFonts w:eastAsia="Times New Roman" w:cs="Arial" w:ascii="Arial" w:hAnsi="Arial"/>
                <w:b/>
                <w:lang w:eastAsia="ar-SA"/>
              </w:rPr>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1.1- Requisitos Legais e Normativos</w:t>
            </w:r>
          </w:p>
          <w:p>
            <w:pPr>
              <w:pStyle w:val="Normal"/>
              <w:suppressLineNumbers/>
              <w:suppressAutoHyphens w:val="tru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r>
          </w:p>
        </w:tc>
        <w:tc>
          <w:tcPr>
            <w:tcW w:w="524"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05</w:t>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06</w:t>
            </w:r>
          </w:p>
        </w:tc>
      </w:tr>
      <w:tr>
        <w:trPr/>
        <w:tc>
          <w:tcPr>
            <w:tcW w:w="64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bCs/>
                <w:lang w:eastAsia="ar-SA"/>
              </w:rPr>
            </w:pPr>
            <w:r>
              <w:rPr>
                <w:rFonts w:eastAsia="Times New Roman" w:cs="Arial" w:ascii="Arial" w:hAnsi="Arial"/>
                <w:b/>
                <w:bCs/>
                <w:lang w:eastAsia="ar-SA"/>
              </w:rPr>
              <w:t>2.</w:t>
            </w:r>
          </w:p>
        </w:tc>
        <w:tc>
          <w:tcPr>
            <w:tcW w:w="733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lang w:eastAsia="ar-SA"/>
              </w:rPr>
            </w:pPr>
            <w:r>
              <w:rPr>
                <w:rFonts w:eastAsia="Times New Roman" w:cs="Arial" w:ascii="Arial" w:hAnsi="Arial"/>
                <w:b/>
                <w:lang w:eastAsia="ar-SA"/>
              </w:rPr>
              <w:t>Apresentação</w:t>
            </w:r>
          </w:p>
          <w:p>
            <w:pPr>
              <w:pStyle w:val="Normal"/>
              <w:suppressLineNumbers/>
              <w:suppressAutoHyphens w:val="tru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r>
          </w:p>
        </w:tc>
        <w:tc>
          <w:tcPr>
            <w:tcW w:w="524"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08</w:t>
            </w:r>
          </w:p>
        </w:tc>
      </w:tr>
      <w:tr>
        <w:trPr/>
        <w:tc>
          <w:tcPr>
            <w:tcW w:w="64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bCs/>
                <w:lang w:eastAsia="ar-SA"/>
              </w:rPr>
            </w:pPr>
            <w:r>
              <w:rPr>
                <w:rFonts w:eastAsia="Times New Roman" w:cs="Arial" w:ascii="Arial" w:hAnsi="Arial"/>
                <w:b/>
                <w:bCs/>
                <w:lang w:eastAsia="ar-SA"/>
              </w:rPr>
              <w:t>3.</w:t>
            </w:r>
          </w:p>
        </w:tc>
        <w:tc>
          <w:tcPr>
            <w:tcW w:w="733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lang w:eastAsia="ar-SA"/>
              </w:rPr>
            </w:pPr>
            <w:r>
              <w:rPr>
                <w:rFonts w:eastAsia="Times New Roman" w:cs="Arial" w:ascii="Arial" w:hAnsi="Arial"/>
                <w:b/>
                <w:lang w:eastAsia="ar-SA"/>
              </w:rPr>
              <w:t>Justificativa</w:t>
            </w:r>
          </w:p>
          <w:p>
            <w:pPr>
              <w:pStyle w:val="Normal"/>
              <w:suppressLineNumbers/>
              <w:suppressAutoHyphens w:val="true"/>
              <w:spacing w:lineRule="auto" w:line="360" w:before="0" w:after="0"/>
              <w:contextualSpacing/>
              <w:jc w:val="both"/>
              <w:rPr>
                <w:rFonts w:ascii="Arial" w:hAnsi="Arial" w:eastAsia="Times New Roman" w:cs="Arial"/>
                <w:b/>
                <w:b/>
                <w:lang w:eastAsia="ar-SA"/>
              </w:rPr>
            </w:pPr>
            <w:r>
              <w:rPr>
                <w:rFonts w:eastAsia="Times New Roman" w:cs="Arial" w:ascii="Arial" w:hAnsi="Arial"/>
                <w:b/>
                <w:lang w:eastAsia="ar-SA"/>
              </w:rPr>
            </w:r>
          </w:p>
        </w:tc>
        <w:tc>
          <w:tcPr>
            <w:tcW w:w="524"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11</w:t>
            </w:r>
          </w:p>
        </w:tc>
      </w:tr>
      <w:tr>
        <w:trPr/>
        <w:tc>
          <w:tcPr>
            <w:tcW w:w="64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bCs/>
                <w:lang w:eastAsia="ar-SA"/>
              </w:rPr>
            </w:pPr>
            <w:r>
              <w:rPr>
                <w:rFonts w:eastAsia="Times New Roman" w:cs="Arial" w:ascii="Arial" w:hAnsi="Arial"/>
                <w:b/>
                <w:bCs/>
                <w:lang w:eastAsia="ar-SA"/>
              </w:rPr>
              <w:t>4.</w:t>
            </w:r>
          </w:p>
        </w:tc>
        <w:tc>
          <w:tcPr>
            <w:tcW w:w="733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lang w:eastAsia="ar-SA"/>
              </w:rPr>
            </w:pPr>
            <w:r>
              <w:rPr>
                <w:rFonts w:eastAsia="Times New Roman" w:cs="Arial" w:ascii="Arial" w:hAnsi="Arial"/>
                <w:b/>
                <w:lang w:eastAsia="ar-SA"/>
              </w:rPr>
              <w:t>Objetivos Gerais e Específicos</w:t>
            </w:r>
          </w:p>
          <w:p>
            <w:pPr>
              <w:pStyle w:val="Normal"/>
              <w:suppressLineNumbers/>
              <w:suppressAutoHyphens w:val="tru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4.1. Objetivo Geral</w:t>
            </w:r>
          </w:p>
          <w:p>
            <w:pPr>
              <w:pStyle w:val="Normal"/>
              <w:suppressLineNumbers/>
              <w:suppressAutoHyphens w:val="true"/>
              <w:spacing w:lineRule="auto" w:line="360" w:before="0" w:after="0"/>
              <w:contextualSpacing/>
              <w:jc w:val="both"/>
              <w:rPr>
                <w:rFonts w:ascii="Arial" w:hAnsi="Arial" w:eastAsia="Times New Roman" w:cs="Arial"/>
                <w:b/>
                <w:b/>
                <w:lang w:eastAsia="ar-SA"/>
              </w:rPr>
            </w:pPr>
            <w:r>
              <w:rPr>
                <w:rFonts w:eastAsia="Times New Roman" w:cs="Arial" w:ascii="Arial" w:hAnsi="Arial"/>
                <w:lang w:eastAsia="ar-SA"/>
              </w:rPr>
              <w:t>4.2. Objetivos Específicos</w:t>
            </w:r>
          </w:p>
        </w:tc>
        <w:tc>
          <w:tcPr>
            <w:tcW w:w="524"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14</w:t>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14</w:t>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14</w:t>
            </w:r>
          </w:p>
        </w:tc>
      </w:tr>
      <w:tr>
        <w:trPr/>
        <w:tc>
          <w:tcPr>
            <w:tcW w:w="64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bCs/>
                <w:lang w:eastAsia="ar-SA"/>
              </w:rPr>
            </w:pPr>
            <w:r>
              <w:rPr>
                <w:rFonts w:eastAsia="Times New Roman" w:cs="Arial" w:ascii="Arial" w:hAnsi="Arial"/>
                <w:b/>
                <w:bCs/>
                <w:lang w:eastAsia="ar-SA"/>
              </w:rPr>
              <w:t>5.</w:t>
            </w:r>
          </w:p>
        </w:tc>
        <w:tc>
          <w:tcPr>
            <w:tcW w:w="733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lang w:eastAsia="ar-SA"/>
              </w:rPr>
            </w:pPr>
            <w:r>
              <w:rPr>
                <w:rFonts w:eastAsia="Times New Roman" w:cs="Arial" w:ascii="Arial" w:hAnsi="Arial"/>
                <w:b/>
                <w:lang w:eastAsia="ar-SA"/>
              </w:rPr>
              <w:t>Metas</w:t>
            </w:r>
          </w:p>
          <w:p>
            <w:pPr>
              <w:pStyle w:val="Normal"/>
              <w:suppressLineNumbers/>
              <w:suppressAutoHyphens w:val="true"/>
              <w:spacing w:lineRule="auto" w:line="360" w:before="0" w:after="0"/>
              <w:contextualSpacing/>
              <w:jc w:val="both"/>
              <w:rPr>
                <w:rFonts w:ascii="Arial" w:hAnsi="Arial" w:eastAsia="Times New Roman" w:cs="Arial"/>
                <w:b/>
                <w:b/>
                <w:lang w:eastAsia="ar-SA"/>
              </w:rPr>
            </w:pPr>
            <w:r>
              <w:rPr>
                <w:rFonts w:eastAsia="Times New Roman" w:cs="Arial" w:ascii="Arial" w:hAnsi="Arial"/>
                <w:b/>
                <w:lang w:eastAsia="ar-SA"/>
              </w:rPr>
            </w:r>
          </w:p>
        </w:tc>
        <w:tc>
          <w:tcPr>
            <w:tcW w:w="524"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15</w:t>
            </w:r>
          </w:p>
        </w:tc>
      </w:tr>
      <w:tr>
        <w:trPr/>
        <w:tc>
          <w:tcPr>
            <w:tcW w:w="64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bCs/>
                <w:lang w:eastAsia="ar-SA"/>
              </w:rPr>
            </w:pPr>
            <w:r>
              <w:rPr>
                <w:rFonts w:eastAsia="Times New Roman" w:cs="Arial" w:ascii="Arial" w:hAnsi="Arial"/>
                <w:b/>
                <w:bCs/>
                <w:lang w:eastAsia="ar-SA"/>
              </w:rPr>
              <w:t>6.</w:t>
            </w:r>
          </w:p>
        </w:tc>
        <w:tc>
          <w:tcPr>
            <w:tcW w:w="733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lang w:eastAsia="ar-SA"/>
              </w:rPr>
            </w:pPr>
            <w:r>
              <w:rPr>
                <w:rFonts w:eastAsia="Times New Roman" w:cs="Arial" w:ascii="Arial" w:hAnsi="Arial"/>
                <w:b/>
                <w:lang w:eastAsia="ar-SA"/>
              </w:rPr>
              <w:t>Perfil do Egresso</w:t>
            </w:r>
          </w:p>
          <w:p>
            <w:pPr>
              <w:pStyle w:val="Normal"/>
              <w:suppressLineNumbers/>
              <w:suppressAutoHyphens w:val="true"/>
              <w:spacing w:lineRule="auto" w:line="360" w:before="0" w:after="0"/>
              <w:contextualSpacing/>
              <w:jc w:val="both"/>
              <w:rPr>
                <w:rFonts w:ascii="Arial" w:hAnsi="Arial" w:eastAsia="Times New Roman" w:cs="Arial"/>
                <w:b/>
                <w:b/>
                <w:lang w:eastAsia="ar-SA"/>
              </w:rPr>
            </w:pPr>
            <w:r>
              <w:rPr>
                <w:rFonts w:eastAsia="Times New Roman" w:cs="Arial" w:ascii="Arial" w:hAnsi="Arial"/>
                <w:b/>
                <w:lang w:eastAsia="ar-SA"/>
              </w:rPr>
            </w:r>
          </w:p>
        </w:tc>
        <w:tc>
          <w:tcPr>
            <w:tcW w:w="524"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16</w:t>
            </w:r>
          </w:p>
        </w:tc>
      </w:tr>
      <w:tr>
        <w:trPr/>
        <w:tc>
          <w:tcPr>
            <w:tcW w:w="64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bCs/>
                <w:lang w:eastAsia="ar-SA"/>
              </w:rPr>
            </w:pPr>
            <w:r>
              <w:rPr>
                <w:rFonts w:eastAsia="Times New Roman" w:cs="Arial" w:ascii="Arial" w:hAnsi="Arial"/>
                <w:b/>
                <w:bCs/>
                <w:lang w:eastAsia="ar-SA"/>
              </w:rPr>
              <w:t>7.</w:t>
            </w:r>
          </w:p>
        </w:tc>
        <w:tc>
          <w:tcPr>
            <w:tcW w:w="733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lang w:eastAsia="ar-SA"/>
              </w:rPr>
            </w:pPr>
            <w:r>
              <w:rPr>
                <w:rFonts w:eastAsia="Times New Roman" w:cs="Arial" w:ascii="Arial" w:hAnsi="Arial"/>
                <w:b/>
                <w:lang w:eastAsia="ar-SA"/>
              </w:rPr>
              <w:t>Competências e Habilidades</w:t>
            </w:r>
          </w:p>
          <w:p>
            <w:pPr>
              <w:pStyle w:val="Normal"/>
              <w:suppressLineNumbers/>
              <w:suppressAutoHyphens w:val="true"/>
              <w:spacing w:lineRule="auto" w:line="360" w:before="0" w:after="0"/>
              <w:contextualSpacing/>
              <w:jc w:val="both"/>
              <w:rPr>
                <w:rFonts w:ascii="Arial" w:hAnsi="Arial" w:eastAsia="Times New Roman" w:cs="Arial"/>
                <w:b/>
                <w:b/>
                <w:lang w:eastAsia="ar-SA"/>
              </w:rPr>
            </w:pPr>
            <w:r>
              <w:rPr>
                <w:rFonts w:eastAsia="Times New Roman" w:cs="Arial" w:ascii="Arial" w:hAnsi="Arial"/>
                <w:b/>
                <w:lang w:eastAsia="ar-SA"/>
              </w:rPr>
            </w:r>
          </w:p>
        </w:tc>
        <w:tc>
          <w:tcPr>
            <w:tcW w:w="524"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17</w:t>
            </w:r>
          </w:p>
        </w:tc>
      </w:tr>
      <w:tr>
        <w:trPr/>
        <w:tc>
          <w:tcPr>
            <w:tcW w:w="64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bCs/>
                <w:lang w:eastAsia="ar-SA"/>
              </w:rPr>
            </w:pPr>
            <w:r>
              <w:rPr>
                <w:rFonts w:eastAsia="Times New Roman" w:cs="Arial" w:ascii="Arial" w:hAnsi="Arial"/>
                <w:b/>
                <w:bCs/>
                <w:lang w:eastAsia="ar-SA"/>
              </w:rPr>
              <w:t>8.</w:t>
            </w:r>
          </w:p>
        </w:tc>
        <w:tc>
          <w:tcPr>
            <w:tcW w:w="733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lang w:eastAsia="ar-SA"/>
              </w:rPr>
            </w:pPr>
            <w:r>
              <w:rPr>
                <w:rFonts w:eastAsia="Times New Roman" w:cs="Arial" w:ascii="Arial" w:hAnsi="Arial"/>
                <w:b/>
                <w:lang w:eastAsia="ar-SA"/>
              </w:rPr>
              <w:t>Campo de Atuação do Profissional</w:t>
            </w:r>
          </w:p>
          <w:p>
            <w:pPr>
              <w:pStyle w:val="Normal"/>
              <w:suppressLineNumbers/>
              <w:suppressAutoHyphens w:val="true"/>
              <w:spacing w:lineRule="auto" w:line="360" w:before="0" w:after="0"/>
              <w:contextualSpacing/>
              <w:jc w:val="both"/>
              <w:rPr>
                <w:rFonts w:ascii="Arial" w:hAnsi="Arial" w:eastAsia="Times New Roman" w:cs="Arial"/>
                <w:b/>
                <w:b/>
                <w:lang w:eastAsia="ar-SA"/>
              </w:rPr>
            </w:pPr>
            <w:r>
              <w:rPr>
                <w:rFonts w:eastAsia="Times New Roman" w:cs="Arial" w:ascii="Arial" w:hAnsi="Arial"/>
                <w:b/>
                <w:lang w:eastAsia="ar-SA"/>
              </w:rPr>
            </w:r>
          </w:p>
        </w:tc>
        <w:tc>
          <w:tcPr>
            <w:tcW w:w="524"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18</w:t>
            </w:r>
          </w:p>
        </w:tc>
      </w:tr>
      <w:tr>
        <w:trPr/>
        <w:tc>
          <w:tcPr>
            <w:tcW w:w="64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bCs/>
                <w:lang w:eastAsia="ar-SA"/>
              </w:rPr>
            </w:pPr>
            <w:r>
              <w:rPr>
                <w:rFonts w:eastAsia="Times New Roman" w:cs="Arial" w:ascii="Arial" w:hAnsi="Arial"/>
                <w:b/>
                <w:bCs/>
                <w:lang w:eastAsia="ar-SA"/>
              </w:rPr>
              <w:t>9.</w:t>
            </w:r>
          </w:p>
        </w:tc>
        <w:tc>
          <w:tcPr>
            <w:tcW w:w="733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lang w:eastAsia="ar-SA"/>
              </w:rPr>
            </w:pPr>
            <w:r>
              <w:rPr>
                <w:rFonts w:eastAsia="Times New Roman" w:cs="Arial" w:ascii="Arial" w:hAnsi="Arial"/>
                <w:b/>
                <w:lang w:eastAsia="ar-SA"/>
              </w:rPr>
              <w:t>Proposta Pedagógica</w:t>
            </w:r>
          </w:p>
          <w:p>
            <w:pPr>
              <w:pStyle w:val="Normal"/>
              <w:suppressLineNumbers/>
              <w:suppressAutoHyphens w:val="tru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9.1. Apoio ao Discente</w:t>
            </w:r>
          </w:p>
          <w:p>
            <w:pPr>
              <w:pStyle w:val="Normal"/>
              <w:suppressLineNumbers/>
              <w:suppressAutoHyphens w:val="tru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9.2. Creditação da Extensão</w:t>
            </w:r>
          </w:p>
          <w:p>
            <w:pPr>
              <w:pStyle w:val="Normal"/>
              <w:suppressLineNumbers/>
              <w:suppressAutoHyphens w:val="tru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9.3. Educação das Relações Étnico-raciais para o Ensino de História e Cultura Afro-brasileira e Africana</w:t>
            </w:r>
          </w:p>
          <w:p>
            <w:pPr>
              <w:pStyle w:val="Normal"/>
              <w:suppressLineNumbers/>
              <w:suppressAutoHyphens w:val="tru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9.4. Políticas de Educação Ambiental</w:t>
            </w:r>
          </w:p>
          <w:p>
            <w:pPr>
              <w:pStyle w:val="Normal"/>
              <w:suppressLineNumbers/>
              <w:suppressAutoHyphens w:val="tru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9.5. Educação em Direitos Humanos</w:t>
            </w:r>
          </w:p>
          <w:p>
            <w:pPr>
              <w:pStyle w:val="Normal"/>
              <w:suppressLineNumbers/>
              <w:suppressAutoHyphens w:val="tru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9.6. Condições de acessibilidade para pessoas com deficiência ou mobilidade reduzida e inclusão</w:t>
            </w:r>
          </w:p>
          <w:p>
            <w:pPr>
              <w:pStyle w:val="Normal"/>
              <w:suppressLineNumbers/>
              <w:suppressAutoHyphens w:val="tru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9.7. Tecnologias de Informação e Comunicação nos Processos de Ensino e Aprendizagem</w:t>
            </w:r>
          </w:p>
        </w:tc>
        <w:tc>
          <w:tcPr>
            <w:tcW w:w="524"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18</w:t>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21</w:t>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22</w:t>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22</w:t>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22</w:t>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23</w:t>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23</w:t>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24</w:t>
            </w:r>
          </w:p>
        </w:tc>
      </w:tr>
      <w:tr>
        <w:trPr/>
        <w:tc>
          <w:tcPr>
            <w:tcW w:w="64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bCs/>
                <w:lang w:eastAsia="ar-SA"/>
              </w:rPr>
            </w:pPr>
            <w:r>
              <w:rPr>
                <w:rFonts w:eastAsia="Times New Roman" w:cs="Arial" w:ascii="Arial" w:hAnsi="Arial"/>
                <w:b/>
                <w:bCs/>
                <w:lang w:eastAsia="ar-SA"/>
              </w:rPr>
              <w:t>10.</w:t>
            </w:r>
          </w:p>
        </w:tc>
        <w:tc>
          <w:tcPr>
            <w:tcW w:w="733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lang w:eastAsia="ar-SA"/>
              </w:rPr>
            </w:pPr>
            <w:r>
              <w:rPr>
                <w:rFonts w:eastAsia="Times New Roman" w:cs="Arial" w:ascii="Arial" w:hAnsi="Arial"/>
                <w:b/>
                <w:lang w:eastAsia="ar-SA"/>
              </w:rPr>
              <w:t>Organização Curricular</w:t>
            </w:r>
          </w:p>
          <w:p>
            <w:pPr>
              <w:pStyle w:val="Normal"/>
              <w:suppressLineNumbers/>
              <w:suppressAutoHyphens w:val="tru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10.1. Matriz Curricular</w:t>
            </w:r>
          </w:p>
          <w:p>
            <w:pPr>
              <w:pStyle w:val="Normal"/>
              <w:suppressLineNumbers/>
              <w:suppressAutoHyphens w:val="tru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10.2. Fluxograma Curso Licenciatura em História</w:t>
            </w:r>
          </w:p>
          <w:p>
            <w:pPr>
              <w:pStyle w:val="Normal"/>
              <w:suppressLineNumbers/>
              <w:suppressAutoHyphens w:val="tru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10.3. Ementário e Bibliografias</w:t>
            </w:r>
          </w:p>
          <w:p>
            <w:pPr>
              <w:pStyle w:val="Normal"/>
              <w:suppressLineNumbers/>
              <w:suppressAutoHyphens w:val="tru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10.4. Estágio Curricular Supervisionado</w:t>
            </w:r>
          </w:p>
          <w:p>
            <w:pPr>
              <w:pStyle w:val="Normal"/>
              <w:suppressLineNumbers/>
              <w:suppressAutoHyphens w:val="tru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10.5. Trabalho de Conclusão de Curso – TCC</w:t>
            </w:r>
          </w:p>
          <w:p>
            <w:pPr>
              <w:pStyle w:val="Normal"/>
              <w:suppressLineNumbers/>
              <w:suppressAutoHyphens w:val="tru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10.6. Prática como Componente Curricular - PCC</w:t>
            </w:r>
          </w:p>
          <w:p>
            <w:pPr>
              <w:pStyle w:val="Normal"/>
              <w:suppressLineNumbers/>
              <w:suppressAutoHyphens w:val="tru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10.7. Atividades Complementares - AACC</w:t>
            </w:r>
          </w:p>
          <w:p>
            <w:pPr>
              <w:pStyle w:val="Normal"/>
              <w:suppressLineNumbers/>
              <w:suppressAutoHyphens w:val="tru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 xml:space="preserve">10.8. Integração com a Educação Básica </w:t>
            </w:r>
          </w:p>
        </w:tc>
        <w:tc>
          <w:tcPr>
            <w:tcW w:w="524"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25</w:t>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27</w:t>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32</w:t>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33</w:t>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64</w:t>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66</w:t>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67</w:t>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68</w:t>
            </w:r>
          </w:p>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69</w:t>
            </w:r>
          </w:p>
        </w:tc>
      </w:tr>
      <w:tr>
        <w:trPr/>
        <w:tc>
          <w:tcPr>
            <w:tcW w:w="645" w:type="dxa"/>
            <w:tcBorders/>
            <w:shd w:fill="auto" w:val="clear"/>
            <w:tcMar>
              <w:left w:w="108" w:type="dxa"/>
            </w:tcMar>
          </w:tcPr>
          <w:p>
            <w:pPr>
              <w:pStyle w:val="Normal"/>
              <w:spacing w:lineRule="auto" w:line="360" w:before="0" w:after="0"/>
              <w:contextualSpacing/>
              <w:jc w:val="both"/>
              <w:rPr>
                <w:rFonts w:ascii="Arial" w:hAnsi="Arial" w:cs="Arial"/>
                <w:b/>
                <w:b/>
              </w:rPr>
            </w:pPr>
            <w:r>
              <w:rPr>
                <w:rFonts w:cs="Arial" w:ascii="Arial" w:hAnsi="Arial"/>
                <w:b/>
              </w:rPr>
              <w:t>11.</w:t>
            </w:r>
          </w:p>
        </w:tc>
        <w:tc>
          <w:tcPr>
            <w:tcW w:w="7335" w:type="dxa"/>
            <w:tcBorders/>
            <w:shd w:fill="auto" w:val="clear"/>
            <w:tcMar>
              <w:left w:w="108" w:type="dxa"/>
            </w:tcMar>
          </w:tcPr>
          <w:p>
            <w:pPr>
              <w:pStyle w:val="Normal"/>
              <w:spacing w:lineRule="auto" w:line="360" w:before="0" w:after="0"/>
              <w:contextualSpacing/>
              <w:jc w:val="both"/>
              <w:rPr>
                <w:rFonts w:ascii="Arial" w:hAnsi="Arial" w:cs="Arial"/>
                <w:b/>
                <w:b/>
              </w:rPr>
            </w:pPr>
            <w:r>
              <w:rPr>
                <w:rFonts w:cs="Arial" w:ascii="Arial" w:hAnsi="Arial"/>
                <w:b/>
              </w:rPr>
              <w:t>Acompanhamento e Avaliação do PPC</w:t>
            </w:r>
          </w:p>
        </w:tc>
        <w:tc>
          <w:tcPr>
            <w:tcW w:w="524" w:type="dxa"/>
            <w:tcBorders/>
            <w:shd w:fill="auto" w:val="clear"/>
            <w:tcMar>
              <w:left w:w="108" w:type="dxa"/>
            </w:tcMar>
          </w:tcPr>
          <w:p>
            <w:pPr>
              <w:pStyle w:val="Normal"/>
              <w:spacing w:lineRule="auto" w:line="360" w:before="0" w:after="0"/>
              <w:contextualSpacing/>
              <w:jc w:val="both"/>
              <w:rPr>
                <w:rFonts w:ascii="Arial" w:hAnsi="Arial" w:cs="Arial"/>
              </w:rPr>
            </w:pPr>
            <w:r>
              <w:rPr>
                <w:rFonts w:cs="Arial" w:ascii="Arial" w:hAnsi="Arial"/>
              </w:rPr>
              <w:t>69</w:t>
            </w:r>
          </w:p>
        </w:tc>
      </w:tr>
      <w:tr>
        <w:trPr/>
        <w:tc>
          <w:tcPr>
            <w:tcW w:w="645" w:type="dxa"/>
            <w:tcBorders/>
            <w:shd w:fill="auto" w:val="clear"/>
            <w:tcMar>
              <w:left w:w="108" w:type="dxa"/>
            </w:tcMar>
          </w:tcPr>
          <w:p>
            <w:pPr>
              <w:pStyle w:val="Normal"/>
              <w:spacing w:lineRule="auto" w:line="360" w:before="0" w:after="0"/>
              <w:contextualSpacing/>
              <w:jc w:val="both"/>
              <w:rPr>
                <w:rFonts w:ascii="Arial" w:hAnsi="Arial" w:cs="Arial"/>
                <w:b/>
                <w:b/>
              </w:rPr>
            </w:pPr>
            <w:r>
              <w:rPr>
                <w:rFonts w:cs="Arial" w:ascii="Arial" w:hAnsi="Arial"/>
                <w:b/>
              </w:rPr>
              <w:t>12.</w:t>
            </w:r>
          </w:p>
        </w:tc>
        <w:tc>
          <w:tcPr>
            <w:tcW w:w="7335" w:type="dxa"/>
            <w:tcBorders/>
            <w:shd w:fill="auto" w:val="clear"/>
            <w:tcMar>
              <w:left w:w="108" w:type="dxa"/>
            </w:tcMar>
          </w:tcPr>
          <w:p>
            <w:pPr>
              <w:pStyle w:val="Normal"/>
              <w:spacing w:lineRule="auto" w:line="360" w:before="0" w:after="0"/>
              <w:contextualSpacing/>
              <w:jc w:val="both"/>
              <w:rPr>
                <w:rFonts w:ascii="Arial" w:hAnsi="Arial" w:cs="Arial"/>
                <w:b/>
                <w:b/>
              </w:rPr>
            </w:pPr>
            <w:r>
              <w:rPr>
                <w:rFonts w:cs="Arial" w:ascii="Arial" w:hAnsi="Arial"/>
                <w:b/>
              </w:rPr>
              <w:t>Avaliação do Processo Ensino Aprendizagem</w:t>
            </w:r>
          </w:p>
        </w:tc>
        <w:tc>
          <w:tcPr>
            <w:tcW w:w="524" w:type="dxa"/>
            <w:tcBorders/>
            <w:shd w:fill="auto" w:val="clear"/>
            <w:tcMar>
              <w:left w:w="108" w:type="dxa"/>
            </w:tcMar>
          </w:tcPr>
          <w:p>
            <w:pPr>
              <w:pStyle w:val="Normal"/>
              <w:spacing w:lineRule="auto" w:line="360" w:before="0" w:after="0"/>
              <w:contextualSpacing/>
              <w:jc w:val="both"/>
              <w:rPr>
                <w:rFonts w:ascii="Arial" w:hAnsi="Arial" w:cs="Arial"/>
              </w:rPr>
            </w:pPr>
            <w:r>
              <w:rPr>
                <w:rFonts w:cs="Arial" w:ascii="Arial" w:hAnsi="Arial"/>
              </w:rPr>
              <w:t>71</w:t>
            </w:r>
          </w:p>
        </w:tc>
      </w:tr>
      <w:tr>
        <w:trPr/>
        <w:tc>
          <w:tcPr>
            <w:tcW w:w="645" w:type="dxa"/>
            <w:tcBorders/>
            <w:shd w:fill="auto" w:val="clear"/>
            <w:tcMar>
              <w:left w:w="108" w:type="dxa"/>
            </w:tcMar>
          </w:tcPr>
          <w:p>
            <w:pPr>
              <w:pStyle w:val="Normal"/>
              <w:spacing w:lineRule="auto" w:line="360" w:before="0" w:after="0"/>
              <w:contextualSpacing/>
              <w:jc w:val="both"/>
              <w:rPr>
                <w:rFonts w:ascii="Arial" w:hAnsi="Arial" w:cs="Arial"/>
                <w:b/>
                <w:b/>
              </w:rPr>
            </w:pPr>
            <w:r>
              <w:rPr>
                <w:rFonts w:cs="Arial" w:ascii="Arial" w:hAnsi="Arial"/>
                <w:b/>
              </w:rPr>
              <w:t>13.</w:t>
            </w:r>
          </w:p>
        </w:tc>
        <w:tc>
          <w:tcPr>
            <w:tcW w:w="7335" w:type="dxa"/>
            <w:tcBorders/>
            <w:shd w:fill="auto" w:val="clear"/>
            <w:tcMar>
              <w:left w:w="108" w:type="dxa"/>
            </w:tcMar>
          </w:tcPr>
          <w:p>
            <w:pPr>
              <w:pStyle w:val="Normal"/>
              <w:spacing w:lineRule="auto" w:line="360" w:before="0" w:after="0"/>
              <w:contextualSpacing/>
              <w:jc w:val="both"/>
              <w:rPr>
                <w:rFonts w:ascii="Arial" w:hAnsi="Arial" w:cs="Arial"/>
                <w:b/>
                <w:b/>
              </w:rPr>
            </w:pPr>
            <w:r>
              <w:rPr>
                <w:rFonts w:cs="Arial" w:ascii="Arial" w:hAnsi="Arial"/>
                <w:b/>
              </w:rPr>
              <w:t>Infraestrutura</w:t>
            </w:r>
          </w:p>
          <w:p>
            <w:pPr>
              <w:pStyle w:val="Normal"/>
              <w:spacing w:lineRule="auto" w:line="360" w:before="0" w:after="0"/>
              <w:contextualSpacing/>
              <w:jc w:val="both"/>
              <w:rPr>
                <w:rFonts w:ascii="Arial" w:hAnsi="Arial" w:cs="Arial"/>
              </w:rPr>
            </w:pPr>
            <w:r>
              <w:rPr>
                <w:rFonts w:cs="Arial" w:ascii="Arial" w:hAnsi="Arial"/>
              </w:rPr>
              <w:t>13.1. Espaços do Curso de História da UFVJM</w:t>
            </w:r>
          </w:p>
          <w:p>
            <w:pPr>
              <w:pStyle w:val="Normal"/>
              <w:spacing w:lineRule="auto" w:line="360" w:before="0" w:after="0"/>
              <w:contextualSpacing/>
              <w:jc w:val="both"/>
              <w:rPr>
                <w:rFonts w:ascii="Arial" w:hAnsi="Arial" w:cs="Arial"/>
              </w:rPr>
            </w:pPr>
            <w:r>
              <w:rPr>
                <w:rFonts w:cs="Arial" w:ascii="Arial" w:hAnsi="Arial"/>
              </w:rPr>
              <w:t>13.2- Atividades Realizadas pelo Curso</w:t>
            </w:r>
          </w:p>
          <w:p>
            <w:pPr>
              <w:pStyle w:val="Normal"/>
              <w:spacing w:lineRule="auto" w:line="360" w:before="0" w:after="0"/>
              <w:contextualSpacing/>
              <w:jc w:val="both"/>
              <w:rPr>
                <w:rFonts w:ascii="Arial" w:hAnsi="Arial" w:cs="Arial"/>
              </w:rPr>
            </w:pPr>
            <w:r>
              <w:rPr>
                <w:rFonts w:cs="Arial" w:ascii="Arial" w:hAnsi="Arial"/>
              </w:rPr>
              <w:t>13.3- Corpo Docente</w:t>
            </w:r>
          </w:p>
        </w:tc>
        <w:tc>
          <w:tcPr>
            <w:tcW w:w="524" w:type="dxa"/>
            <w:tcBorders/>
            <w:shd w:fill="auto" w:val="clear"/>
            <w:tcMar>
              <w:left w:w="108" w:type="dxa"/>
            </w:tcMar>
          </w:tcPr>
          <w:p>
            <w:pPr>
              <w:pStyle w:val="Normal"/>
              <w:spacing w:lineRule="auto" w:line="360" w:before="0" w:after="0"/>
              <w:contextualSpacing/>
              <w:jc w:val="both"/>
              <w:rPr>
                <w:rFonts w:ascii="Arial" w:hAnsi="Arial" w:cs="Arial"/>
              </w:rPr>
            </w:pPr>
            <w:r>
              <w:rPr>
                <w:rFonts w:cs="Arial" w:ascii="Arial" w:hAnsi="Arial"/>
              </w:rPr>
              <w:t>73</w:t>
            </w:r>
          </w:p>
          <w:p>
            <w:pPr>
              <w:pStyle w:val="Normal"/>
              <w:spacing w:lineRule="auto" w:line="360" w:before="0" w:after="0"/>
              <w:contextualSpacing/>
              <w:jc w:val="both"/>
              <w:rPr>
                <w:rFonts w:ascii="Arial" w:hAnsi="Arial" w:cs="Arial"/>
              </w:rPr>
            </w:pPr>
            <w:r>
              <w:rPr>
                <w:rFonts w:cs="Arial" w:ascii="Arial" w:hAnsi="Arial"/>
              </w:rPr>
              <w:t>73</w:t>
            </w:r>
          </w:p>
          <w:p>
            <w:pPr>
              <w:pStyle w:val="Normal"/>
              <w:spacing w:lineRule="auto" w:line="360" w:before="0" w:after="0"/>
              <w:contextualSpacing/>
              <w:jc w:val="both"/>
              <w:rPr>
                <w:rFonts w:ascii="Arial" w:hAnsi="Arial" w:cs="Arial"/>
              </w:rPr>
            </w:pPr>
            <w:r>
              <w:rPr>
                <w:rFonts w:cs="Arial" w:ascii="Arial" w:hAnsi="Arial"/>
              </w:rPr>
              <w:t>73</w:t>
            </w:r>
          </w:p>
          <w:p>
            <w:pPr>
              <w:pStyle w:val="Normal"/>
              <w:spacing w:lineRule="auto" w:line="360" w:before="0" w:after="0"/>
              <w:contextualSpacing/>
              <w:jc w:val="both"/>
              <w:rPr>
                <w:rFonts w:ascii="Arial" w:hAnsi="Arial" w:cs="Arial"/>
              </w:rPr>
            </w:pPr>
            <w:r>
              <w:rPr>
                <w:rFonts w:cs="Arial" w:ascii="Arial" w:hAnsi="Arial"/>
              </w:rPr>
              <w:t>74</w:t>
            </w:r>
          </w:p>
        </w:tc>
      </w:tr>
      <w:tr>
        <w:trPr/>
        <w:tc>
          <w:tcPr>
            <w:tcW w:w="64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bCs/>
                <w:lang w:eastAsia="ar-SA"/>
              </w:rPr>
            </w:pPr>
            <w:r>
              <w:rPr>
                <w:rFonts w:eastAsia="Times New Roman" w:cs="Arial" w:ascii="Arial" w:hAnsi="Arial"/>
                <w:b/>
                <w:bCs/>
                <w:lang w:eastAsia="ar-SA"/>
              </w:rPr>
              <w:t>14.</w:t>
            </w:r>
          </w:p>
        </w:tc>
        <w:tc>
          <w:tcPr>
            <w:tcW w:w="733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b/>
                <w:bCs/>
                <w:lang w:eastAsia="ar-SA"/>
              </w:rPr>
              <w:t>Referências</w:t>
            </w:r>
          </w:p>
        </w:tc>
        <w:tc>
          <w:tcPr>
            <w:tcW w:w="524"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t>76</w:t>
            </w:r>
          </w:p>
        </w:tc>
      </w:tr>
      <w:tr>
        <w:trPr/>
        <w:tc>
          <w:tcPr>
            <w:tcW w:w="64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bCs/>
                <w:lang w:eastAsia="ar-SA"/>
              </w:rPr>
            </w:pPr>
            <w:r>
              <w:rPr>
                <w:rFonts w:eastAsia="Times New Roman" w:cs="Arial" w:ascii="Arial" w:hAnsi="Arial"/>
                <w:b/>
                <w:bCs/>
                <w:lang w:eastAsia="ar-SA"/>
              </w:rPr>
            </w:r>
          </w:p>
        </w:tc>
        <w:tc>
          <w:tcPr>
            <w:tcW w:w="7335"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b/>
                <w:b/>
                <w:bCs/>
                <w:lang w:eastAsia="ar-SA"/>
              </w:rPr>
            </w:pPr>
            <w:r>
              <w:rPr>
                <w:rFonts w:eastAsia="Times New Roman" w:cs="Arial" w:ascii="Arial" w:hAnsi="Arial"/>
                <w:b/>
                <w:bCs/>
                <w:lang w:eastAsia="ar-SA"/>
              </w:rPr>
              <w:t>Anexos</w:t>
            </w:r>
          </w:p>
        </w:tc>
        <w:tc>
          <w:tcPr>
            <w:tcW w:w="524" w:type="dxa"/>
            <w:tcBorders/>
            <w:shd w:fill="auto" w:val="clear"/>
            <w:tcMar>
              <w:left w:w="108" w:type="dxa"/>
            </w:tcMar>
          </w:tcPr>
          <w:p>
            <w:pPr>
              <w:pStyle w:val="Normal"/>
              <w:suppressLineNumbers/>
              <w:suppressAutoHyphens w:val="true"/>
              <w:snapToGrid w:val="false"/>
              <w:spacing w:lineRule="auto" w:line="360" w:before="0" w:after="0"/>
              <w:contextualSpacing/>
              <w:jc w:val="both"/>
              <w:rPr>
                <w:rFonts w:ascii="Arial" w:hAnsi="Arial" w:eastAsia="Times New Roman" w:cs="Arial"/>
                <w:lang w:eastAsia="ar-SA"/>
              </w:rPr>
            </w:pPr>
            <w:r>
              <w:rPr>
                <w:rFonts w:eastAsia="Times New Roman" w:cs="Arial" w:ascii="Arial" w:hAnsi="Arial"/>
                <w:lang w:eastAsia="ar-SA"/>
              </w:rPr>
            </w:r>
          </w:p>
        </w:tc>
      </w:tr>
    </w:tbl>
    <w:p>
      <w:pPr>
        <w:pStyle w:val="Normal"/>
        <w:suppressAutoHyphens w:val="true"/>
        <w:spacing w:lineRule="auto" w:line="360" w:before="144" w:after="144"/>
        <w:jc w:val="both"/>
        <w:rPr>
          <w:rFonts w:ascii="Arial" w:hAnsi="Arial" w:eastAsia="Times New Roman" w:cs="Arial"/>
          <w:b/>
          <w:b/>
          <w:bCs/>
          <w:sz w:val="24"/>
          <w:szCs w:val="28"/>
          <w:lang w:eastAsia="ar-SA"/>
        </w:rPr>
      </w:pPr>
      <w:r>
        <w:rPr>
          <w:rFonts w:eastAsia="Times New Roman" w:cs="Arial" w:ascii="Arial" w:hAnsi="Arial"/>
          <w:b/>
          <w:bCs/>
          <w:sz w:val="24"/>
          <w:szCs w:val="28"/>
          <w:lang w:eastAsia="ar-SA"/>
        </w:rPr>
      </w:r>
    </w:p>
    <w:p>
      <w:pPr>
        <w:pStyle w:val="Normal"/>
        <w:suppressAutoHyphens w:val="true"/>
        <w:spacing w:lineRule="auto" w:line="360" w:before="144" w:after="144"/>
        <w:jc w:val="both"/>
        <w:rPr>
          <w:rFonts w:ascii="Arial" w:hAnsi="Arial" w:eastAsia="Times New Roman" w:cs="Arial"/>
          <w:b/>
          <w:b/>
          <w:bCs/>
          <w:sz w:val="24"/>
          <w:szCs w:val="28"/>
          <w:lang w:eastAsia="ar-SA"/>
        </w:rPr>
      </w:pPr>
      <w:r>
        <w:rPr>
          <w:rFonts w:eastAsia="Times New Roman" w:cs="Arial" w:ascii="Arial" w:hAnsi="Arial"/>
          <w:b/>
          <w:bCs/>
          <w:sz w:val="24"/>
          <w:szCs w:val="28"/>
          <w:lang w:eastAsia="ar-SA"/>
        </w:rPr>
      </w:r>
    </w:p>
    <w:p>
      <w:pPr>
        <w:pStyle w:val="Normal"/>
        <w:suppressAutoHyphens w:val="true"/>
        <w:spacing w:lineRule="auto" w:line="360" w:before="144" w:after="144"/>
        <w:jc w:val="both"/>
        <w:rPr>
          <w:rFonts w:ascii="Arial" w:hAnsi="Arial" w:eastAsia="Times New Roman" w:cs="Arial"/>
          <w:b/>
          <w:b/>
          <w:bCs/>
          <w:sz w:val="24"/>
          <w:szCs w:val="28"/>
          <w:lang w:eastAsia="ar-SA"/>
        </w:rPr>
      </w:pPr>
      <w:r>
        <w:rPr>
          <w:rFonts w:eastAsia="Times New Roman" w:cs="Arial" w:ascii="Arial" w:hAnsi="Arial"/>
          <w:b/>
          <w:bCs/>
          <w:sz w:val="24"/>
          <w:szCs w:val="28"/>
          <w:lang w:eastAsia="ar-SA"/>
        </w:rPr>
      </w:r>
    </w:p>
    <w:p>
      <w:pPr>
        <w:pStyle w:val="Normal"/>
        <w:suppressAutoHyphens w:val="true"/>
        <w:spacing w:lineRule="auto" w:line="360" w:before="144" w:after="144"/>
        <w:jc w:val="both"/>
        <w:rPr>
          <w:rFonts w:ascii="Arial" w:hAnsi="Arial" w:eastAsia="Times New Roman" w:cs="Arial"/>
          <w:b/>
          <w:b/>
          <w:bCs/>
          <w:sz w:val="24"/>
          <w:szCs w:val="28"/>
          <w:lang w:eastAsia="ar-SA"/>
        </w:rPr>
      </w:pPr>
      <w:r>
        <w:rPr>
          <w:rFonts w:eastAsia="Times New Roman" w:cs="Arial" w:ascii="Arial" w:hAnsi="Arial"/>
          <w:b/>
          <w:bCs/>
          <w:sz w:val="24"/>
          <w:szCs w:val="28"/>
          <w:lang w:eastAsia="ar-SA"/>
        </w:rPr>
      </w:r>
    </w:p>
    <w:p>
      <w:pPr>
        <w:pStyle w:val="Normal"/>
        <w:suppressAutoHyphens w:val="true"/>
        <w:spacing w:lineRule="auto" w:line="360" w:before="144" w:after="144"/>
        <w:jc w:val="both"/>
        <w:rPr>
          <w:rFonts w:ascii="Arial" w:hAnsi="Arial" w:eastAsia="Times New Roman" w:cs="Arial"/>
          <w:b/>
          <w:b/>
          <w:bCs/>
          <w:sz w:val="24"/>
          <w:szCs w:val="28"/>
          <w:lang w:eastAsia="ar-SA"/>
        </w:rPr>
      </w:pPr>
      <w:r>
        <w:rPr>
          <w:rFonts w:eastAsia="Times New Roman" w:cs="Arial" w:ascii="Arial" w:hAnsi="Arial"/>
          <w:b/>
          <w:bCs/>
          <w:sz w:val="24"/>
          <w:szCs w:val="28"/>
          <w:lang w:eastAsia="ar-SA"/>
        </w:rPr>
      </w:r>
    </w:p>
    <w:p>
      <w:pPr>
        <w:pStyle w:val="Normal"/>
        <w:suppressAutoHyphens w:val="true"/>
        <w:spacing w:lineRule="auto" w:line="360" w:before="144" w:after="144"/>
        <w:jc w:val="both"/>
        <w:rPr>
          <w:rFonts w:ascii="Arial" w:hAnsi="Arial" w:eastAsia="Times New Roman" w:cs="Arial"/>
          <w:b/>
          <w:b/>
          <w:bCs/>
          <w:sz w:val="24"/>
          <w:szCs w:val="28"/>
          <w:lang w:eastAsia="ar-SA"/>
        </w:rPr>
      </w:pPr>
      <w:r>
        <w:rPr>
          <w:rFonts w:eastAsia="Times New Roman" w:cs="Arial" w:ascii="Arial" w:hAnsi="Arial"/>
          <w:b/>
          <w:bCs/>
          <w:sz w:val="24"/>
          <w:szCs w:val="28"/>
          <w:lang w:eastAsia="ar-SA"/>
        </w:rPr>
      </w:r>
    </w:p>
    <w:p>
      <w:pPr>
        <w:pStyle w:val="Normal"/>
        <w:suppressAutoHyphens w:val="true"/>
        <w:spacing w:lineRule="auto" w:line="360" w:before="144" w:after="144"/>
        <w:jc w:val="both"/>
        <w:rPr>
          <w:rFonts w:ascii="Arial" w:hAnsi="Arial" w:eastAsia="Times New Roman" w:cs="Arial"/>
          <w:b/>
          <w:b/>
          <w:bCs/>
          <w:sz w:val="24"/>
          <w:szCs w:val="28"/>
          <w:lang w:eastAsia="ar-SA"/>
        </w:rPr>
      </w:pPr>
      <w:r>
        <w:rPr>
          <w:rFonts w:eastAsia="Times New Roman" w:cs="Arial" w:ascii="Arial" w:hAnsi="Arial"/>
          <w:b/>
          <w:bCs/>
          <w:sz w:val="24"/>
          <w:szCs w:val="28"/>
          <w:lang w:eastAsia="ar-SA"/>
        </w:rPr>
      </w:r>
    </w:p>
    <w:p>
      <w:pPr>
        <w:pStyle w:val="Normal"/>
        <w:suppressAutoHyphens w:val="true"/>
        <w:spacing w:lineRule="auto" w:line="360" w:before="144" w:after="144"/>
        <w:jc w:val="both"/>
        <w:rPr>
          <w:rFonts w:ascii="Arial" w:hAnsi="Arial" w:eastAsia="Times New Roman" w:cs="Arial"/>
          <w:b/>
          <w:b/>
          <w:bCs/>
          <w:sz w:val="24"/>
          <w:szCs w:val="28"/>
          <w:lang w:eastAsia="ar-SA"/>
        </w:rPr>
      </w:pPr>
      <w:r>
        <w:rPr>
          <w:rFonts w:eastAsia="Times New Roman" w:cs="Arial" w:ascii="Arial" w:hAnsi="Arial"/>
          <w:b/>
          <w:bCs/>
          <w:sz w:val="24"/>
          <w:szCs w:val="28"/>
          <w:lang w:eastAsia="ar-SA"/>
        </w:rPr>
      </w:r>
    </w:p>
    <w:p>
      <w:pPr>
        <w:pStyle w:val="Normal"/>
        <w:suppressAutoHyphens w:val="true"/>
        <w:spacing w:lineRule="auto" w:line="360" w:before="144" w:after="144"/>
        <w:jc w:val="both"/>
        <w:rPr>
          <w:rFonts w:ascii="Arial" w:hAnsi="Arial" w:eastAsia="Times New Roman" w:cs="Arial"/>
          <w:b/>
          <w:b/>
          <w:bCs/>
          <w:sz w:val="24"/>
          <w:szCs w:val="28"/>
          <w:lang w:eastAsia="ar-SA"/>
        </w:rPr>
      </w:pPr>
      <w:r>
        <w:rPr>
          <w:rFonts w:eastAsia="Times New Roman" w:cs="Arial" w:ascii="Arial" w:hAnsi="Arial"/>
          <w:b/>
          <w:bCs/>
          <w:sz w:val="24"/>
          <w:szCs w:val="28"/>
          <w:lang w:eastAsia="ar-SA"/>
        </w:rPr>
      </w:r>
    </w:p>
    <w:p>
      <w:pPr>
        <w:pStyle w:val="Normal"/>
        <w:suppressAutoHyphens w:val="true"/>
        <w:spacing w:lineRule="auto" w:line="360" w:before="144" w:after="144"/>
        <w:jc w:val="both"/>
        <w:rPr>
          <w:rFonts w:ascii="Arial" w:hAnsi="Arial" w:eastAsia="Times New Roman" w:cs="Arial"/>
          <w:b/>
          <w:b/>
          <w:bCs/>
          <w:sz w:val="24"/>
          <w:szCs w:val="28"/>
          <w:lang w:eastAsia="ar-SA"/>
        </w:rPr>
      </w:pPr>
      <w:r>
        <w:rPr>
          <w:rFonts w:eastAsia="Times New Roman" w:cs="Arial" w:ascii="Arial" w:hAnsi="Arial"/>
          <w:b/>
          <w:bCs/>
          <w:sz w:val="24"/>
          <w:szCs w:val="28"/>
          <w:lang w:eastAsia="ar-SA"/>
        </w:rPr>
      </w:r>
    </w:p>
    <w:p>
      <w:pPr>
        <w:pStyle w:val="Normal"/>
        <w:suppressAutoHyphens w:val="true"/>
        <w:spacing w:lineRule="auto" w:line="360" w:before="144" w:after="144"/>
        <w:jc w:val="both"/>
        <w:rPr>
          <w:rFonts w:ascii="Arial" w:hAnsi="Arial" w:eastAsia="Times New Roman" w:cs="Arial"/>
          <w:b/>
          <w:b/>
          <w:bCs/>
          <w:sz w:val="24"/>
          <w:szCs w:val="28"/>
          <w:lang w:eastAsia="ar-SA"/>
        </w:rPr>
      </w:pPr>
      <w:r>
        <w:rPr>
          <w:rFonts w:eastAsia="Times New Roman" w:cs="Arial" w:ascii="Arial" w:hAnsi="Arial"/>
          <w:b/>
          <w:bCs/>
          <w:sz w:val="24"/>
          <w:szCs w:val="28"/>
          <w:lang w:eastAsia="ar-SA"/>
        </w:rPr>
      </w:r>
    </w:p>
    <w:p>
      <w:pPr>
        <w:pStyle w:val="Normal"/>
        <w:suppressAutoHyphens w:val="true"/>
        <w:spacing w:lineRule="auto" w:line="360" w:before="144" w:after="144"/>
        <w:jc w:val="both"/>
        <w:rPr>
          <w:rFonts w:ascii="Arial" w:hAnsi="Arial" w:eastAsia="Times New Roman" w:cs="Arial"/>
          <w:b/>
          <w:b/>
          <w:bCs/>
          <w:sz w:val="24"/>
          <w:szCs w:val="28"/>
          <w:lang w:eastAsia="ar-SA"/>
        </w:rPr>
      </w:pPr>
      <w:r>
        <w:rPr>
          <w:rFonts w:eastAsia="Times New Roman" w:cs="Arial" w:ascii="Arial" w:hAnsi="Arial"/>
          <w:b/>
          <w:bCs/>
          <w:sz w:val="24"/>
          <w:szCs w:val="28"/>
          <w:lang w:eastAsia="ar-SA"/>
        </w:rPr>
      </w:r>
    </w:p>
    <w:p>
      <w:pPr>
        <w:pStyle w:val="Normal"/>
        <w:suppressAutoHyphens w:val="true"/>
        <w:spacing w:lineRule="auto" w:line="360" w:before="144" w:after="144"/>
        <w:jc w:val="both"/>
        <w:rPr>
          <w:rFonts w:ascii="Arial" w:hAnsi="Arial" w:eastAsia="Times New Roman" w:cs="Arial"/>
          <w:b/>
          <w:b/>
          <w:bCs/>
          <w:sz w:val="24"/>
          <w:szCs w:val="28"/>
          <w:lang w:eastAsia="ar-SA"/>
        </w:rPr>
      </w:pPr>
      <w:r>
        <w:rPr>
          <w:rFonts w:eastAsia="Times New Roman" w:cs="Arial" w:ascii="Arial" w:hAnsi="Arial"/>
          <w:b/>
          <w:bCs/>
          <w:sz w:val="24"/>
          <w:szCs w:val="28"/>
          <w:lang w:eastAsia="ar-SA"/>
        </w:rPr>
      </w:r>
    </w:p>
    <w:p>
      <w:pPr>
        <w:pStyle w:val="Normal"/>
        <w:suppressAutoHyphens w:val="true"/>
        <w:spacing w:lineRule="auto" w:line="360" w:before="144" w:after="144"/>
        <w:jc w:val="both"/>
        <w:rPr>
          <w:rFonts w:ascii="Arial" w:hAnsi="Arial" w:eastAsia="Times New Roman" w:cs="Arial"/>
          <w:b/>
          <w:b/>
          <w:bCs/>
          <w:sz w:val="24"/>
          <w:szCs w:val="28"/>
          <w:lang w:eastAsia="ar-SA"/>
        </w:rPr>
      </w:pPr>
      <w:r>
        <w:rPr>
          <w:rFonts w:eastAsia="Times New Roman" w:cs="Arial" w:ascii="Arial" w:hAnsi="Arial"/>
          <w:b/>
          <w:bCs/>
          <w:sz w:val="24"/>
          <w:szCs w:val="28"/>
          <w:lang w:eastAsia="ar-SA"/>
        </w:rPr>
        <w:t>1. CARACTERIZAÇÃO DO CURSO</w:t>
      </w:r>
    </w:p>
    <w:tbl>
      <w:tblPr>
        <w:tblW w:w="9073" w:type="dxa"/>
        <w:jc w:val="left"/>
        <w:tblInd w:w="-28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0" w:type="dxa"/>
          <w:bottom w:w="0" w:type="dxa"/>
          <w:right w:w="70" w:type="dxa"/>
        </w:tblCellMar>
        <w:tblLook w:firstRow="0" w:noVBand="0" w:lastRow="0" w:firstColumn="0" w:lastColumn="0" w:noHBand="0" w:val="0000"/>
      </w:tblPr>
      <w:tblGrid>
        <w:gridCol w:w="2273"/>
        <w:gridCol w:w="994"/>
        <w:gridCol w:w="5806"/>
      </w:tblGrid>
      <w:tr>
        <w:trPr>
          <w:trHeight w:val="361" w:hRule="atLeast"/>
        </w:trPr>
        <w:tc>
          <w:tcPr>
            <w:tcW w:w="9073"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70" w:type="dxa"/>
            </w:tcMar>
            <w:vAlign w:val="center"/>
          </w:tcPr>
          <w:p>
            <w:pPr>
              <w:pStyle w:val="Normal"/>
              <w:suppressAutoHyphens w:val="true"/>
              <w:spacing w:lineRule="auto" w:line="240" w:before="0" w:after="0"/>
              <w:rPr>
                <w:rFonts w:ascii="Arial" w:hAnsi="Arial" w:eastAsia="Times New Roman" w:cs="Arial"/>
                <w:b/>
                <w:b/>
                <w:sz w:val="18"/>
                <w:szCs w:val="20"/>
                <w:lang w:eastAsia="ar-SA"/>
              </w:rPr>
            </w:pPr>
            <w:r>
              <w:rPr>
                <w:rFonts w:eastAsia="Times New Roman" w:cs="Arial" w:ascii="Arial" w:hAnsi="Arial"/>
                <w:b/>
                <w:sz w:val="18"/>
                <w:szCs w:val="20"/>
                <w:lang w:eastAsia="ar-SA"/>
              </w:rPr>
              <w:t>DADOS DA INSTITUIÇÃO</w:t>
            </w:r>
          </w:p>
        </w:tc>
      </w:tr>
      <w:tr>
        <w:trPr>
          <w:trHeight w:val="543" w:hRule="atLeast"/>
        </w:trPr>
        <w:tc>
          <w:tcPr>
            <w:tcW w:w="3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b/>
                <w:b/>
                <w:sz w:val="18"/>
                <w:szCs w:val="20"/>
                <w:lang w:eastAsia="ar-SA"/>
              </w:rPr>
            </w:pPr>
            <w:r>
              <w:rPr>
                <w:rFonts w:eastAsia="Times New Roman" w:cs="Arial" w:ascii="Arial" w:hAnsi="Arial"/>
                <w:b/>
                <w:sz w:val="18"/>
                <w:szCs w:val="20"/>
                <w:lang w:eastAsia="ar-SA"/>
              </w:rPr>
              <w:t>Instituição</w:t>
            </w:r>
          </w:p>
        </w:tc>
        <w:tc>
          <w:tcPr>
            <w:tcW w:w="58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sz w:val="18"/>
                <w:szCs w:val="18"/>
                <w:lang w:eastAsia="ar-SA"/>
              </w:rPr>
            </w:pPr>
            <w:r>
              <w:rPr>
                <w:rFonts w:eastAsia="Times New Roman" w:cs="Arial" w:ascii="Arial" w:hAnsi="Arial"/>
                <w:sz w:val="18"/>
                <w:szCs w:val="18"/>
                <w:lang w:eastAsia="ar-SA"/>
              </w:rPr>
              <w:t>UFVJM – Universidade Federal dos Vales do Jequitinhonha e Mucuri</w:t>
            </w:r>
          </w:p>
        </w:tc>
      </w:tr>
      <w:tr>
        <w:trPr>
          <w:trHeight w:val="578" w:hRule="atLeast"/>
        </w:trPr>
        <w:tc>
          <w:tcPr>
            <w:tcW w:w="3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b/>
                <w:b/>
                <w:sz w:val="18"/>
                <w:szCs w:val="20"/>
                <w:lang w:eastAsia="ar-SA"/>
              </w:rPr>
            </w:pPr>
            <w:r>
              <w:rPr>
                <w:rFonts w:eastAsia="Times New Roman" w:cs="Arial" w:ascii="Arial" w:hAnsi="Arial"/>
                <w:b/>
                <w:sz w:val="18"/>
                <w:szCs w:val="20"/>
                <w:lang w:eastAsia="ar-SA"/>
              </w:rPr>
              <w:t>Endereço</w:t>
            </w:r>
          </w:p>
        </w:tc>
        <w:tc>
          <w:tcPr>
            <w:tcW w:w="58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sz w:val="18"/>
                <w:szCs w:val="18"/>
                <w:lang w:eastAsia="ar-SA"/>
              </w:rPr>
            </w:pPr>
            <w:r>
              <w:rPr>
                <w:rFonts w:eastAsia="Times New Roman" w:cs="Arial" w:ascii="Arial" w:hAnsi="Arial"/>
                <w:sz w:val="18"/>
                <w:szCs w:val="18"/>
                <w:lang w:eastAsia="ar-SA"/>
              </w:rPr>
              <w:t>Campus JK – Rod. MGT 367, KM 583, no. 5000 – Alto da Jacuba</w:t>
            </w:r>
          </w:p>
        </w:tc>
      </w:tr>
      <w:tr>
        <w:trPr>
          <w:trHeight w:val="402" w:hRule="atLeast"/>
        </w:trPr>
        <w:tc>
          <w:tcPr>
            <w:tcW w:w="3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sz w:val="18"/>
                <w:szCs w:val="20"/>
                <w:lang w:eastAsia="ar-SA"/>
              </w:rPr>
            </w:pPr>
            <w:r>
              <w:rPr>
                <w:rFonts w:cs="Arial" w:ascii="Arial" w:hAnsi="Arial"/>
                <w:b/>
                <w:bCs/>
                <w:sz w:val="18"/>
                <w:szCs w:val="20"/>
              </w:rPr>
              <w:t>CEP/Cidade</w:t>
            </w:r>
          </w:p>
        </w:tc>
        <w:tc>
          <w:tcPr>
            <w:tcW w:w="58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sz w:val="18"/>
                <w:szCs w:val="18"/>
                <w:lang w:eastAsia="ar-SA"/>
              </w:rPr>
            </w:pPr>
            <w:r>
              <w:rPr>
                <w:rFonts w:cs="Arial" w:ascii="Arial" w:hAnsi="Arial"/>
                <w:sz w:val="18"/>
                <w:szCs w:val="18"/>
              </w:rPr>
              <w:t>39100-000 / Diamantina (MG)</w:t>
            </w:r>
          </w:p>
        </w:tc>
      </w:tr>
      <w:tr>
        <w:trPr>
          <w:trHeight w:val="422" w:hRule="atLeast"/>
        </w:trPr>
        <w:tc>
          <w:tcPr>
            <w:tcW w:w="3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sz w:val="18"/>
                <w:szCs w:val="20"/>
                <w:lang w:eastAsia="ar-SA"/>
              </w:rPr>
            </w:pPr>
            <w:r>
              <w:rPr>
                <w:rFonts w:cs="Arial" w:ascii="Arial" w:hAnsi="Arial"/>
                <w:b/>
                <w:bCs/>
                <w:sz w:val="18"/>
                <w:szCs w:val="20"/>
              </w:rPr>
              <w:t>Código da IES no INEP</w:t>
            </w:r>
          </w:p>
        </w:tc>
        <w:tc>
          <w:tcPr>
            <w:tcW w:w="58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sz w:val="18"/>
                <w:szCs w:val="18"/>
                <w:lang w:eastAsia="ar-SA"/>
              </w:rPr>
            </w:pPr>
            <w:r>
              <w:rPr>
                <w:rFonts w:eastAsia="Times New Roman" w:cs="Arial" w:ascii="Arial" w:hAnsi="Arial"/>
                <w:sz w:val="18"/>
                <w:szCs w:val="18"/>
                <w:lang w:eastAsia="ar-SA"/>
              </w:rPr>
              <w:t>596</w:t>
            </w:r>
          </w:p>
        </w:tc>
      </w:tr>
      <w:tr>
        <w:trPr>
          <w:trHeight w:val="375" w:hRule="atLeast"/>
        </w:trPr>
        <w:tc>
          <w:tcPr>
            <w:tcW w:w="9073"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70" w:type="dxa"/>
            </w:tcMar>
            <w:vAlign w:val="center"/>
          </w:tcPr>
          <w:p>
            <w:pPr>
              <w:pStyle w:val="Normal"/>
              <w:suppressAutoHyphens w:val="true"/>
              <w:spacing w:lineRule="auto" w:line="240" w:before="0" w:after="0"/>
              <w:ind w:left="81" w:hanging="0"/>
              <w:rPr>
                <w:rFonts w:ascii="Arial" w:hAnsi="Arial" w:eastAsia="Times New Roman" w:cs="Arial"/>
                <w:b/>
                <w:b/>
                <w:sz w:val="18"/>
                <w:szCs w:val="20"/>
                <w:lang w:eastAsia="ar-SA"/>
              </w:rPr>
            </w:pPr>
            <w:r>
              <w:rPr>
                <w:rFonts w:eastAsia="Times New Roman" w:cs="Arial" w:ascii="Arial" w:hAnsi="Arial"/>
                <w:b/>
                <w:sz w:val="18"/>
                <w:szCs w:val="20"/>
                <w:lang w:eastAsia="ar-SA"/>
              </w:rPr>
              <w:t>DADOS DO CURSO</w:t>
            </w:r>
          </w:p>
        </w:tc>
      </w:tr>
      <w:tr>
        <w:trPr>
          <w:trHeight w:val="421" w:hRule="atLeast"/>
        </w:trPr>
        <w:tc>
          <w:tcPr>
            <w:tcW w:w="3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sz w:val="18"/>
                <w:szCs w:val="20"/>
                <w:lang w:eastAsia="ar-SA"/>
              </w:rPr>
            </w:pPr>
            <w:r>
              <w:rPr>
                <w:rFonts w:cs="Arial" w:ascii="Arial" w:hAnsi="Arial"/>
                <w:b/>
                <w:bCs/>
                <w:sz w:val="18"/>
                <w:szCs w:val="20"/>
              </w:rPr>
              <w:t>Curso de Graduação</w:t>
            </w:r>
          </w:p>
        </w:tc>
        <w:tc>
          <w:tcPr>
            <w:tcW w:w="58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6" w:hanging="0"/>
              <w:rPr>
                <w:rFonts w:ascii="Arial" w:hAnsi="Arial" w:eastAsia="Times New Roman" w:cs="Arial"/>
                <w:sz w:val="18"/>
                <w:szCs w:val="18"/>
                <w:lang w:eastAsia="ar-SA"/>
              </w:rPr>
            </w:pPr>
            <w:r>
              <w:rPr>
                <w:rFonts w:eastAsia="Times New Roman" w:cs="Arial" w:ascii="Arial" w:hAnsi="Arial"/>
                <w:sz w:val="18"/>
                <w:szCs w:val="18"/>
                <w:lang w:eastAsia="ar-SA"/>
              </w:rPr>
              <w:t>História</w:t>
            </w:r>
          </w:p>
        </w:tc>
      </w:tr>
      <w:tr>
        <w:trPr>
          <w:trHeight w:val="399" w:hRule="atLeast"/>
        </w:trPr>
        <w:tc>
          <w:tcPr>
            <w:tcW w:w="3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sz w:val="18"/>
                <w:szCs w:val="20"/>
                <w:lang w:eastAsia="ar-SA"/>
              </w:rPr>
            </w:pPr>
            <w:r>
              <w:rPr>
                <w:rFonts w:cs="Arial" w:ascii="Arial" w:hAnsi="Arial"/>
                <w:b/>
                <w:bCs/>
                <w:sz w:val="18"/>
                <w:szCs w:val="20"/>
              </w:rPr>
              <w:t>Área de conhecimento</w:t>
            </w:r>
          </w:p>
        </w:tc>
        <w:tc>
          <w:tcPr>
            <w:tcW w:w="58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6" w:hanging="0"/>
              <w:rPr>
                <w:rFonts w:ascii="Arial" w:hAnsi="Arial" w:eastAsia="Times New Roman" w:cs="Arial"/>
                <w:sz w:val="18"/>
                <w:szCs w:val="18"/>
                <w:lang w:eastAsia="ar-SA"/>
              </w:rPr>
            </w:pPr>
            <w:r>
              <w:rPr>
                <w:rFonts w:eastAsia="Times New Roman" w:cs="Arial" w:ascii="Arial" w:hAnsi="Arial"/>
                <w:sz w:val="18"/>
                <w:szCs w:val="18"/>
                <w:lang w:eastAsia="ar-SA"/>
              </w:rPr>
              <w:t>Ciências Humanas</w:t>
            </w:r>
          </w:p>
        </w:tc>
      </w:tr>
      <w:tr>
        <w:trPr>
          <w:trHeight w:val="434" w:hRule="atLeast"/>
        </w:trPr>
        <w:tc>
          <w:tcPr>
            <w:tcW w:w="3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b/>
                <w:b/>
                <w:sz w:val="18"/>
                <w:szCs w:val="20"/>
                <w:lang w:eastAsia="ar-SA"/>
              </w:rPr>
            </w:pPr>
            <w:r>
              <w:rPr>
                <w:rFonts w:eastAsia="Times New Roman" w:cs="Arial" w:ascii="Arial" w:hAnsi="Arial"/>
                <w:b/>
                <w:sz w:val="18"/>
                <w:szCs w:val="20"/>
                <w:lang w:eastAsia="ar-SA"/>
              </w:rPr>
              <w:t>Grau</w:t>
            </w:r>
          </w:p>
        </w:tc>
        <w:tc>
          <w:tcPr>
            <w:tcW w:w="58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6" w:hanging="0"/>
              <w:rPr>
                <w:rFonts w:ascii="Arial" w:hAnsi="Arial" w:eastAsia="Times New Roman" w:cs="Arial"/>
                <w:sz w:val="18"/>
                <w:szCs w:val="18"/>
                <w:lang w:eastAsia="ar-SA"/>
              </w:rPr>
            </w:pPr>
            <w:r>
              <w:rPr>
                <w:rFonts w:eastAsia="Times New Roman" w:cs="Arial" w:ascii="Arial" w:hAnsi="Arial"/>
                <w:sz w:val="18"/>
                <w:szCs w:val="18"/>
                <w:lang w:eastAsia="ar-SA"/>
              </w:rPr>
              <w:t>Licenciatura</w:t>
            </w:r>
          </w:p>
        </w:tc>
      </w:tr>
      <w:tr>
        <w:trPr>
          <w:trHeight w:val="412" w:hRule="atLeast"/>
        </w:trPr>
        <w:tc>
          <w:tcPr>
            <w:tcW w:w="3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b/>
                <w:b/>
                <w:sz w:val="18"/>
                <w:szCs w:val="20"/>
                <w:lang w:eastAsia="ar-SA"/>
              </w:rPr>
            </w:pPr>
            <w:r>
              <w:rPr>
                <w:rFonts w:eastAsia="Times New Roman" w:cs="Arial" w:ascii="Arial" w:hAnsi="Arial"/>
                <w:b/>
                <w:sz w:val="18"/>
                <w:szCs w:val="20"/>
                <w:lang w:eastAsia="ar-SA"/>
              </w:rPr>
              <w:t>Habilitação</w:t>
            </w:r>
          </w:p>
        </w:tc>
        <w:tc>
          <w:tcPr>
            <w:tcW w:w="58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6" w:hanging="0"/>
              <w:rPr>
                <w:rFonts w:ascii="Arial" w:hAnsi="Arial" w:eastAsia="Times New Roman" w:cs="Arial"/>
                <w:sz w:val="18"/>
                <w:szCs w:val="18"/>
                <w:lang w:eastAsia="ar-SA"/>
              </w:rPr>
            </w:pPr>
            <w:r>
              <w:rPr>
                <w:rFonts w:eastAsia="Times New Roman" w:cs="Arial" w:ascii="Arial" w:hAnsi="Arial"/>
                <w:sz w:val="18"/>
                <w:szCs w:val="18"/>
                <w:lang w:eastAsia="ar-SA"/>
              </w:rPr>
              <w:t>Licenciado em História</w:t>
            </w:r>
          </w:p>
        </w:tc>
      </w:tr>
      <w:tr>
        <w:trPr>
          <w:trHeight w:val="404" w:hRule="atLeast"/>
        </w:trPr>
        <w:tc>
          <w:tcPr>
            <w:tcW w:w="3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b/>
                <w:b/>
                <w:sz w:val="18"/>
                <w:szCs w:val="20"/>
                <w:lang w:eastAsia="ar-SA"/>
              </w:rPr>
            </w:pPr>
            <w:r>
              <w:rPr>
                <w:rFonts w:eastAsia="Times New Roman" w:cs="Arial" w:ascii="Arial" w:hAnsi="Arial"/>
                <w:b/>
                <w:sz w:val="18"/>
                <w:szCs w:val="20"/>
                <w:lang w:eastAsia="ar-SA"/>
              </w:rPr>
              <w:t>Modalidade</w:t>
            </w:r>
          </w:p>
        </w:tc>
        <w:tc>
          <w:tcPr>
            <w:tcW w:w="58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6" w:hanging="0"/>
              <w:rPr>
                <w:rFonts w:ascii="Arial" w:hAnsi="Arial" w:eastAsia="Times New Roman" w:cs="Arial"/>
                <w:sz w:val="18"/>
                <w:szCs w:val="18"/>
                <w:lang w:eastAsia="ar-SA"/>
              </w:rPr>
            </w:pPr>
            <w:r>
              <w:rPr>
                <w:rFonts w:eastAsia="Times New Roman" w:cs="Arial" w:ascii="Arial" w:hAnsi="Arial"/>
                <w:sz w:val="18"/>
                <w:szCs w:val="18"/>
                <w:lang w:eastAsia="ar-SA"/>
              </w:rPr>
              <w:t>Presencial</w:t>
            </w:r>
          </w:p>
        </w:tc>
      </w:tr>
      <w:tr>
        <w:trPr>
          <w:trHeight w:val="410" w:hRule="atLeast"/>
        </w:trPr>
        <w:tc>
          <w:tcPr>
            <w:tcW w:w="3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b/>
                <w:b/>
                <w:sz w:val="18"/>
                <w:szCs w:val="20"/>
                <w:lang w:eastAsia="ar-SA"/>
              </w:rPr>
            </w:pPr>
            <w:r>
              <w:rPr>
                <w:rFonts w:eastAsia="Times New Roman" w:cs="Arial" w:ascii="Arial" w:hAnsi="Arial"/>
                <w:b/>
                <w:sz w:val="18"/>
                <w:szCs w:val="20"/>
                <w:lang w:eastAsia="ar-SA"/>
              </w:rPr>
              <w:t>Regime de Matrícula</w:t>
            </w:r>
          </w:p>
        </w:tc>
        <w:tc>
          <w:tcPr>
            <w:tcW w:w="58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6" w:hanging="0"/>
              <w:rPr>
                <w:rFonts w:ascii="Arial" w:hAnsi="Arial" w:eastAsia="Times New Roman" w:cs="Arial"/>
                <w:sz w:val="18"/>
                <w:szCs w:val="18"/>
                <w:lang w:eastAsia="ar-SA"/>
              </w:rPr>
            </w:pPr>
            <w:r>
              <w:rPr>
                <w:rFonts w:eastAsia="Times New Roman" w:cs="Arial" w:ascii="Arial" w:hAnsi="Arial"/>
                <w:sz w:val="18"/>
                <w:szCs w:val="18"/>
                <w:lang w:eastAsia="ar-SA"/>
              </w:rPr>
              <w:t>Semestral</w:t>
            </w:r>
          </w:p>
        </w:tc>
      </w:tr>
      <w:tr>
        <w:trPr>
          <w:trHeight w:val="928" w:hRule="atLeast"/>
        </w:trPr>
        <w:tc>
          <w:tcPr>
            <w:tcW w:w="3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sz w:val="18"/>
                <w:szCs w:val="20"/>
                <w:lang w:eastAsia="ar-SA"/>
              </w:rPr>
            </w:pPr>
            <w:r>
              <w:rPr>
                <w:rFonts w:cs="Arial" w:ascii="Arial" w:hAnsi="Arial"/>
                <w:b/>
                <w:bCs/>
                <w:sz w:val="18"/>
                <w:szCs w:val="20"/>
              </w:rPr>
              <w:t>Formas de ingresso</w:t>
            </w:r>
          </w:p>
        </w:tc>
        <w:tc>
          <w:tcPr>
            <w:tcW w:w="58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widowControl w:val="false"/>
              <w:suppressAutoHyphens w:val="true"/>
              <w:spacing w:lineRule="auto" w:line="240" w:before="0" w:after="0"/>
              <w:ind w:left="-6" w:hanging="0"/>
              <w:jc w:val="both"/>
              <w:rPr>
                <w:rFonts w:ascii="Arial" w:hAnsi="Arial" w:cs="Arial"/>
                <w:sz w:val="18"/>
                <w:szCs w:val="18"/>
              </w:rPr>
            </w:pPr>
            <w:r>
              <w:rPr>
                <w:rFonts w:cs="Arial" w:ascii="Arial" w:hAnsi="Arial"/>
                <w:sz w:val="18"/>
                <w:szCs w:val="18"/>
              </w:rPr>
              <w:t>Sistema de Seleção Unificado (SISU), via Exame Nacional do Ensino Médio (ENEM), Processo Seletivo por Avaliação Seriada (SASI) da UFVJM e Processos seletivos internos nas formas do Regulamento dos Cursos de Graduação da UFVJM.</w:t>
            </w:r>
          </w:p>
        </w:tc>
      </w:tr>
      <w:tr>
        <w:trPr>
          <w:trHeight w:val="434" w:hRule="atLeast"/>
        </w:trPr>
        <w:tc>
          <w:tcPr>
            <w:tcW w:w="3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sz w:val="18"/>
                <w:szCs w:val="20"/>
                <w:lang w:eastAsia="ar-SA"/>
              </w:rPr>
            </w:pPr>
            <w:r>
              <w:rPr>
                <w:rFonts w:cs="Arial" w:ascii="Arial" w:hAnsi="Arial"/>
                <w:b/>
                <w:bCs/>
                <w:sz w:val="18"/>
                <w:szCs w:val="20"/>
              </w:rPr>
              <w:t>Número de vagas oferecidas</w:t>
            </w:r>
          </w:p>
        </w:tc>
        <w:tc>
          <w:tcPr>
            <w:tcW w:w="58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6" w:hanging="0"/>
              <w:rPr>
                <w:rFonts w:ascii="Arial" w:hAnsi="Arial" w:eastAsia="Times New Roman" w:cs="Arial"/>
                <w:sz w:val="18"/>
                <w:szCs w:val="18"/>
                <w:lang w:eastAsia="ar-SA"/>
              </w:rPr>
            </w:pPr>
            <w:r>
              <w:rPr>
                <w:rFonts w:eastAsia="Times New Roman" w:cs="Arial" w:ascii="Arial" w:hAnsi="Arial"/>
                <w:sz w:val="18"/>
                <w:szCs w:val="18"/>
                <w:lang w:eastAsia="ar-SA"/>
              </w:rPr>
              <w:t>40</w:t>
            </w:r>
          </w:p>
        </w:tc>
      </w:tr>
      <w:tr>
        <w:trPr>
          <w:trHeight w:val="414" w:hRule="atLeast"/>
        </w:trPr>
        <w:tc>
          <w:tcPr>
            <w:tcW w:w="3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sz w:val="18"/>
                <w:szCs w:val="24"/>
                <w:lang w:eastAsia="ar-SA"/>
              </w:rPr>
            </w:pPr>
            <w:r>
              <w:rPr>
                <w:rFonts w:cs="Arial" w:ascii="Arial" w:hAnsi="Arial"/>
                <w:b/>
                <w:bCs/>
                <w:sz w:val="18"/>
                <w:szCs w:val="20"/>
              </w:rPr>
              <w:t>Turno de oferta</w:t>
            </w:r>
          </w:p>
        </w:tc>
        <w:tc>
          <w:tcPr>
            <w:tcW w:w="58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6" w:hanging="0"/>
              <w:rPr>
                <w:rFonts w:ascii="Arial" w:hAnsi="Arial" w:eastAsia="Times New Roman" w:cs="Arial"/>
                <w:sz w:val="18"/>
                <w:szCs w:val="18"/>
                <w:lang w:eastAsia="ar-SA"/>
              </w:rPr>
            </w:pPr>
            <w:r>
              <w:rPr>
                <w:rFonts w:eastAsia="Times New Roman" w:cs="Arial" w:ascii="Arial" w:hAnsi="Arial"/>
                <w:sz w:val="18"/>
                <w:szCs w:val="18"/>
                <w:lang w:eastAsia="ar-SA"/>
              </w:rPr>
              <w:t>Noturno</w:t>
            </w:r>
          </w:p>
        </w:tc>
      </w:tr>
      <w:tr>
        <w:trPr>
          <w:trHeight w:val="409" w:hRule="atLeast"/>
        </w:trPr>
        <w:tc>
          <w:tcPr>
            <w:tcW w:w="3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sz w:val="18"/>
                <w:szCs w:val="24"/>
                <w:lang w:eastAsia="ar-SA"/>
              </w:rPr>
            </w:pPr>
            <w:r>
              <w:rPr>
                <w:rFonts w:cs="Arial" w:ascii="Arial" w:hAnsi="Arial"/>
                <w:b/>
                <w:bCs/>
                <w:sz w:val="18"/>
                <w:szCs w:val="20"/>
              </w:rPr>
              <w:t>Carga horária total</w:t>
            </w:r>
          </w:p>
        </w:tc>
        <w:tc>
          <w:tcPr>
            <w:tcW w:w="58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pacing w:lineRule="auto" w:line="240" w:before="0" w:after="0"/>
              <w:ind w:left="-6" w:firstLine="6"/>
              <w:rPr>
                <w:rFonts w:ascii="Arial" w:hAnsi="Arial" w:eastAsia="Calibri" w:cs="Arial"/>
                <w:sz w:val="18"/>
                <w:szCs w:val="18"/>
              </w:rPr>
            </w:pPr>
            <w:r>
              <w:rPr>
                <w:rFonts w:eastAsia="Calibri" w:cs="Arial" w:ascii="Arial" w:hAnsi="Arial"/>
                <w:sz w:val="18"/>
                <w:szCs w:val="18"/>
              </w:rPr>
              <w:t>3225 h/a</w:t>
            </w:r>
          </w:p>
        </w:tc>
      </w:tr>
      <w:tr>
        <w:trPr>
          <w:trHeight w:val="454" w:hRule="atLeast"/>
        </w:trPr>
        <w:tc>
          <w:tcPr>
            <w:tcW w:w="227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sz w:val="18"/>
                <w:szCs w:val="24"/>
                <w:lang w:eastAsia="ar-SA"/>
              </w:rPr>
            </w:pPr>
            <w:r>
              <w:rPr>
                <w:rFonts w:cs="Arial" w:ascii="Arial" w:hAnsi="Arial"/>
                <w:b/>
                <w:bCs/>
                <w:sz w:val="18"/>
                <w:szCs w:val="20"/>
              </w:rPr>
              <w:t>Tempo de integralização</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sz w:val="18"/>
                <w:szCs w:val="20"/>
                <w:lang w:eastAsia="ar-SA"/>
              </w:rPr>
            </w:pPr>
            <w:r>
              <w:rPr>
                <w:rFonts w:eastAsia="Times New Roman" w:cs="Arial" w:ascii="Arial" w:hAnsi="Arial"/>
                <w:sz w:val="18"/>
                <w:szCs w:val="20"/>
                <w:lang w:eastAsia="ar-SA"/>
              </w:rPr>
              <w:t>Mínima</w:t>
            </w:r>
          </w:p>
        </w:tc>
        <w:tc>
          <w:tcPr>
            <w:tcW w:w="58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6" w:firstLine="6"/>
              <w:rPr>
                <w:rFonts w:ascii="Arial" w:hAnsi="Arial" w:eastAsia="Times New Roman" w:cs="Arial"/>
                <w:sz w:val="18"/>
                <w:szCs w:val="18"/>
                <w:lang w:eastAsia="ar-SA"/>
              </w:rPr>
            </w:pPr>
            <w:r>
              <w:rPr>
                <w:rFonts w:eastAsia="Times New Roman" w:cs="Arial" w:ascii="Arial" w:hAnsi="Arial"/>
                <w:sz w:val="18"/>
                <w:szCs w:val="18"/>
                <w:lang w:eastAsia="ar-SA"/>
              </w:rPr>
              <w:t>4 anos</w:t>
            </w:r>
          </w:p>
        </w:tc>
      </w:tr>
      <w:tr>
        <w:trPr>
          <w:trHeight w:val="431" w:hRule="atLeast"/>
        </w:trPr>
        <w:tc>
          <w:tcPr>
            <w:tcW w:w="227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sz w:val="18"/>
                <w:szCs w:val="24"/>
                <w:lang w:eastAsia="ar-SA"/>
              </w:rPr>
            </w:pPr>
            <w:r>
              <w:rPr>
                <w:rFonts w:eastAsia="Times New Roman" w:cs="Arial" w:ascii="Arial" w:hAnsi="Arial"/>
                <w:sz w:val="18"/>
                <w:szCs w:val="24"/>
                <w:lang w:eastAsia="ar-SA"/>
              </w:rPr>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sz w:val="18"/>
                <w:szCs w:val="20"/>
                <w:highlight w:val="yellow"/>
                <w:lang w:eastAsia="ar-SA"/>
              </w:rPr>
            </w:pPr>
            <w:r>
              <w:rPr>
                <w:rFonts w:eastAsia="Times New Roman" w:cs="Arial" w:ascii="Arial" w:hAnsi="Arial"/>
                <w:sz w:val="18"/>
                <w:szCs w:val="20"/>
                <w:lang w:eastAsia="ar-SA"/>
              </w:rPr>
              <w:t>Máxima</w:t>
            </w:r>
          </w:p>
        </w:tc>
        <w:tc>
          <w:tcPr>
            <w:tcW w:w="58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6" w:firstLine="6"/>
              <w:rPr>
                <w:rFonts w:ascii="Arial" w:hAnsi="Arial" w:eastAsia="Times New Roman" w:cs="Arial"/>
                <w:sz w:val="18"/>
                <w:szCs w:val="18"/>
                <w:highlight w:val="yellow"/>
                <w:lang w:eastAsia="ar-SA"/>
              </w:rPr>
            </w:pPr>
            <w:r>
              <w:rPr>
                <w:rFonts w:eastAsia="Times New Roman" w:cs="Arial" w:ascii="Arial" w:hAnsi="Arial"/>
                <w:sz w:val="18"/>
                <w:szCs w:val="18"/>
                <w:lang w:eastAsia="ar-SA"/>
              </w:rPr>
              <w:t>6 anos</w:t>
            </w:r>
          </w:p>
        </w:tc>
      </w:tr>
      <w:tr>
        <w:trPr>
          <w:trHeight w:val="431" w:hRule="atLeast"/>
        </w:trPr>
        <w:tc>
          <w:tcPr>
            <w:tcW w:w="3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sz w:val="18"/>
                <w:szCs w:val="24"/>
                <w:lang w:eastAsia="ar-SA"/>
              </w:rPr>
            </w:pPr>
            <w:r>
              <w:rPr>
                <w:rFonts w:cs="Arial" w:ascii="Arial" w:hAnsi="Arial"/>
                <w:b/>
                <w:bCs/>
                <w:sz w:val="18"/>
                <w:szCs w:val="20"/>
              </w:rPr>
              <w:t>Local da oferta</w:t>
            </w:r>
          </w:p>
        </w:tc>
        <w:tc>
          <w:tcPr>
            <w:tcW w:w="58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6" w:firstLine="6"/>
              <w:rPr>
                <w:rFonts w:ascii="Arial" w:hAnsi="Arial" w:eastAsia="Times New Roman" w:cs="Arial"/>
                <w:sz w:val="18"/>
                <w:szCs w:val="18"/>
                <w:lang w:eastAsia="ar-SA"/>
              </w:rPr>
            </w:pPr>
            <w:r>
              <w:rPr>
                <w:rFonts w:eastAsia="Times New Roman" w:cs="Arial" w:ascii="Arial" w:hAnsi="Arial"/>
                <w:i/>
                <w:sz w:val="18"/>
                <w:szCs w:val="18"/>
                <w:lang w:eastAsia="ar-SA"/>
              </w:rPr>
              <w:t>Campus</w:t>
            </w:r>
            <w:r>
              <w:rPr>
                <w:rFonts w:eastAsia="Times New Roman" w:cs="Arial" w:ascii="Arial" w:hAnsi="Arial"/>
                <w:sz w:val="18"/>
                <w:szCs w:val="18"/>
                <w:lang w:eastAsia="ar-SA"/>
              </w:rPr>
              <w:t xml:space="preserve"> JK</w:t>
            </w:r>
          </w:p>
        </w:tc>
      </w:tr>
      <w:tr>
        <w:trPr>
          <w:trHeight w:val="559" w:hRule="atLeast"/>
        </w:trPr>
        <w:tc>
          <w:tcPr>
            <w:tcW w:w="3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eastAsia="Times New Roman" w:cs="Arial"/>
                <w:sz w:val="18"/>
                <w:szCs w:val="24"/>
                <w:lang w:eastAsia="ar-SA"/>
              </w:rPr>
            </w:pPr>
            <w:r>
              <w:rPr>
                <w:rFonts w:cs="Arial" w:ascii="Arial" w:hAnsi="Arial"/>
                <w:b/>
                <w:bCs/>
                <w:sz w:val="18"/>
                <w:szCs w:val="20"/>
              </w:rPr>
              <w:t>Ano de início do Curso</w:t>
            </w:r>
          </w:p>
        </w:tc>
        <w:tc>
          <w:tcPr>
            <w:tcW w:w="58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6" w:firstLine="6"/>
              <w:jc w:val="both"/>
              <w:rPr>
                <w:rFonts w:ascii="Arial" w:hAnsi="Arial" w:eastAsia="Times New Roman" w:cs="Arial"/>
                <w:sz w:val="18"/>
                <w:szCs w:val="18"/>
                <w:lang w:eastAsia="ar-SA"/>
              </w:rPr>
            </w:pPr>
            <w:r>
              <w:rPr>
                <w:rFonts w:eastAsia="Times New Roman" w:cs="Arial" w:ascii="Arial" w:hAnsi="Arial"/>
                <w:sz w:val="18"/>
                <w:szCs w:val="18"/>
                <w:lang w:eastAsia="ar-SA"/>
              </w:rPr>
              <w:t>2012/1 - Observação: a Licenciatura em História iniciou-se em 2012/1, como terminalidade do curso de Bacharelado em Humanidades (BHu). Desse modo, o ingresso dos discentes formados na primeira turma do curso de Licenciatura em História ocorreu no 2009/1, no BHu.</w:t>
            </w:r>
          </w:p>
        </w:tc>
      </w:tr>
      <w:tr>
        <w:trPr>
          <w:trHeight w:val="282" w:hRule="atLeast"/>
        </w:trPr>
        <w:tc>
          <w:tcPr>
            <w:tcW w:w="32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81" w:hanging="0"/>
              <w:rPr>
                <w:rFonts w:ascii="Arial" w:hAnsi="Arial" w:cs="Arial"/>
                <w:b/>
                <w:b/>
                <w:bCs/>
                <w:sz w:val="18"/>
                <w:szCs w:val="20"/>
              </w:rPr>
            </w:pPr>
            <w:r>
              <w:rPr>
                <w:rFonts w:cs="Arial" w:ascii="Arial" w:hAnsi="Arial"/>
                <w:b/>
                <w:bCs/>
                <w:sz w:val="18"/>
                <w:szCs w:val="20"/>
              </w:rPr>
              <w:t>Ato de criação/autorização do Curso (dados e-mec)</w:t>
            </w:r>
          </w:p>
        </w:tc>
        <w:tc>
          <w:tcPr>
            <w:tcW w:w="58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vAlign w:val="center"/>
          </w:tcPr>
          <w:p>
            <w:pPr>
              <w:pStyle w:val="Normal"/>
              <w:suppressAutoHyphens w:val="true"/>
              <w:spacing w:lineRule="auto" w:line="240" w:before="0" w:after="0"/>
              <w:ind w:left="-6" w:hanging="0"/>
              <w:jc w:val="both"/>
              <w:rPr>
                <w:rFonts w:ascii="Arial" w:hAnsi="Arial" w:cs="Arial"/>
                <w:sz w:val="18"/>
                <w:szCs w:val="18"/>
              </w:rPr>
            </w:pPr>
            <w:r>
              <w:rPr>
                <w:rFonts w:cs="Arial" w:ascii="Arial" w:hAnsi="Arial"/>
                <w:sz w:val="18"/>
                <w:szCs w:val="18"/>
              </w:rPr>
              <w:t>Resolução CONSU º 29, de 7 de novembro de 2008</w:t>
            </w:r>
          </w:p>
          <w:p>
            <w:pPr>
              <w:pStyle w:val="Normal"/>
              <w:suppressAutoHyphens w:val="true"/>
              <w:spacing w:lineRule="auto" w:line="240" w:before="0" w:after="0"/>
              <w:ind w:left="-6" w:hanging="0"/>
              <w:jc w:val="both"/>
              <w:rPr>
                <w:rFonts w:ascii="Arial" w:hAnsi="Arial" w:cs="Arial"/>
                <w:sz w:val="18"/>
                <w:szCs w:val="18"/>
              </w:rPr>
            </w:pPr>
            <w:r>
              <w:rPr>
                <w:rFonts w:cs="Arial" w:ascii="Arial" w:hAnsi="Arial"/>
                <w:sz w:val="18"/>
                <w:szCs w:val="18"/>
              </w:rPr>
              <w:t>Portaria de Reconhecimento: Portaria SERES/MEC Nº112, de 14 de fevereiro de 2014.</w:t>
            </w:r>
          </w:p>
          <w:p>
            <w:pPr>
              <w:pStyle w:val="Normal"/>
              <w:suppressAutoHyphens w:val="true"/>
              <w:spacing w:lineRule="auto" w:line="240" w:before="0" w:after="0"/>
              <w:ind w:left="-6" w:hanging="0"/>
              <w:jc w:val="both"/>
              <w:rPr>
                <w:rFonts w:ascii="Arial" w:hAnsi="Arial" w:eastAsia="Times New Roman" w:cs="Arial"/>
                <w:sz w:val="18"/>
                <w:szCs w:val="18"/>
                <w:lang w:eastAsia="ar-SA"/>
              </w:rPr>
            </w:pPr>
            <w:r>
              <w:rPr>
                <w:rFonts w:cs="Arial" w:ascii="Arial" w:hAnsi="Arial"/>
                <w:sz w:val="18"/>
                <w:szCs w:val="18"/>
              </w:rPr>
              <w:t>Portaria de renovação de Reconhecimento: Portaria SERES/MEC Nº. 1098, de 24 de dezembro de 2015.</w:t>
            </w:r>
          </w:p>
        </w:tc>
      </w:tr>
    </w:tbl>
    <w:p>
      <w:pPr>
        <w:pStyle w:val="Normal"/>
        <w:spacing w:lineRule="auto" w:line="360" w:before="144" w:after="144"/>
        <w:jc w:val="both"/>
        <w:rPr>
          <w:rFonts w:ascii="Arial" w:hAnsi="Arial" w:cs="Arial"/>
          <w:b/>
          <w:b/>
          <w:sz w:val="28"/>
          <w:szCs w:val="28"/>
        </w:rPr>
      </w:pPr>
      <w:r>
        <w:rPr>
          <w:rFonts w:cs="Arial" w:ascii="Arial" w:hAnsi="Arial"/>
          <w:b/>
          <w:sz w:val="28"/>
          <w:szCs w:val="28"/>
        </w:rPr>
      </w:r>
    </w:p>
    <w:p>
      <w:pPr>
        <w:pStyle w:val="Normal"/>
        <w:spacing w:lineRule="auto" w:line="360" w:before="144" w:after="144"/>
        <w:jc w:val="both"/>
        <w:rPr>
          <w:rFonts w:ascii="Arial" w:hAnsi="Arial" w:cs="Arial"/>
          <w:b/>
          <w:b/>
          <w:i/>
          <w:i/>
          <w:sz w:val="24"/>
          <w:szCs w:val="28"/>
        </w:rPr>
      </w:pPr>
      <w:r>
        <w:rPr>
          <w:rFonts w:cs="Arial" w:ascii="Arial" w:hAnsi="Arial"/>
          <w:b/>
          <w:i/>
          <w:sz w:val="24"/>
          <w:szCs w:val="28"/>
        </w:rPr>
      </w:r>
    </w:p>
    <w:p>
      <w:pPr>
        <w:pStyle w:val="Normal"/>
        <w:spacing w:lineRule="auto" w:line="360" w:before="144" w:after="144"/>
        <w:jc w:val="both"/>
        <w:rPr>
          <w:rFonts w:ascii="Arial" w:hAnsi="Arial" w:cs="Arial"/>
          <w:b/>
          <w:b/>
          <w:i/>
          <w:i/>
          <w:sz w:val="24"/>
          <w:szCs w:val="28"/>
        </w:rPr>
      </w:pPr>
      <w:r>
        <w:rPr>
          <w:rFonts w:cs="Arial" w:ascii="Arial" w:hAnsi="Arial"/>
          <w:b/>
          <w:i/>
          <w:sz w:val="24"/>
          <w:szCs w:val="28"/>
        </w:rPr>
      </w:r>
    </w:p>
    <w:p>
      <w:pPr>
        <w:pStyle w:val="Normal"/>
        <w:spacing w:lineRule="auto" w:line="360" w:before="144" w:after="144"/>
        <w:jc w:val="both"/>
        <w:rPr>
          <w:rFonts w:ascii="Arial" w:hAnsi="Arial" w:cs="Arial"/>
          <w:b/>
          <w:b/>
          <w:i/>
          <w:i/>
          <w:sz w:val="24"/>
          <w:szCs w:val="28"/>
        </w:rPr>
      </w:pPr>
      <w:r>
        <w:rPr>
          <w:rFonts w:cs="Arial" w:ascii="Arial" w:hAnsi="Arial"/>
          <w:b/>
          <w:i/>
          <w:sz w:val="24"/>
          <w:szCs w:val="28"/>
        </w:rPr>
        <w:t>1.1. Requisitos Legais e Normativos</w:t>
      </w:r>
    </w:p>
    <w:p>
      <w:pPr>
        <w:pStyle w:val="Normal"/>
        <w:spacing w:lineRule="auto" w:line="360" w:before="144" w:after="144"/>
        <w:ind w:firstLine="709"/>
        <w:jc w:val="both"/>
        <w:rPr>
          <w:rFonts w:ascii="Arial" w:hAnsi="Arial" w:eastAsia="Times New Roman" w:cs="Arial"/>
          <w:lang w:eastAsia="ar-SA"/>
        </w:rPr>
      </w:pPr>
      <w:r>
        <w:rPr>
          <w:rFonts w:cs="Arial" w:ascii="Arial" w:hAnsi="Arial"/>
        </w:rPr>
        <w:t xml:space="preserve">O Projeto Pedagógico do Curso (PPC) de Licenciatura em História da </w:t>
      </w:r>
      <w:r>
        <w:rPr>
          <w:rFonts w:eastAsia="Times New Roman" w:cs="Arial" w:ascii="Arial" w:hAnsi="Arial"/>
          <w:lang w:eastAsia="ar-SA"/>
        </w:rPr>
        <w:t>Universidade Federal dos Vales do Jequitinhonha e Mucuri (UFVJM), apresentado neste documento, foi elaborado observando os seguintes requisitos legais:</w:t>
      </w:r>
    </w:p>
    <w:p>
      <w:pPr>
        <w:pStyle w:val="ListParagraph"/>
        <w:numPr>
          <w:ilvl w:val="0"/>
          <w:numId w:val="2"/>
        </w:numPr>
        <w:spacing w:lineRule="auto" w:line="360" w:before="144" w:after="144"/>
        <w:jc w:val="both"/>
        <w:rPr>
          <w:rFonts w:ascii="Arial" w:hAnsi="Arial" w:cs="Arial"/>
        </w:rPr>
      </w:pPr>
      <w:r>
        <w:rPr>
          <w:rFonts w:cs="Arial" w:ascii="Arial" w:hAnsi="Arial"/>
        </w:rPr>
        <w:t>Resolução Conselho Nacional de Educação/Conselho Pleno (CNE/CP) nº 02, de 1º de julho de 2015, que define as Diretrizes Curriculares Nacionais (DCNs) para a formação inicial em nível superior (cursos de Licenciatura, cursos de formação pedagógica para graduados e cursos de segunda Licenciatura) e para a formação continuada;</w:t>
      </w:r>
    </w:p>
    <w:p>
      <w:pPr>
        <w:pStyle w:val="ListParagraph"/>
        <w:numPr>
          <w:ilvl w:val="0"/>
          <w:numId w:val="2"/>
        </w:numPr>
        <w:spacing w:lineRule="auto" w:line="360" w:before="144" w:after="144"/>
        <w:jc w:val="both"/>
        <w:rPr>
          <w:rFonts w:ascii="Arial" w:hAnsi="Arial" w:cs="Arial"/>
        </w:rPr>
      </w:pPr>
      <w:r>
        <w:rPr>
          <w:rFonts w:cs="Arial" w:ascii="Arial" w:hAnsi="Arial"/>
        </w:rPr>
        <w:t>Resolução CNE/Conselho de Educação Básica (CEB) nº 04, de 13 julho de 2010, que define as DCNs da Educação Básica;</w:t>
      </w:r>
    </w:p>
    <w:p>
      <w:pPr>
        <w:pStyle w:val="ListParagraph"/>
        <w:numPr>
          <w:ilvl w:val="0"/>
          <w:numId w:val="2"/>
        </w:numPr>
        <w:spacing w:lineRule="auto" w:line="360" w:before="144" w:after="144"/>
        <w:jc w:val="both"/>
        <w:rPr>
          <w:rFonts w:ascii="Arial" w:hAnsi="Arial" w:cs="Arial"/>
        </w:rPr>
      </w:pPr>
      <w:r>
        <w:rPr>
          <w:rFonts w:cs="Arial" w:ascii="Arial" w:hAnsi="Arial"/>
        </w:rPr>
        <w:t>Resolução CNE/CP nº 01, de 17 de junho de 2004, que institui DCNs para a Educação das Relações Étnico-Raciais e para o Ensino de História e Cultura Afro-Brasileira e Africana e Indígena;</w:t>
      </w:r>
    </w:p>
    <w:p>
      <w:pPr>
        <w:pStyle w:val="ListParagraph"/>
        <w:numPr>
          <w:ilvl w:val="0"/>
          <w:numId w:val="2"/>
        </w:numPr>
        <w:spacing w:lineRule="auto" w:line="360" w:before="144" w:after="144"/>
        <w:jc w:val="both"/>
        <w:rPr>
          <w:rFonts w:ascii="Arial" w:hAnsi="Arial" w:cs="Arial"/>
        </w:rPr>
      </w:pPr>
      <w:r>
        <w:rPr>
          <w:rFonts w:cs="Arial" w:ascii="Arial" w:hAnsi="Arial"/>
        </w:rPr>
        <w:t>Decreto nº 5626, de 22 de dezembro de 2005, que regulamenta a Lei nº 10.436, de 24 de abril de 2002, que dispõe sobre a Língua Brasileira de Sinais (LIBRAS), e o Art. 18 da Lei nº 10.098, de 19 de dezembro de 2000.</w:t>
      </w:r>
    </w:p>
    <w:p>
      <w:pPr>
        <w:pStyle w:val="ListParagraph"/>
        <w:numPr>
          <w:ilvl w:val="0"/>
          <w:numId w:val="2"/>
        </w:numPr>
        <w:spacing w:lineRule="auto" w:line="360" w:before="144" w:after="144"/>
        <w:jc w:val="both"/>
        <w:rPr>
          <w:rFonts w:ascii="Arial" w:hAnsi="Arial" w:cs="Arial"/>
        </w:rPr>
      </w:pPr>
      <w:r>
        <w:rPr>
          <w:rFonts w:cs="Arial" w:ascii="Arial" w:hAnsi="Arial"/>
        </w:rPr>
        <w:t>Lei nº 12.764, de 27 de dezembro de 2012, que dispõe sobre a Proteção dos Direitos da Pessoa com Transtorno do Espectro Autista;</w:t>
      </w:r>
    </w:p>
    <w:p>
      <w:pPr>
        <w:pStyle w:val="ListParagraph"/>
        <w:numPr>
          <w:ilvl w:val="0"/>
          <w:numId w:val="2"/>
        </w:numPr>
        <w:spacing w:lineRule="auto" w:line="360" w:before="144" w:after="144"/>
        <w:jc w:val="both"/>
        <w:rPr>
          <w:rFonts w:ascii="Arial" w:hAnsi="Arial" w:cs="Arial"/>
        </w:rPr>
      </w:pPr>
      <w:r>
        <w:rPr>
          <w:rFonts w:cs="Arial" w:ascii="Arial" w:hAnsi="Arial"/>
        </w:rPr>
        <w:t>Condições de acessibilidade para pessoas com deficiência ou mobilidade reduzida, conforme disposto na Constituição Federal (CF/88), artigos 205, 206 e 208, na NBR 9050/2004, da Associação Brasileira de Normas Técnicas (ABNT), na Lei nº 10.098/2000, na Lei nº 13.146/2015, nos Decretos nº 5.296/2004, nº 6.949/2009, nº 7.611/2011 e na Portaria nº 3.284/2003;</w:t>
      </w:r>
    </w:p>
    <w:p>
      <w:pPr>
        <w:pStyle w:val="ListParagraph"/>
        <w:numPr>
          <w:ilvl w:val="0"/>
          <w:numId w:val="2"/>
        </w:numPr>
        <w:spacing w:lineRule="auto" w:line="360" w:before="144" w:after="144"/>
        <w:jc w:val="both"/>
        <w:rPr>
          <w:rFonts w:ascii="Arial" w:hAnsi="Arial" w:cs="Arial"/>
        </w:rPr>
      </w:pPr>
      <w:r>
        <w:rPr>
          <w:rFonts w:cs="Arial" w:ascii="Arial" w:hAnsi="Arial"/>
        </w:rPr>
        <w:t>Resolução CNE/CP nº 02, de 30 de maio de 2012 e Parecer CNE/CP nº 14/2012, que instituem DCNs para a Educação Ambiental</w:t>
      </w:r>
    </w:p>
    <w:p>
      <w:pPr>
        <w:pStyle w:val="ListParagraph"/>
        <w:numPr>
          <w:ilvl w:val="0"/>
          <w:numId w:val="2"/>
        </w:numPr>
        <w:spacing w:lineRule="auto" w:line="360" w:before="144" w:after="144"/>
        <w:jc w:val="both"/>
        <w:rPr>
          <w:rFonts w:ascii="Arial" w:hAnsi="Arial" w:cs="Arial"/>
        </w:rPr>
      </w:pPr>
      <w:r>
        <w:rPr>
          <w:rFonts w:cs="Arial" w:ascii="Arial" w:hAnsi="Arial"/>
        </w:rPr>
        <w:t>Resolução CNE/CP nº 01, de 15 de junho de 2012, que institui DCNs para a Educação em Direitos Humanos;</w:t>
      </w:r>
    </w:p>
    <w:p>
      <w:pPr>
        <w:pStyle w:val="ListParagraph"/>
        <w:numPr>
          <w:ilvl w:val="0"/>
          <w:numId w:val="2"/>
        </w:numPr>
        <w:spacing w:lineRule="auto" w:line="360" w:before="144" w:after="144"/>
        <w:jc w:val="both"/>
        <w:rPr>
          <w:rFonts w:ascii="Arial" w:hAnsi="Arial" w:cs="Arial"/>
        </w:rPr>
      </w:pPr>
      <w:r>
        <w:rPr>
          <w:rFonts w:cs="Arial" w:ascii="Arial" w:hAnsi="Arial"/>
        </w:rPr>
        <w:t>Portaria MEC nº 1134, de 2016, que dispõe sobre a oferta de 20% da carga horária total do curso modalidade à distância;</w:t>
      </w:r>
    </w:p>
    <w:p>
      <w:pPr>
        <w:pStyle w:val="ListParagraph"/>
        <w:numPr>
          <w:ilvl w:val="0"/>
          <w:numId w:val="2"/>
        </w:numPr>
        <w:spacing w:lineRule="auto" w:line="360" w:before="144" w:after="144"/>
        <w:jc w:val="both"/>
        <w:rPr>
          <w:rFonts w:ascii="Arial" w:hAnsi="Arial" w:cs="Arial"/>
        </w:rPr>
      </w:pPr>
      <w:r>
        <w:rPr>
          <w:rFonts w:cs="Arial" w:ascii="Arial" w:hAnsi="Arial"/>
        </w:rPr>
        <w:t>Lei nº 11.788, de 25 de setembro de 2008, que dispõe sobre o Estágio de estudantes;</w:t>
      </w:r>
    </w:p>
    <w:p>
      <w:pPr>
        <w:pStyle w:val="ListParagraph"/>
        <w:numPr>
          <w:ilvl w:val="0"/>
          <w:numId w:val="2"/>
        </w:numPr>
        <w:spacing w:lineRule="auto" w:line="360" w:before="144" w:after="144"/>
        <w:jc w:val="both"/>
        <w:rPr>
          <w:rFonts w:ascii="Arial" w:hAnsi="Arial" w:cs="Arial"/>
        </w:rPr>
      </w:pPr>
      <w:r>
        <w:rPr>
          <w:rFonts w:cs="Arial" w:ascii="Arial" w:hAnsi="Arial"/>
        </w:rPr>
        <w:t xml:space="preserve">Resolução nº 17 do </w:t>
      </w:r>
      <w:r>
        <w:rPr>
          <w:rFonts w:cs="Arial" w:ascii="Arial" w:hAnsi="Arial"/>
          <w:shd w:fill="FFFFFF" w:val="clear"/>
        </w:rPr>
        <w:t>Conselho de Ensino, Pesquisa e Extensão (</w:t>
      </w:r>
      <w:r>
        <w:rPr>
          <w:rFonts w:cs="Arial" w:ascii="Arial" w:hAnsi="Arial"/>
        </w:rPr>
        <w:t>CONSEPE/UFVJM), de 24 de agosto de 2016, que revoga o art. 5º da Resolução nº 21 CONSEPE/UFVJM, de 25 de julho de 2014 e dá outras providências;</w:t>
      </w:r>
    </w:p>
    <w:p>
      <w:pPr>
        <w:pStyle w:val="ListParagraph"/>
        <w:numPr>
          <w:ilvl w:val="0"/>
          <w:numId w:val="2"/>
        </w:numPr>
        <w:spacing w:lineRule="auto" w:line="360" w:before="144" w:after="144"/>
        <w:jc w:val="both"/>
        <w:rPr>
          <w:rFonts w:ascii="Arial" w:hAnsi="Arial" w:cs="Arial"/>
        </w:rPr>
      </w:pPr>
      <w:r>
        <w:rPr>
          <w:rFonts w:cs="Arial" w:ascii="Arial" w:hAnsi="Arial"/>
        </w:rPr>
        <w:t>Normativa nº 04, de 04 de julho de 2014, com orientações normativas sobre o Estágio;</w:t>
      </w:r>
    </w:p>
    <w:p>
      <w:pPr>
        <w:pStyle w:val="ListParagraph"/>
        <w:numPr>
          <w:ilvl w:val="0"/>
          <w:numId w:val="2"/>
        </w:numPr>
        <w:spacing w:lineRule="auto" w:line="360" w:before="144" w:after="144"/>
        <w:jc w:val="both"/>
        <w:rPr>
          <w:rFonts w:ascii="Arial" w:hAnsi="Arial" w:cs="Arial"/>
        </w:rPr>
      </w:pPr>
      <w:r>
        <w:rPr>
          <w:rFonts w:cs="Arial" w:ascii="Arial" w:hAnsi="Arial"/>
        </w:rPr>
        <w:t>Resolução nº 05 CONSEPE/UFVJM, de 20 de maio de 2011, que dispõe sobre o Regulamento dos Cursos de Graduação da UFVJM;</w:t>
      </w:r>
    </w:p>
    <w:p>
      <w:pPr>
        <w:pStyle w:val="ListParagraph"/>
        <w:numPr>
          <w:ilvl w:val="0"/>
          <w:numId w:val="2"/>
        </w:numPr>
        <w:spacing w:lineRule="auto" w:line="360" w:before="144" w:after="144"/>
        <w:jc w:val="both"/>
        <w:rPr>
          <w:rFonts w:ascii="Arial" w:hAnsi="Arial" w:cs="Arial"/>
        </w:rPr>
      </w:pPr>
      <w:r>
        <w:rPr>
          <w:rFonts w:cs="Arial" w:ascii="Arial" w:hAnsi="Arial"/>
        </w:rPr>
        <w:t>Resolução nº 22 CONSEPE/UFVJM, de 16 de março de 2017, que estabelece normas para o Trabalho de Conclusão de Curso (TCC) da UFVJM;</w:t>
      </w:r>
    </w:p>
    <w:p>
      <w:pPr>
        <w:pStyle w:val="ListParagraph"/>
        <w:numPr>
          <w:ilvl w:val="0"/>
          <w:numId w:val="2"/>
        </w:numPr>
        <w:spacing w:lineRule="auto" w:line="360" w:before="144" w:after="144"/>
        <w:jc w:val="both"/>
        <w:rPr>
          <w:rFonts w:ascii="Arial" w:hAnsi="Arial" w:cs="Arial"/>
        </w:rPr>
      </w:pPr>
      <w:r>
        <w:rPr>
          <w:rFonts w:cs="Arial" w:ascii="Arial" w:hAnsi="Arial"/>
        </w:rPr>
        <w:t>Resolução nº 05 CONSEPE, de 23 de abril de 2010, que regulamenta as Atividades Complementares (AACC) no âmbito da UFVJM;</w:t>
      </w:r>
    </w:p>
    <w:p>
      <w:pPr>
        <w:pStyle w:val="ListParagraph"/>
        <w:numPr>
          <w:ilvl w:val="0"/>
          <w:numId w:val="2"/>
        </w:numPr>
        <w:spacing w:lineRule="auto" w:line="360" w:before="144" w:after="144"/>
        <w:jc w:val="both"/>
        <w:rPr>
          <w:rFonts w:ascii="Arial" w:hAnsi="Arial" w:cs="Arial"/>
        </w:rPr>
      </w:pPr>
      <w:r>
        <w:rPr>
          <w:rFonts w:cs="Arial" w:ascii="Arial" w:hAnsi="Arial"/>
        </w:rPr>
        <w:t>Parecer da Comissão Nacional de Avaliação da Educação Superior (CONAES), nº 04, de 17 de junho de 2010;</w:t>
      </w:r>
    </w:p>
    <w:p>
      <w:pPr>
        <w:pStyle w:val="ListParagraph"/>
        <w:numPr>
          <w:ilvl w:val="0"/>
          <w:numId w:val="2"/>
        </w:numPr>
        <w:spacing w:lineRule="auto" w:line="360" w:before="144" w:after="144"/>
        <w:jc w:val="both"/>
        <w:rPr>
          <w:rFonts w:ascii="Arial" w:hAnsi="Arial" w:cs="Arial"/>
        </w:rPr>
      </w:pPr>
      <w:r>
        <w:rPr>
          <w:rFonts w:cs="Arial" w:ascii="Arial" w:hAnsi="Arial"/>
        </w:rPr>
        <w:t>Resolução nº 01, CONAES de 17 de junho de 2010, que dispõe sobre o Núcleo Docente Estruturante (NDE);</w:t>
      </w:r>
    </w:p>
    <w:p>
      <w:pPr>
        <w:pStyle w:val="ListParagraph"/>
        <w:numPr>
          <w:ilvl w:val="0"/>
          <w:numId w:val="2"/>
        </w:numPr>
        <w:spacing w:lineRule="auto" w:line="360" w:before="144" w:after="144"/>
        <w:jc w:val="both"/>
        <w:rPr>
          <w:rFonts w:ascii="Arial" w:hAnsi="Arial" w:cs="Arial"/>
        </w:rPr>
      </w:pPr>
      <w:r>
        <w:rPr>
          <w:rFonts w:cs="Arial" w:ascii="Arial" w:hAnsi="Arial"/>
        </w:rPr>
        <w:t>Resolução nº 04, CONSEPE, de 10 de março de 2016, que institui o NDE nos Cursos de Graduação da UFVJM;</w:t>
      </w:r>
    </w:p>
    <w:p>
      <w:pPr>
        <w:pStyle w:val="ListParagraph"/>
        <w:numPr>
          <w:ilvl w:val="0"/>
          <w:numId w:val="2"/>
        </w:numPr>
        <w:spacing w:lineRule="auto" w:line="360" w:before="144" w:after="144"/>
        <w:jc w:val="both"/>
        <w:rPr>
          <w:rFonts w:ascii="Arial" w:hAnsi="Arial" w:cs="Arial"/>
        </w:rPr>
      </w:pPr>
      <w:r>
        <w:rPr>
          <w:rFonts w:cs="Arial" w:ascii="Arial" w:hAnsi="Arial"/>
        </w:rPr>
        <w:t>CF/88, art. 207, sobre o princípio da indissociabilidade do Ensino, Pesquisa e Extensão; da mesma forma: Lei nº 9.394/96, Lei nº 13.005, de 25 de junho de 2014, Plano Nacional de Educação (PNE) 2014/2024 – Meta 12 – “Estratégia: 12.7: Assegurar, no mínimo,10% (dez por cento) do total de créditos curriculares exigidos para a graduação em programas e projetos de extensão universitária, orientando sua ação, prioritariamente, para áreas de grande pertinência social”;</w:t>
      </w:r>
    </w:p>
    <w:p>
      <w:pPr>
        <w:pStyle w:val="ListParagraph"/>
        <w:numPr>
          <w:ilvl w:val="0"/>
          <w:numId w:val="2"/>
        </w:numPr>
        <w:spacing w:lineRule="auto" w:line="360" w:before="144" w:after="144"/>
        <w:jc w:val="both"/>
        <w:rPr>
          <w:rFonts w:ascii="Arial" w:hAnsi="Arial" w:cs="Arial"/>
        </w:rPr>
      </w:pPr>
      <w:r>
        <w:rPr>
          <w:rFonts w:cs="Arial" w:ascii="Arial" w:hAnsi="Arial"/>
        </w:rPr>
        <w:t>Lei nº 9.394, de 20 de dezembro de 1996, art. 62, § 8º (Incluído pela lei nº 13.415, de 2017): “os currículos dos cursos de formação de docentes terão por referência a Base Nacional Comum Curricular”.</w:t>
      </w:r>
    </w:p>
    <w:p>
      <w:pPr>
        <w:pStyle w:val="Normal"/>
        <w:spacing w:lineRule="auto" w:line="360" w:before="144" w:after="144"/>
        <w:ind w:firstLine="709"/>
        <w:jc w:val="both"/>
        <w:rPr>
          <w:rFonts w:ascii="Arial" w:hAnsi="Arial" w:cs="Arial"/>
        </w:rPr>
      </w:pPr>
      <w:r>
        <w:rPr>
          <w:rFonts w:cs="Arial" w:ascii="Arial" w:hAnsi="Arial"/>
        </w:rPr>
        <w:t>As leis e normas citadas nessa seção poderão ser retomadas ao longo do texto do documento, apontando a observância a elas.</w:t>
      </w:r>
    </w:p>
    <w:p>
      <w:pPr>
        <w:pStyle w:val="Normal"/>
        <w:spacing w:lineRule="auto" w:line="360" w:before="144" w:after="144"/>
        <w:jc w:val="both"/>
        <w:rPr>
          <w:rFonts w:ascii="Arial" w:hAnsi="Arial" w:cs="Arial"/>
        </w:rPr>
      </w:pPr>
      <w:r>
        <w:rPr>
          <w:rFonts w:cs="Arial" w:ascii="Arial" w:hAnsi="Arial"/>
        </w:rPr>
      </w:r>
    </w:p>
    <w:p>
      <w:pPr>
        <w:pStyle w:val="Normal"/>
        <w:spacing w:lineRule="auto" w:line="360" w:before="144" w:after="144"/>
        <w:jc w:val="both"/>
        <w:rPr>
          <w:rFonts w:ascii="Arial" w:hAnsi="Arial" w:cs="Arial"/>
        </w:rPr>
      </w:pPr>
      <w:r>
        <w:rPr>
          <w:rFonts w:cs="Arial" w:ascii="Arial" w:hAnsi="Arial"/>
        </w:rPr>
      </w:r>
    </w:p>
    <w:p>
      <w:pPr>
        <w:pStyle w:val="Normal"/>
        <w:spacing w:lineRule="auto" w:line="360" w:before="144" w:after="144"/>
        <w:jc w:val="both"/>
        <w:rPr>
          <w:rFonts w:ascii="Arial" w:hAnsi="Arial" w:cs="Arial"/>
        </w:rPr>
      </w:pPr>
      <w:r>
        <w:rPr>
          <w:rFonts w:cs="Arial" w:ascii="Arial" w:hAnsi="Arial"/>
        </w:rPr>
      </w:r>
    </w:p>
    <w:p>
      <w:pPr>
        <w:pStyle w:val="Normal"/>
        <w:spacing w:lineRule="auto" w:line="360" w:before="144" w:after="144"/>
        <w:jc w:val="both"/>
        <w:rPr>
          <w:rFonts w:ascii="Arial" w:hAnsi="Arial" w:cs="Arial"/>
        </w:rPr>
      </w:pPr>
      <w:r>
        <w:rPr>
          <w:rFonts w:cs="Arial" w:ascii="Arial" w:hAnsi="Arial"/>
        </w:rPr>
      </w:r>
    </w:p>
    <w:p>
      <w:pPr>
        <w:pStyle w:val="ListParagraph"/>
        <w:spacing w:lineRule="auto" w:line="360" w:before="144" w:after="144"/>
        <w:ind w:left="0" w:hanging="0"/>
        <w:jc w:val="both"/>
        <w:rPr>
          <w:rFonts w:ascii="Arial" w:hAnsi="Arial" w:cs="Arial"/>
          <w:b/>
          <w:b/>
          <w:sz w:val="24"/>
        </w:rPr>
      </w:pPr>
      <w:r>
        <w:rPr>
          <w:rFonts w:cs="Arial" w:ascii="Arial" w:hAnsi="Arial"/>
          <w:b/>
          <w:sz w:val="24"/>
        </w:rPr>
        <w:t>2. APRESENTAÇÃO</w:t>
      </w:r>
    </w:p>
    <w:p>
      <w:pPr>
        <w:pStyle w:val="ListParagraph"/>
        <w:spacing w:lineRule="auto" w:line="360" w:before="144" w:after="144"/>
        <w:ind w:left="0" w:hanging="0"/>
        <w:jc w:val="both"/>
        <w:rPr>
          <w:rFonts w:ascii="Arial" w:hAnsi="Arial" w:cs="Arial"/>
          <w:b/>
          <w:b/>
          <w:sz w:val="28"/>
        </w:rPr>
      </w:pPr>
      <w:r>
        <w:rPr>
          <w:rFonts w:cs="Arial" w:ascii="Arial" w:hAnsi="Arial"/>
          <w:b/>
          <w:sz w:val="28"/>
        </w:rPr>
      </w:r>
    </w:p>
    <w:p>
      <w:pPr>
        <w:pStyle w:val="Normal"/>
        <w:suppressAutoHyphens w:val="true"/>
        <w:spacing w:lineRule="auto" w:line="360" w:before="144" w:after="144"/>
        <w:ind w:firstLine="709"/>
        <w:jc w:val="both"/>
        <w:rPr>
          <w:rFonts w:ascii="Arial" w:hAnsi="Arial" w:eastAsia="Times New Roman" w:cs="Arial"/>
          <w:lang w:eastAsia="ar-SA"/>
        </w:rPr>
      </w:pPr>
      <w:r>
        <w:rPr>
          <w:rFonts w:eastAsia="Times New Roman" w:cs="Arial" w:ascii="Arial" w:hAnsi="Arial"/>
          <w:lang w:eastAsia="ar-SA"/>
        </w:rPr>
        <w:t xml:space="preserve">Este documento apresenta uma nova proposta curricular para o Curso de graduação em História – Licenciatura – da Faculdade Interdisciplinar em Humanidades (FIH) da Universidade Federal dos Vales do Jequitinhonha e Mucuri (UFVJM). O referido curso teve início no primeiro semestre de 2012, e foi reconhecido através da Portaria da </w:t>
      </w:r>
      <w:r>
        <w:rPr>
          <w:rFonts w:cs="Arial" w:ascii="Arial" w:hAnsi="Arial"/>
          <w:shd w:fill="FFFFFF" w:val="clear"/>
        </w:rPr>
        <w:t>Secretaria de Regulação e Supervisão da Educação Superior</w:t>
      </w:r>
      <w:r>
        <w:rPr>
          <w:rFonts w:eastAsia="Times New Roman" w:cs="Arial" w:ascii="Arial" w:hAnsi="Arial"/>
          <w:lang w:eastAsia="ar-SA"/>
        </w:rPr>
        <w:t xml:space="preserve"> (SERES/MEC) nº 112, de 14 de fevereiro de 2014. Assim, antes de delinear a nova proposta de formação, é preciso destacar a importância da implantação de um curso de Licenciatura em História na UFVJM, </w:t>
      </w:r>
      <w:r>
        <w:rPr>
          <w:rFonts w:eastAsia="Times New Roman" w:cs="Arial" w:ascii="Arial" w:hAnsi="Arial"/>
          <w:i/>
          <w:lang w:eastAsia="ar-SA"/>
        </w:rPr>
        <w:t>campus</w:t>
      </w:r>
      <w:r>
        <w:rPr>
          <w:rFonts w:eastAsia="Times New Roman" w:cs="Arial" w:ascii="Arial" w:hAnsi="Arial"/>
          <w:lang w:eastAsia="ar-SA"/>
        </w:rPr>
        <w:t xml:space="preserve"> de Diamantina, no vale do Jequitinhonha, como marco para o desenvolvimento sócio-histórico da região.</w:t>
      </w:r>
    </w:p>
    <w:p>
      <w:pPr>
        <w:pStyle w:val="Normal"/>
        <w:suppressAutoHyphens w:val="true"/>
        <w:spacing w:lineRule="auto" w:line="360" w:before="144" w:after="144"/>
        <w:ind w:firstLine="709"/>
        <w:jc w:val="both"/>
        <w:rPr>
          <w:rFonts w:ascii="Arial" w:hAnsi="Arial" w:eastAsia="Times New Roman" w:cs="Arial"/>
          <w:lang w:eastAsia="ar-SA"/>
        </w:rPr>
      </w:pPr>
      <w:r>
        <w:rPr>
          <w:rFonts w:eastAsia="Times New Roman" w:cs="Arial" w:ascii="Arial" w:hAnsi="Arial"/>
          <w:lang w:eastAsia="ar-SA"/>
        </w:rPr>
        <w:t>A Lei Estadual nº 1.590 de 26 de agosto de 1993, que distribuiu os municípios mineiros em regiões, considera que os vales dos rios Jequitinhonha e Mucuri e as microrregiões de Nanuque e Teófilo Otoni configuram a macrorregião IX, sendo esta composta por 80 municípios, com uma área de aproximadamente 71.552 km² (SOUZA e HENRIQUES, 2010). O vale do Jequitinhonha situa-se no nordeste de Minas Gerais e “é dividida em três partes: alto, médio e baixo Jequitinhonha. Às vezes é identificada também uma quarta parte, mais ao norte do estado, componente da antiga área mineira da Superintendência de Desenvolvimento do Nordeste (SUDENE)” (SOUZA e HENRIQUES, 2010: 13). Essa região abriga uma população de aproximadamente 940 mil habitantes e tem por característica um intenso fluxo migratório, pequena oferta de emprego e baixa taxa de urbanização. Seu Produto Interno Bruto (PIB) representa menos de 2% do montante do Estado de Minas Gerais. As potencialidades regionais são pouco ou inadequadamente exploradas, o que amplia o quadro de exclusão social, econômica e política (PPC-História/UFVJM, 2013).</w:t>
      </w:r>
    </w:p>
    <w:p>
      <w:pPr>
        <w:pStyle w:val="Normal"/>
        <w:suppressAutoHyphens w:val="true"/>
        <w:spacing w:lineRule="auto" w:line="360" w:before="144" w:after="144"/>
        <w:ind w:firstLine="709"/>
        <w:jc w:val="both"/>
        <w:rPr>
          <w:rFonts w:ascii="Arial" w:hAnsi="Arial" w:eastAsia="Times New Roman" w:cs="Arial"/>
          <w:lang w:eastAsia="ar-SA"/>
        </w:rPr>
      </w:pPr>
      <w:r>
        <w:rPr>
          <w:rFonts w:eastAsia="Times New Roman" w:cs="Arial" w:ascii="Arial" w:hAnsi="Arial"/>
          <w:lang w:eastAsia="ar-SA"/>
        </w:rPr>
        <w:t>No que se refere à Educação, o vale do Jequitinhonha é a região com o maior índice de analfabetismo do Estado. A superação dessa carência depende de uma efetiva atuação na área educacional. Contudo, também aí a situação é precária, pois no vale do Jequitinhonha estão apenas cerca de 7% do total das escolas de Educação Básica. Outro problema são os elevados índices de reprovações e abandono escolar, de forma destacada, no Ensino Fundamental. Soma-se a esses fatores, o desgastado problema do baixo índice de formandos nas licenciaturas do país. Modificar essa realidade tem sido objetivo de diversas instituições. Na última década, essa região tem recebido ações do Governo Federal, em busca da superação de graves e antigos problemas econômicos, sociais e educacionais (PPC-História/UFVJM, 2013). Nesse sentindo, a presença de um curso de Licenciatura em História na UFVJM cumpre um papel educativo e de formação profissional, mas, sobretudo, tem um potencial marcadamente social, à medida que pode contribuir para análises qualitativas e quantitativas dessa região.</w:t>
      </w:r>
    </w:p>
    <w:p>
      <w:pPr>
        <w:pStyle w:val="Normal"/>
        <w:suppressAutoHyphens w:val="true"/>
        <w:spacing w:lineRule="auto" w:line="360" w:before="144" w:after="144"/>
        <w:ind w:firstLine="709"/>
        <w:jc w:val="both"/>
        <w:rPr>
          <w:rFonts w:ascii="Arial" w:hAnsi="Arial" w:eastAsia="Times New Roman" w:cs="Arial"/>
          <w:lang w:eastAsia="ar-SA"/>
        </w:rPr>
      </w:pPr>
      <w:r>
        <w:rPr>
          <w:rFonts w:eastAsia="Times New Roman" w:cs="Arial" w:ascii="Arial" w:hAnsi="Arial"/>
          <w:lang w:eastAsia="ar-SA"/>
        </w:rPr>
        <w:t>Em setembro de 1953, visando o desenvolvimento da região, o diamantinense Juscelino Kubitschek de Oliveira, no momento em que exercia a função de governador do Estado de Minas Gerais, fundou a Faculdade de Odontologia de Diamantina. Em 1960, a instituição tornou-se Faculdade Federal de Odontologia (FAFEOD). Em 2002 passou a denominar Faculdades Federais Integradas de Diamantina (FAFEID), quando começou a oferecer, além de Odontologia, outros cursos, nas áreas de Ciências da Saúde e Ciências Agrárias. Em busca de ampliação de oferta do Ensino Superior e da interiorização desta modalidade, no governo do Presidente Luís Inácio Lula da Silva, foi criada a UFVJM, pela Lei nº 11.173, de 06 de setembro de 2005 (Lei 11.173; Diário Oficial da União (DOU) de 08 de setembro de 2005).</w:t>
      </w:r>
    </w:p>
    <w:p>
      <w:pPr>
        <w:pStyle w:val="Normal"/>
        <w:suppressAutoHyphens w:val="true"/>
        <w:spacing w:lineRule="auto" w:line="360" w:before="144" w:after="144"/>
        <w:ind w:firstLine="709"/>
        <w:jc w:val="both"/>
        <w:rPr>
          <w:rFonts w:ascii="Arial" w:hAnsi="Arial" w:eastAsia="Times New Roman" w:cs="Arial"/>
          <w:lang w:eastAsia="ar-SA"/>
        </w:rPr>
      </w:pPr>
      <w:r>
        <w:rPr>
          <w:rFonts w:eastAsia="Times New Roman" w:cs="Arial" w:ascii="Arial" w:hAnsi="Arial"/>
          <w:lang w:eastAsia="ar-SA"/>
        </w:rPr>
        <w:t xml:space="preserve">Com a implantação da UFVJM, foram criados novos cursos, que somados totalizavam 33 e resultaram na abertura de 390 vagas anuais. A escolha dos novos cursos a serem oferecidos baseou-se nas necessidades e vocações regionais, já que a instituição passou a abranger uma nova região, o Vale do Mucuri, e ganhou um novo </w:t>
      </w:r>
      <w:r>
        <w:rPr>
          <w:rFonts w:eastAsia="Times New Roman" w:cs="Arial" w:ascii="Arial" w:hAnsi="Arial"/>
          <w:i/>
          <w:lang w:eastAsia="ar-SA"/>
        </w:rPr>
        <w:t>campus</w:t>
      </w:r>
      <w:r>
        <w:rPr>
          <w:rFonts w:eastAsia="Times New Roman" w:cs="Arial" w:ascii="Arial" w:hAnsi="Arial"/>
          <w:lang w:eastAsia="ar-SA"/>
        </w:rPr>
        <w:t xml:space="preserve">, no município de Teófilo Otoni. O passar dos anos confirmou seu crescimento, com a criação de cursos de mestrado, doutorado e de ensino a distância. Aos </w:t>
      </w:r>
      <w:r>
        <w:rPr>
          <w:rFonts w:eastAsia="Times New Roman" w:cs="Arial" w:ascii="Arial" w:hAnsi="Arial"/>
          <w:i/>
          <w:lang w:eastAsia="ar-SA"/>
        </w:rPr>
        <w:t>campi</w:t>
      </w:r>
      <w:r>
        <w:rPr>
          <w:rFonts w:eastAsia="Times New Roman" w:cs="Arial" w:ascii="Arial" w:hAnsi="Arial"/>
          <w:lang w:eastAsia="ar-SA"/>
        </w:rPr>
        <w:t xml:space="preserve"> de Diamantina e Teófilo Otoni somaram-se três fazendas experimentais, localizadas nos municípios de Couto de Magalhães de Minas, Serro e Curvelo. Desde o primeiro semestre de 2014, começaram a funcionar mais dois </w:t>
      </w:r>
      <w:r>
        <w:rPr>
          <w:rFonts w:eastAsia="Times New Roman" w:cs="Arial" w:ascii="Arial" w:hAnsi="Arial"/>
          <w:i/>
          <w:lang w:eastAsia="ar-SA"/>
        </w:rPr>
        <w:t>campi</w:t>
      </w:r>
      <w:r>
        <w:rPr>
          <w:rFonts w:eastAsia="Times New Roman" w:cs="Arial" w:ascii="Arial" w:hAnsi="Arial"/>
          <w:lang w:eastAsia="ar-SA"/>
        </w:rPr>
        <w:t xml:space="preserve"> (Janaúba e Unaí) e a UFVJM passou a abranger também as regiões Norte e Noroeste de Minas. Desde então, houve um crescimento significativo do número de cursos ofertados, de estudantes ingressantes, bem como do corpo docente e de técnicos-administrativos.</w:t>
      </w:r>
    </w:p>
    <w:p>
      <w:pPr>
        <w:pStyle w:val="Normal"/>
        <w:suppressAutoHyphens w:val="true"/>
        <w:spacing w:lineRule="auto" w:line="360" w:before="144" w:after="144"/>
        <w:ind w:firstLine="709"/>
        <w:jc w:val="both"/>
        <w:rPr>
          <w:rFonts w:ascii="Arial" w:hAnsi="Arial" w:eastAsia="Times New Roman" w:cs="Arial"/>
          <w:lang w:eastAsia="ar-SA"/>
        </w:rPr>
      </w:pPr>
      <w:r>
        <w:rPr>
          <w:rFonts w:eastAsia="Times New Roman" w:cs="Arial" w:ascii="Arial" w:hAnsi="Arial"/>
          <w:lang w:eastAsia="ar-SA"/>
        </w:rPr>
        <w:t>A UFVJM tem como missão “produzir e disseminar o conhecimento e a inovação, integrando o ensino, a pesquisa e a extensão como propulsores do desenvolvimento regional e nacional” (http://www.ufvjm.edu.br). Essa é uma tarefa importante para o desenvolvimento do país e torna-se fundamental quando se observa a inserção regional da UFVJM: os vales do Jequitinhonha e Mucuri, norte e noroeste de Minas Gerais.</w:t>
      </w:r>
    </w:p>
    <w:p>
      <w:pPr>
        <w:pStyle w:val="Normal"/>
        <w:suppressAutoHyphens w:val="true"/>
        <w:spacing w:lineRule="auto" w:line="360" w:before="144" w:after="144"/>
        <w:ind w:firstLine="709"/>
        <w:jc w:val="both"/>
        <w:rPr>
          <w:rFonts w:ascii="Arial" w:hAnsi="Arial" w:eastAsia="Times New Roman" w:cs="Arial"/>
          <w:lang w:eastAsia="ar-SA"/>
        </w:rPr>
      </w:pPr>
      <w:r>
        <w:rPr>
          <w:rFonts w:eastAsia="Times New Roman" w:cs="Arial" w:ascii="Arial" w:hAnsi="Arial"/>
          <w:lang w:eastAsia="ar-SA"/>
        </w:rPr>
        <w:t>A partir de 2012, juntaram-se nessa tarefa os cursos de Licenciatura da FIH, pois, através da formação de professores ampliavam-se as possibilidades de elevação dos níveis de escolaridade e, dessa forma, a educação seria utilizada enquanto instrumento de mudança social. Pelos motivos aqui expostos, fica evidente a urgência de promover a formação de profissionais responsáveis, competentes e comprometidos, não só para ingressarem na educação básica, mas para implementar projetos renovadores (PPC-História/UFVJM, 2013).</w:t>
      </w:r>
    </w:p>
    <w:p>
      <w:pPr>
        <w:pStyle w:val="Normal"/>
        <w:suppressAutoHyphens w:val="true"/>
        <w:spacing w:lineRule="auto" w:line="360" w:before="144" w:after="144"/>
        <w:ind w:firstLine="709"/>
        <w:jc w:val="both"/>
        <w:rPr>
          <w:rFonts w:ascii="Arial" w:hAnsi="Arial" w:eastAsia="Times New Roman" w:cs="Arial"/>
          <w:lang w:eastAsia="pt-BR"/>
        </w:rPr>
      </w:pPr>
      <w:r>
        <w:rPr>
          <w:rFonts w:eastAsia="Times New Roman" w:cs="Arial" w:ascii="Arial" w:hAnsi="Arial"/>
          <w:lang w:eastAsia="ar-SA"/>
        </w:rPr>
        <w:t>Ao pensar um novo projeto pedagógico para a Licenciatura em História não se pode esquecer que o referido curso, em sua gênese, em decorrência de políticas públicas e por razões institucionais, esteve atrelado ao curso de graduação em Bacharelado Interdisciplinar em Humanidades (BHu), fundado a partir da adesão ao Programa de Apoio a Planos de Reestruturação e Expansão das Universidades Federais (REUNI)</w:t>
      </w:r>
      <w:r>
        <w:rPr>
          <w:rFonts w:eastAsia="Times New Roman" w:cs="Arial" w:ascii="Arial" w:hAnsi="Arial"/>
          <w:lang w:eastAsia="pt-BR"/>
        </w:rPr>
        <w:t>. O REUNI foi</w:t>
      </w:r>
      <w:r>
        <w:rPr>
          <w:rFonts w:eastAsia="Times New Roman" w:cs="Arial" w:ascii="Arial" w:hAnsi="Arial"/>
          <w:lang w:eastAsia="ar-SA"/>
        </w:rPr>
        <w:t xml:space="preserve"> instituído pelo Decreto nº 6.096 de 24 de abril de 2007.</w:t>
      </w:r>
      <w:r>
        <w:rPr>
          <w:rFonts w:eastAsia="Times New Roman" w:cs="Arial" w:ascii="Arial" w:hAnsi="Arial"/>
          <w:lang w:eastAsia="pt-BR"/>
        </w:rPr>
        <w:t xml:space="preserve"> Nessa proposta, a instituição regulamentou o funcionamento dos Bacharelados Interdisciplinares (BIs) com a oferta em duas grandes áreas do conhecimento: Humanidades e Ciência e Tecnologia. Nesse ato, ficou deliberado que ambos seriam estruturados em duas etapas: uma de formação geral e outra de formação específica. Dessa base, em novembro de 2008, surgiu o curso de Bacharelado Interdisciplinar em Humanidades (BHu). O BHu</w:t>
      </w:r>
      <w:r>
        <w:rPr>
          <w:rFonts w:eastAsia="Times New Roman" w:cs="Arial" w:ascii="Arial" w:hAnsi="Arial"/>
          <w:lang w:eastAsia="ar-SA"/>
        </w:rPr>
        <w:t>,</w:t>
      </w:r>
      <w:r>
        <w:rPr>
          <w:rFonts w:eastAsia="Times New Roman" w:cs="Arial" w:ascii="Arial" w:hAnsi="Arial"/>
          <w:lang w:eastAsia="pt-BR"/>
        </w:rPr>
        <w:t xml:space="preserve"> para atender à proposta de continuidade prevista para os BIs, considerava, além da formação básica, a articulação com a formação específica na forma de um Bacharelado Profissionalizante (curso de Turismo) e das Licenciaturas (Geografia, História, Letras-Português/Inglês, Letras-Português/Espanhol e Pedagogia).</w:t>
      </w:r>
    </w:p>
    <w:p>
      <w:pPr>
        <w:pStyle w:val="Normal"/>
        <w:suppressAutoHyphens w:val="true"/>
        <w:spacing w:lineRule="auto" w:line="360" w:before="144" w:after="144"/>
        <w:ind w:firstLine="709"/>
        <w:jc w:val="both"/>
        <w:rPr>
          <w:rFonts w:ascii="Arial" w:hAnsi="Arial" w:eastAsia="Times New Roman" w:cs="Arial"/>
          <w:lang w:eastAsia="ar-SA"/>
        </w:rPr>
      </w:pPr>
      <w:r>
        <w:rPr>
          <w:rFonts w:eastAsia="Times New Roman" w:cs="Arial" w:ascii="Arial" w:hAnsi="Arial"/>
          <w:lang w:eastAsia="pt-BR"/>
        </w:rPr>
        <w:t>Dessa forma, a Licenciatura</w:t>
      </w:r>
      <w:r>
        <w:rPr>
          <w:rFonts w:eastAsia="Times New Roman" w:cs="Arial" w:ascii="Arial" w:hAnsi="Arial"/>
          <w:lang w:eastAsia="ar-SA"/>
        </w:rPr>
        <w:t xml:space="preserve"> em História apresentava-se como uma formação específica possível ao egresso do BHu, procurando atender a uma dupla tarefa. A primeira, a de suprir as demandas de uma base generalista e interdisciplinar; a segunda, a de atender as necessidades específicas de uma formação voltada à docência e à pesquisa histórica (PPC-História</w:t>
      </w:r>
      <w:r>
        <w:rPr>
          <w:rFonts w:eastAsia="Times New Roman" w:cs="Arial" w:ascii="Arial" w:hAnsi="Arial"/>
          <w:lang w:eastAsia="pt-BR"/>
        </w:rPr>
        <w:t>/UFVJM</w:t>
      </w:r>
      <w:r>
        <w:rPr>
          <w:rFonts w:eastAsia="Times New Roman" w:cs="Arial" w:ascii="Arial" w:hAnsi="Arial"/>
          <w:lang w:eastAsia="ar-SA"/>
        </w:rPr>
        <w:t>, 2013).</w:t>
      </w:r>
    </w:p>
    <w:p>
      <w:pPr>
        <w:pStyle w:val="Normal"/>
        <w:suppressAutoHyphens w:val="true"/>
        <w:spacing w:lineRule="auto" w:line="360" w:before="144" w:after="144"/>
        <w:ind w:firstLine="709"/>
        <w:jc w:val="both"/>
        <w:rPr>
          <w:rFonts w:ascii="Arial" w:hAnsi="Arial" w:eastAsia="Times New Roman" w:cs="Arial"/>
          <w:lang w:eastAsia="ar-SA"/>
        </w:rPr>
      </w:pPr>
      <w:r>
        <w:rPr>
          <w:rFonts w:eastAsia="Times New Roman" w:cs="Arial" w:ascii="Arial" w:hAnsi="Arial"/>
          <w:lang w:eastAsia="ar-SA"/>
        </w:rPr>
        <w:t xml:space="preserve">A primeira turma concluiu a Licenciatura em História em março de 2014. No ano anterior, o curso passou pela avaliação </w:t>
      </w:r>
      <w:r>
        <w:rPr>
          <w:rFonts w:eastAsia="Times New Roman" w:cs="Arial" w:ascii="Arial" w:hAnsi="Arial"/>
          <w:i/>
          <w:lang w:eastAsia="ar-SA"/>
        </w:rPr>
        <w:t>in loco</w:t>
      </w:r>
      <w:r>
        <w:rPr>
          <w:rFonts w:eastAsia="Times New Roman" w:cs="Arial" w:ascii="Arial" w:hAnsi="Arial"/>
          <w:lang w:eastAsia="ar-SA"/>
        </w:rPr>
        <w:t xml:space="preserve"> do </w:t>
      </w:r>
      <w:r>
        <w:rPr>
          <w:rFonts w:cs="Arial" w:ascii="Arial" w:hAnsi="Arial"/>
        </w:rPr>
        <w:t>Instituto Nacional de Estudos e Pesquisas Educacionais</w:t>
      </w:r>
      <w:r>
        <w:rPr>
          <w:rFonts w:eastAsia="Times New Roman" w:cs="Arial" w:ascii="Arial" w:hAnsi="Arial"/>
          <w:lang w:eastAsia="ar-SA"/>
        </w:rPr>
        <w:t xml:space="preserve"> (</w:t>
      </w:r>
      <w:r>
        <w:rPr>
          <w:rFonts w:eastAsia="Times New Roman" w:cs="Arial" w:ascii="Arial" w:hAnsi="Arial"/>
          <w:lang w:eastAsia="pt-BR"/>
        </w:rPr>
        <w:t>INEP/MEC)</w:t>
      </w:r>
      <w:r>
        <w:rPr>
          <w:rFonts w:eastAsia="Times New Roman" w:cs="Arial" w:ascii="Arial" w:hAnsi="Arial"/>
          <w:lang w:eastAsia="ar-SA"/>
        </w:rPr>
        <w:t xml:space="preserve"> e obteve conceito 4 (em uma escala de 1 a 5), com o reconhecimento por meio da Portaria SERES/MEC nº 112 de 14 de fevereiro de 2014. Neste mesmo ano, os discentes concluintes passaram pelo Exame Nacional de Desempenho de Estudantes (ENADE) e obtiveram o conceito 3. Em vista destes resultados, o Conceito Preliminar do Curso (CPC), publicado pelo INEP em 2015, obteve nota 4. O curso ainda obteve a renovação de seu reconhecimento pela Portaria SERES/MEC nº 1.098 de </w:t>
      </w:r>
      <w:r>
        <w:rPr>
          <w:rFonts w:eastAsia="Times New Roman" w:cs="Arial" w:ascii="Arial" w:hAnsi="Arial"/>
          <w:lang w:eastAsia="pt-BR"/>
        </w:rPr>
        <w:t>24 de dezembro de 2015.</w:t>
      </w:r>
    </w:p>
    <w:p>
      <w:pPr>
        <w:pStyle w:val="Normal"/>
        <w:spacing w:lineRule="auto" w:line="360" w:before="144" w:after="144"/>
        <w:ind w:left="360" w:hanging="0"/>
        <w:jc w:val="both"/>
        <w:rPr>
          <w:rFonts w:ascii="Arial" w:hAnsi="Arial" w:cs="Arial"/>
          <w:b/>
          <w:b/>
          <w:sz w:val="20"/>
        </w:rPr>
      </w:pPr>
      <w:r>
        <w:rPr>
          <w:rFonts w:cs="Arial" w:ascii="Arial" w:hAnsi="Arial"/>
          <w:b/>
          <w:sz w:val="20"/>
        </w:rPr>
      </w:r>
    </w:p>
    <w:p>
      <w:pPr>
        <w:pStyle w:val="Normal"/>
        <w:spacing w:lineRule="auto" w:line="360" w:before="144" w:after="144"/>
        <w:jc w:val="both"/>
        <w:rPr>
          <w:rFonts w:ascii="Arial" w:hAnsi="Arial" w:cs="Arial"/>
          <w:b/>
          <w:b/>
          <w:sz w:val="24"/>
        </w:rPr>
      </w:pPr>
      <w:r>
        <w:rPr>
          <w:rFonts w:cs="Arial" w:ascii="Arial" w:hAnsi="Arial"/>
          <w:b/>
          <w:sz w:val="24"/>
        </w:rPr>
        <w:t>3. JUSTIFICATIVA</w:t>
      </w:r>
    </w:p>
    <w:p>
      <w:pPr>
        <w:pStyle w:val="Normal"/>
        <w:suppressAutoHyphens w:val="true"/>
        <w:spacing w:lineRule="auto" w:line="360" w:before="144" w:after="144"/>
        <w:ind w:firstLine="709"/>
        <w:jc w:val="both"/>
        <w:rPr>
          <w:rFonts w:ascii="Arial" w:hAnsi="Arial" w:eastAsia="Times New Roman" w:cs="Arial"/>
          <w:lang w:eastAsia="ar-SA"/>
        </w:rPr>
      </w:pPr>
      <w:r>
        <w:rPr>
          <w:rFonts w:eastAsia="Times New Roman" w:cs="Arial" w:ascii="Arial" w:hAnsi="Arial"/>
          <w:lang w:eastAsia="ar-SA"/>
        </w:rPr>
      </w:r>
    </w:p>
    <w:p>
      <w:pPr>
        <w:pStyle w:val="Normal"/>
        <w:suppressAutoHyphens w:val="true"/>
        <w:spacing w:lineRule="auto" w:line="360" w:before="144" w:after="144"/>
        <w:ind w:firstLine="709"/>
        <w:jc w:val="both"/>
        <w:rPr>
          <w:rFonts w:ascii="Arial" w:hAnsi="Arial" w:eastAsia="Times New Roman" w:cs="Arial"/>
          <w:lang w:eastAsia="ar-SA"/>
        </w:rPr>
      </w:pPr>
      <w:r>
        <w:rPr>
          <w:rFonts w:eastAsia="Times New Roman" w:cs="Arial" w:ascii="Arial" w:hAnsi="Arial"/>
          <w:lang w:eastAsia="ar-SA"/>
        </w:rPr>
        <w:t xml:space="preserve">Embora os resultados das primeiras avaliações atestem a qualidade da primeira proposta, neste momento observa-se a necessidade de readequação do curso de graduação em História da UFVJM, uma vez que a </w:t>
      </w:r>
      <w:r>
        <w:rPr>
          <w:rFonts w:cs="Arial" w:ascii="Arial" w:hAnsi="Arial"/>
        </w:rPr>
        <w:t>Resolução CNE/CP nº 02, de 1º de julho de 2015</w:t>
      </w:r>
      <w:r>
        <w:rPr>
          <w:rFonts w:eastAsia="Times New Roman" w:cs="Arial" w:ascii="Arial" w:hAnsi="Arial"/>
          <w:lang w:eastAsia="ar-SA"/>
        </w:rPr>
        <w:t xml:space="preserve"> propõe reformulações com relação às cargas horárias, aos núcleos que agrupam os diferentes conteúdos e às concepções pedagógicas dos cursos de formação docente. Diante disso, torna-se necessário separar esta Licenciatura da base generalista proposta pelo BHu e, a partir da implantação deste novo PPC, estabelecer uma entrada independente para os seus ingressantes, respeitando a identidade própria de um curso de Licenciatura.</w:t>
      </w:r>
    </w:p>
    <w:p>
      <w:pPr>
        <w:pStyle w:val="Normal"/>
        <w:suppressAutoHyphens w:val="true"/>
        <w:spacing w:lineRule="auto" w:line="360" w:before="144" w:after="144"/>
        <w:ind w:firstLine="709"/>
        <w:jc w:val="both"/>
        <w:rPr>
          <w:rFonts w:ascii="Arial" w:hAnsi="Arial" w:cs="Arial"/>
          <w:b/>
          <w:b/>
        </w:rPr>
      </w:pPr>
      <w:r>
        <w:rPr>
          <w:rFonts w:cs="Arial" w:ascii="Arial" w:hAnsi="Arial"/>
        </w:rPr>
        <w:t>O novo PPC da Licenciatura em História tem por missão a busca pela excelência na formação e qualificação de professores para atuar em vários contextos, principalmente na Educação Básica. Dessa maneira, o objetivo do curso será proporcionar aos graduandos a possibilidade de incorporar saberes e fazeres significativos, úteis à compreensão do desenvolvimento científico e tecnológico. Além disso, faz-se necessário que se capacite os graduandos não apenas como profissionais da área, mas também como cidadãos críticos, participativos e competentes, abertos a perceberem as relações sociais, econômicas, políticas e culturais em que o processo histórico ocorre</w:t>
      </w:r>
      <w:r>
        <w:rPr>
          <w:rFonts w:cs="Arial" w:ascii="Arial" w:hAnsi="Arial"/>
          <w:b/>
        </w:rPr>
        <w:t>.</w:t>
      </w:r>
    </w:p>
    <w:p>
      <w:pPr>
        <w:pStyle w:val="Normal"/>
        <w:suppressAutoHyphens w:val="true"/>
        <w:spacing w:lineRule="auto" w:line="360" w:before="144" w:after="144"/>
        <w:ind w:firstLine="709"/>
        <w:jc w:val="both"/>
        <w:rPr>
          <w:rFonts w:ascii="Arial" w:hAnsi="Arial" w:eastAsia="Times New Roman" w:cs="Arial"/>
          <w:lang w:eastAsia="ar-SA"/>
        </w:rPr>
      </w:pPr>
      <w:r>
        <w:rPr>
          <w:rFonts w:cs="Arial" w:ascii="Arial" w:hAnsi="Arial"/>
        </w:rPr>
        <w:t xml:space="preserve">Este PPC justifica-se a partir das necessidades em se formar docentes capazes de relacionar os conhecimentos específicos históricos com as questões inerentes à formação educacional, articulando ambos aspectos a partir de uma dimensão interdisciplinar. Assim, </w:t>
      </w:r>
      <w:r>
        <w:rPr>
          <w:rFonts w:eastAsia="Times New Roman" w:cs="Arial" w:ascii="Arial" w:hAnsi="Arial"/>
          <w:lang w:eastAsia="ar-SA"/>
        </w:rPr>
        <w:t>esta proposta compreende a docência como “ação educativa e como processo pedagógico intencional e metódico, envolvendo conhecimentos específicos, interdisciplinares e pedagógicos” (Resolução</w:t>
      </w:r>
      <w:r>
        <w:rPr>
          <w:rFonts w:eastAsia="Times New Roman" w:cs="Arial" w:ascii="Arial" w:hAnsi="Arial"/>
          <w:lang w:eastAsia="pt-BR"/>
        </w:rPr>
        <w:t xml:space="preserve"> CNE/CP nº 02, 1º de julho de 2015, </w:t>
      </w:r>
      <w:r>
        <w:rPr>
          <w:rFonts w:eastAsia="Times New Roman" w:cs="Arial" w:ascii="Arial" w:hAnsi="Arial"/>
          <w:lang w:eastAsia="ar-SA"/>
        </w:rPr>
        <w:t xml:space="preserve">cap. 1, art. 2º, § </w:t>
      </w:r>
      <w:r>
        <w:rPr>
          <w:rFonts w:cs="Arial" w:ascii="Arial" w:hAnsi="Arial"/>
        </w:rPr>
        <w:t>1º</w:t>
      </w:r>
      <w:r>
        <w:rPr>
          <w:rFonts w:eastAsia="Times New Roman" w:cs="Arial" w:ascii="Arial" w:hAnsi="Arial"/>
          <w:lang w:eastAsia="ar-SA"/>
        </w:rPr>
        <w:t>).</w:t>
      </w:r>
    </w:p>
    <w:p>
      <w:pPr>
        <w:pStyle w:val="Normal"/>
        <w:suppressAutoHyphens w:val="true"/>
        <w:spacing w:lineRule="auto" w:line="360" w:before="144" w:after="144"/>
        <w:ind w:firstLine="709"/>
        <w:jc w:val="both"/>
        <w:rPr>
          <w:rFonts w:ascii="Arial" w:hAnsi="Arial" w:eastAsia="Times New Roman" w:cs="Arial"/>
          <w:lang w:eastAsia="ar-SA"/>
        </w:rPr>
      </w:pPr>
      <w:r>
        <w:rPr>
          <w:rFonts w:eastAsia="Times New Roman" w:cs="Arial" w:ascii="Arial" w:hAnsi="Arial"/>
          <w:lang w:eastAsia="ar-SA"/>
        </w:rPr>
        <w:t>Embora o curso já exista há cinco anos, sua consolidação passa pela necessidade de readequação de seu PPC, de modo a desvincular a Licenciatura em História do BHu, a fim de ampliar o processo formativo nas dimensões específicas e pedagógicas, conforme pedido pela Resolução CNE/CP nº 02 de 1º de julho de 2015. Estas dimensões eram antes limitadas pela ênfase na formação geral e na interdisciplinaridade, que continuará tendo importância no currículo, porém será melhor articulada aos outros aspectos, conforme mostraremos na divisão proposta em eixos nos itens 9. Proposta Pedagógica e 10. Organização Curricular.</w:t>
      </w:r>
    </w:p>
    <w:p>
      <w:pPr>
        <w:pStyle w:val="Normal"/>
        <w:suppressAutoHyphens w:val="true"/>
        <w:spacing w:lineRule="auto" w:line="360" w:before="144" w:after="144"/>
        <w:ind w:firstLine="709"/>
        <w:jc w:val="both"/>
        <w:rPr>
          <w:rFonts w:ascii="Arial" w:hAnsi="Arial" w:cs="Arial"/>
        </w:rPr>
      </w:pPr>
      <w:r>
        <w:rPr>
          <w:rFonts w:cs="Arial" w:ascii="Arial" w:hAnsi="Arial"/>
        </w:rPr>
        <w:t>Uma questão importante, também, que orienta a reformulação do curso de Licenciatura em História, refere-se às demandas por professores de História nos Ensinos Fundamental e Médio, bem como por profissionais aptos a lidarem com as questões relacionadas à memória social e ao patrimônio. O objetivo primordial da referida Licenciatura, ao reconhecer o caráter indissociável da pesquisa, do ensino e da extensão, é formar professores/historiadores que estejam capacitados a atuar na produção, transmissão e comunicação do conhecimento histórico. Portanto, a formação do licenciado em História deve aliar este conhecimento atualizado ao domínio das normas e procedimentos do seu ofício, de modo a ser capaz de socializá-lo com clareza e responsabilidade.</w:t>
      </w:r>
    </w:p>
    <w:p>
      <w:pPr>
        <w:pStyle w:val="Normal"/>
        <w:suppressAutoHyphens w:val="true"/>
        <w:spacing w:lineRule="auto" w:line="360" w:before="144" w:after="144"/>
        <w:ind w:firstLine="709"/>
        <w:jc w:val="both"/>
        <w:rPr>
          <w:rFonts w:ascii="Arial" w:hAnsi="Arial" w:cs="Arial"/>
        </w:rPr>
      </w:pPr>
      <w:r>
        <w:rPr>
          <w:rFonts w:cs="Arial" w:ascii="Arial" w:hAnsi="Arial"/>
        </w:rPr>
        <w:t>A formação dos licenciados levará em conta também a reflexão e a prática do trabalho em outras instituições educativas, como museus, centros de documentação e arquivos, assim como o domínio das linguagens e formas de produção e divulgação do conhecimento histórico. São atividades formativas complementares à formação do licenciado a capacitação para a crítica e a produção de materiais didáticos em variados suportes, o conhecimento sobre o mercado editorial, em sua complexa organização e atuação, a serem desenvolvidas nos laboratórios e nas Unidades Curriculares (UC’s) instrumentais voltadas para o ensino. A concepção de História e a postura epistemológica a serem consideradas no processo de ensino aprendizagem, tendo como eixo a construção do conhecimento e a formação de um profissional de História habilitado em termos de ensino, pesquisa e extensão, no seu cotidiano como professor, são desafios para o presente Projeto Pedagógico.</w:t>
      </w:r>
    </w:p>
    <w:p>
      <w:pPr>
        <w:pStyle w:val="Normal"/>
        <w:suppressAutoHyphens w:val="true"/>
        <w:spacing w:lineRule="auto" w:line="360" w:before="144" w:after="144"/>
        <w:ind w:firstLine="709"/>
        <w:jc w:val="both"/>
        <w:rPr>
          <w:rFonts w:ascii="Arial" w:hAnsi="Arial" w:cs="Arial"/>
        </w:rPr>
      </w:pPr>
      <w:r>
        <w:rPr>
          <w:rFonts w:eastAsia="Times New Roman" w:cs="Arial" w:ascii="Arial" w:hAnsi="Arial"/>
          <w:lang w:eastAsia="ar-SA"/>
        </w:rPr>
        <w:t>O significado histórico-cultural conferido à Diamantina por seu conjunto arquitetônico e urbanístico, tombado como Patrimônio Cultural da Humanidade pela Organização das Nações Unidas para a Educação, a Ciência e a Cultura (UNESCO), contribui para justificar a existência de um curso de Licenciatura em História na cidade. Para além desse aspecto, como já citado, a cidade está localizada no vale do Jequitinhonha, região marcada por grande potencialidade de desenvolvimento sócio-histórico.</w:t>
      </w:r>
    </w:p>
    <w:p>
      <w:pPr>
        <w:pStyle w:val="Normal"/>
        <w:suppressAutoHyphens w:val="true"/>
        <w:spacing w:lineRule="auto" w:line="360" w:before="144" w:after="144"/>
        <w:ind w:firstLine="709"/>
        <w:jc w:val="both"/>
        <w:rPr>
          <w:rFonts w:ascii="Arial" w:hAnsi="Arial" w:cs="Arial"/>
        </w:rPr>
      </w:pPr>
      <w:r>
        <w:rPr>
          <w:rFonts w:cs="Arial" w:ascii="Arial" w:hAnsi="Arial"/>
        </w:rPr>
        <w:t>A produção de conhecimento na área de História pode contribuir não apenas no âmbito do próprio saber historiográfico, como nas formulações e nas práticas visando a construção da cidadania e a valorização da cultura nesta região, permitindo que a universidade atue decisivamente no sentido de superar as carências de seu contexto social. Assim, passando por um processo de desenvolvimento, o vale do Jequitinhonha demanda uma reflexão consistente a respeito dos saberes e das práticas culturais, e das relações entre memória e patrimônio; reflexão que é condição necessária para a formulação de políticas públicas e para a atuação nessa realidade social. Para além dos conjuntos artísticos e arquitetônicos no espaço urbano da cidade que abriga o curso de Licenciatura em História, os egressos deverão estar qualificados também a lidar com os novos conceitos agregados à noção tradicional de patrimônio, traçando paralelos com o conhecimento histórico, que tem incorporado novos sujeitos, temáticas e fontes</w:t>
      </w:r>
      <w:r>
        <w:rPr>
          <w:rFonts w:eastAsia="Times New Roman" w:cs="Arial" w:ascii="Arial" w:hAnsi="Arial"/>
          <w:lang w:eastAsia="ar-SA"/>
        </w:rPr>
        <w:t xml:space="preserve"> (PPC-História</w:t>
      </w:r>
      <w:r>
        <w:rPr>
          <w:rFonts w:eastAsia="Times New Roman" w:cs="Arial" w:ascii="Arial" w:hAnsi="Arial"/>
          <w:lang w:eastAsia="pt-BR"/>
        </w:rPr>
        <w:t>/UFVJM</w:t>
      </w:r>
      <w:r>
        <w:rPr>
          <w:rFonts w:eastAsia="Times New Roman" w:cs="Arial" w:ascii="Arial" w:hAnsi="Arial"/>
          <w:lang w:eastAsia="ar-SA"/>
        </w:rPr>
        <w:t>, 2013).</w:t>
      </w:r>
    </w:p>
    <w:p>
      <w:pPr>
        <w:pStyle w:val="Normal"/>
        <w:suppressAutoHyphens w:val="true"/>
        <w:spacing w:lineRule="auto" w:line="360" w:before="144" w:after="144"/>
        <w:ind w:firstLine="709"/>
        <w:jc w:val="both"/>
        <w:rPr>
          <w:rFonts w:ascii="Arial" w:hAnsi="Arial" w:cs="Arial"/>
        </w:rPr>
      </w:pPr>
      <w:r>
        <w:rPr>
          <w:rFonts w:cs="Arial" w:ascii="Arial" w:hAnsi="Arial"/>
        </w:rPr>
        <w:t>As UC’s constantes na estrutura aqui proposta deverão permitir ao graduando o levantamento de temas, o estabelecimento de fundamentos metodológicos e a elaboração de estudos monográficos, aliando a teoria e a prática. Assim, os futuros profissionais passarão por um processo formativo que lhes conferirão saberes necessários para apreender a realidade social, cultural, econômica e política, de modo a articulá-los com recentes matrizes da produção do conhecimento e do ensino de História.</w:t>
      </w:r>
    </w:p>
    <w:p>
      <w:pPr>
        <w:pStyle w:val="Normal"/>
        <w:spacing w:lineRule="auto" w:line="360" w:before="144" w:after="144"/>
        <w:ind w:firstLine="567"/>
        <w:jc w:val="both"/>
        <w:rPr>
          <w:rFonts w:ascii="Arial" w:hAnsi="Arial" w:eastAsia="Times New Roman" w:cs="Arial"/>
          <w:lang w:eastAsia="ar-SA"/>
        </w:rPr>
      </w:pPr>
      <w:r>
        <w:rPr>
          <w:rFonts w:eastAsia="Times New Roman" w:cs="Arial" w:ascii="Arial" w:hAnsi="Arial"/>
          <w:lang w:eastAsia="ar-SA"/>
        </w:rPr>
        <w:t>Tendo em vista esse quadro, o presente PPC, em articulação com o anterior, continua tendo como premissa uma concepção de educação enquanto processo emancipatório e permanente, com as especificidades do trabalho do futuro profissional na área de História. Neste sentido, é necessário salientar: a necessidade de valorizar a interdisciplinaridade curricular; a construção de conhecimentos que valorizem a pesquisa e a extensão; o acesso às fontes nacionais e internacionais de pesquisa, com material historiográfico de qualidade; as dinâmicas pedagógicas que contribuam para o exercício profissional; a formação do docente em consonância com as mudanças educacionais e sociais; o uso apropriado das Tecnologias de Informação e Comunicação (TIC’s); a promoção de espaços para a reflexão crítica sobre as diferentes linguagens; a consolidação da educação inclusiva por meio do respeito às diferenças; e a aprendizagem e o desenvolvimento dos estudantes por meio do currículo aqui proposto (Resolução</w:t>
      </w:r>
      <w:r>
        <w:rPr>
          <w:rFonts w:eastAsia="Times New Roman" w:cs="Arial" w:ascii="Arial" w:hAnsi="Arial"/>
          <w:lang w:eastAsia="pt-BR"/>
        </w:rPr>
        <w:t xml:space="preserve"> CNE/CP nº 02, de 1º de julho de 2015</w:t>
      </w:r>
      <w:r>
        <w:rPr>
          <w:rFonts w:eastAsia="Times New Roman" w:cs="Arial" w:ascii="Arial" w:hAnsi="Arial"/>
          <w:lang w:eastAsia="ar-SA"/>
        </w:rPr>
        <w:t>, cap. II, art. 5º).</w:t>
      </w:r>
    </w:p>
    <w:p>
      <w:pPr>
        <w:pStyle w:val="Normal"/>
        <w:spacing w:lineRule="auto" w:line="360" w:before="144" w:after="144"/>
        <w:jc w:val="both"/>
        <w:rPr>
          <w:rFonts w:ascii="Arial" w:hAnsi="Arial" w:cs="Arial"/>
          <w:b/>
          <w:b/>
          <w:bCs/>
        </w:rPr>
      </w:pPr>
      <w:r>
        <w:rPr>
          <w:rFonts w:cs="Arial" w:ascii="Arial" w:hAnsi="Arial"/>
          <w:b/>
          <w:bCs/>
        </w:rPr>
      </w:r>
    </w:p>
    <w:p>
      <w:pPr>
        <w:pStyle w:val="Normal"/>
        <w:spacing w:lineRule="auto" w:line="360" w:before="60" w:after="60"/>
        <w:jc w:val="both"/>
        <w:rPr>
          <w:rFonts w:ascii="Arial" w:hAnsi="Arial" w:cs="Arial"/>
          <w:b/>
          <w:b/>
          <w:bCs/>
          <w:sz w:val="24"/>
        </w:rPr>
      </w:pPr>
      <w:r>
        <w:rPr>
          <w:rFonts w:cs="Arial" w:ascii="Arial" w:hAnsi="Arial"/>
          <w:b/>
          <w:bCs/>
          <w:sz w:val="24"/>
        </w:rPr>
        <w:t>4. OBJETIVOS GERAIS E ESPECÍFICOS</w:t>
      </w:r>
    </w:p>
    <w:p>
      <w:pPr>
        <w:pStyle w:val="Normal"/>
        <w:spacing w:lineRule="auto" w:line="360" w:before="60" w:after="60"/>
        <w:jc w:val="both"/>
        <w:rPr>
          <w:rFonts w:ascii="Arial" w:hAnsi="Arial" w:eastAsia="Times New Roman" w:cs="Arial"/>
          <w:i/>
          <w:i/>
          <w:sz w:val="24"/>
          <w:szCs w:val="24"/>
          <w:lang w:eastAsia="ar-SA"/>
        </w:rPr>
      </w:pPr>
      <w:r>
        <w:rPr>
          <w:rFonts w:cs="Arial" w:ascii="Arial" w:hAnsi="Arial"/>
          <w:b/>
          <w:i/>
          <w:sz w:val="24"/>
          <w:szCs w:val="24"/>
        </w:rPr>
        <w:t>4. 1. Objetivo Geral:</w:t>
      </w:r>
    </w:p>
    <w:p>
      <w:pPr>
        <w:pStyle w:val="Texto"/>
        <w:spacing w:before="60" w:after="60"/>
        <w:ind w:firstLine="709"/>
        <w:rPr>
          <w:sz w:val="22"/>
          <w:szCs w:val="22"/>
        </w:rPr>
      </w:pPr>
      <w:r>
        <w:rPr>
          <w:sz w:val="22"/>
          <w:szCs w:val="22"/>
        </w:rPr>
        <w:t>Propiciar aos discentes do curso de graduação em História da UFVJM uma formação ampla, que lhes permita dialogar com a sociedade, com as diretrizes normativas do ensino, e assegurar-lhes o acesso a conhecimentos profissionais que lhes proporcionem fazer inserções e promover modificações na sociedade a que pertencem, com o devido comprometimento com valores democráticos e sociais fundamentais para a construção de uma sociedade mais justa.</w:t>
      </w:r>
    </w:p>
    <w:p>
      <w:pPr>
        <w:pStyle w:val="Texto"/>
        <w:spacing w:before="60" w:after="60"/>
        <w:ind w:firstLine="709"/>
        <w:rPr>
          <w:b/>
          <w:b/>
          <w:sz w:val="22"/>
          <w:szCs w:val="22"/>
        </w:rPr>
      </w:pPr>
      <w:r>
        <w:rPr>
          <w:b/>
          <w:sz w:val="22"/>
          <w:szCs w:val="22"/>
        </w:rPr>
      </w:r>
    </w:p>
    <w:p>
      <w:pPr>
        <w:pStyle w:val="Texto"/>
        <w:spacing w:before="60" w:after="60"/>
        <w:rPr>
          <w:i/>
          <w:i/>
          <w:szCs w:val="22"/>
        </w:rPr>
      </w:pPr>
      <w:r>
        <w:rPr>
          <w:b/>
          <w:i/>
          <w:szCs w:val="22"/>
        </w:rPr>
        <w:t>4.2. Objetivos Específicos:</w:t>
      </w:r>
    </w:p>
    <w:p>
      <w:pPr>
        <w:pStyle w:val="ListParagraph"/>
        <w:numPr>
          <w:ilvl w:val="0"/>
          <w:numId w:val="1"/>
        </w:numPr>
        <w:spacing w:lineRule="auto" w:line="360" w:before="60" w:after="60"/>
        <w:jc w:val="both"/>
        <w:rPr>
          <w:rFonts w:ascii="Arial" w:hAnsi="Arial" w:cs="Arial"/>
        </w:rPr>
      </w:pPr>
      <w:r>
        <w:rPr>
          <w:rFonts w:cs="Arial" w:ascii="Arial" w:hAnsi="Arial"/>
        </w:rPr>
        <w:t>Propiciar uma formação crítica, capacitando o profissional a responder às novas exigências do campo da História a partir de uma base sólida de conhecimentos e saberes historicamente construídos;</w:t>
      </w:r>
    </w:p>
    <w:p>
      <w:pPr>
        <w:pStyle w:val="ListParagraph"/>
        <w:numPr>
          <w:ilvl w:val="0"/>
          <w:numId w:val="1"/>
        </w:numPr>
        <w:spacing w:lineRule="auto" w:line="360" w:before="60" w:after="60"/>
        <w:jc w:val="both"/>
        <w:rPr>
          <w:rFonts w:ascii="Arial" w:hAnsi="Arial" w:cs="Arial"/>
        </w:rPr>
      </w:pPr>
      <w:r>
        <w:rPr>
          <w:rFonts w:cs="Arial" w:ascii="Arial" w:hAnsi="Arial"/>
        </w:rPr>
        <w:t>formar de maneira integrada professores de história e historiadores, superando a dicotomia ensino/pesquisa;</w:t>
      </w:r>
    </w:p>
    <w:p>
      <w:pPr>
        <w:pStyle w:val="ListParagraph"/>
        <w:numPr>
          <w:ilvl w:val="0"/>
          <w:numId w:val="1"/>
        </w:numPr>
        <w:spacing w:lineRule="auto" w:line="360" w:before="60" w:after="60"/>
        <w:jc w:val="both"/>
        <w:rPr>
          <w:rFonts w:ascii="Arial" w:hAnsi="Arial" w:cs="Arial"/>
        </w:rPr>
      </w:pPr>
      <w:r>
        <w:rPr>
          <w:rFonts w:cs="Arial" w:ascii="Arial" w:hAnsi="Arial"/>
        </w:rPr>
        <w:t>integrar a formação teórica e prática ao longo do curso, enfatizando as atividades de pesquisa, ensino e extensão como eixos articuladores do processo de produção de conhecimento;</w:t>
      </w:r>
    </w:p>
    <w:p>
      <w:pPr>
        <w:pStyle w:val="ListParagraph"/>
        <w:numPr>
          <w:ilvl w:val="0"/>
          <w:numId w:val="1"/>
        </w:numPr>
        <w:spacing w:lineRule="auto" w:line="360" w:before="60" w:after="60"/>
        <w:jc w:val="both"/>
        <w:rPr>
          <w:rFonts w:ascii="Arial" w:hAnsi="Arial" w:cs="Arial"/>
        </w:rPr>
      </w:pPr>
      <w:r>
        <w:rPr>
          <w:rFonts w:cs="Arial" w:ascii="Arial" w:hAnsi="Arial"/>
        </w:rPr>
        <w:t>capacitar para a docência na educação básica, com compreensão ampla e contextualizada da educação, das escolas e das políticas educacionais;</w:t>
      </w:r>
    </w:p>
    <w:p>
      <w:pPr>
        <w:pStyle w:val="ListParagraph"/>
        <w:numPr>
          <w:ilvl w:val="0"/>
          <w:numId w:val="1"/>
        </w:numPr>
        <w:spacing w:lineRule="auto" w:line="360" w:before="60" w:after="60"/>
        <w:jc w:val="both"/>
        <w:rPr>
          <w:rFonts w:ascii="Arial" w:hAnsi="Arial" w:cs="Arial"/>
        </w:rPr>
      </w:pPr>
      <w:r>
        <w:rPr>
          <w:rFonts w:cs="Arial" w:ascii="Arial" w:hAnsi="Arial"/>
        </w:rPr>
        <w:t>fornecer subsídios para ações no âmbito da divulgação do conhecimento histórico e da educação patrimonial;</w:t>
      </w:r>
    </w:p>
    <w:p>
      <w:pPr>
        <w:pStyle w:val="ListParagraph"/>
        <w:numPr>
          <w:ilvl w:val="0"/>
          <w:numId w:val="1"/>
        </w:numPr>
        <w:spacing w:lineRule="auto" w:line="360" w:before="60" w:after="60"/>
        <w:jc w:val="both"/>
        <w:rPr>
          <w:rFonts w:ascii="Arial" w:hAnsi="Arial" w:cs="Arial"/>
        </w:rPr>
      </w:pPr>
      <w:r>
        <w:rPr>
          <w:rFonts w:cs="Arial" w:ascii="Arial" w:hAnsi="Arial"/>
        </w:rPr>
        <w:t>desenvolver habilidade para o uso das TIC’s no aprimoramento das práticas pedagógicas;</w:t>
      </w:r>
    </w:p>
    <w:p>
      <w:pPr>
        <w:pStyle w:val="ListParagraph"/>
        <w:numPr>
          <w:ilvl w:val="0"/>
          <w:numId w:val="1"/>
        </w:numPr>
        <w:spacing w:lineRule="auto" w:line="360" w:before="60" w:after="60"/>
        <w:jc w:val="both"/>
        <w:rPr>
          <w:rFonts w:ascii="Arial" w:hAnsi="Arial" w:cs="Arial"/>
        </w:rPr>
      </w:pPr>
      <w:r>
        <w:rPr>
          <w:rFonts w:cs="Arial" w:ascii="Arial" w:hAnsi="Arial"/>
        </w:rPr>
        <w:t>refletir sobre a educação inclusiva, estimulando o respeito às diferenças, reconhecendo e valorizando a diversidade étnico-racial, sexual, religiosa, de gênero, de faixa geracional, entre outras;</w:t>
      </w:r>
    </w:p>
    <w:p>
      <w:pPr>
        <w:pStyle w:val="ListParagraph"/>
        <w:numPr>
          <w:ilvl w:val="0"/>
          <w:numId w:val="1"/>
        </w:numPr>
        <w:spacing w:lineRule="auto" w:line="360" w:before="60" w:after="60"/>
        <w:jc w:val="both"/>
        <w:rPr>
          <w:rFonts w:ascii="Arial" w:hAnsi="Arial" w:cs="Arial"/>
          <w:b/>
          <w:b/>
          <w:bCs/>
        </w:rPr>
      </w:pPr>
      <w:r>
        <w:rPr>
          <w:rFonts w:cs="Arial" w:ascii="Arial" w:hAnsi="Arial"/>
        </w:rPr>
        <w:t>descobrir e estimular vocações acadêmicas e preparar estudantes para ingressar em programas de pós-graduação.</w:t>
      </w:r>
    </w:p>
    <w:p>
      <w:pPr>
        <w:pStyle w:val="Normal"/>
        <w:spacing w:lineRule="auto" w:line="360" w:before="60" w:after="60"/>
        <w:jc w:val="both"/>
        <w:rPr>
          <w:rFonts w:ascii="Arial" w:hAnsi="Arial" w:cs="Arial"/>
          <w:b/>
          <w:b/>
          <w:bCs/>
        </w:rPr>
      </w:pPr>
      <w:r>
        <w:rPr>
          <w:rFonts w:cs="Arial" w:ascii="Arial" w:hAnsi="Arial"/>
          <w:b/>
          <w:bCs/>
        </w:rPr>
      </w:r>
    </w:p>
    <w:p>
      <w:pPr>
        <w:pStyle w:val="Normal"/>
        <w:spacing w:lineRule="auto" w:line="360" w:before="60" w:after="60"/>
        <w:jc w:val="both"/>
        <w:rPr>
          <w:rFonts w:ascii="Arial" w:hAnsi="Arial" w:cs="Arial"/>
          <w:b/>
          <w:b/>
          <w:sz w:val="20"/>
        </w:rPr>
      </w:pPr>
      <w:r>
        <w:rPr>
          <w:rFonts w:cs="Arial" w:ascii="Arial" w:hAnsi="Arial"/>
          <w:b/>
          <w:bCs/>
          <w:sz w:val="24"/>
        </w:rPr>
        <w:t>5. METAS</w:t>
      </w:r>
    </w:p>
    <w:p>
      <w:pPr>
        <w:pStyle w:val="Normal"/>
        <w:spacing w:lineRule="auto" w:line="360" w:before="60" w:after="60"/>
        <w:jc w:val="both"/>
        <w:rPr>
          <w:rFonts w:ascii="Arial" w:hAnsi="Arial" w:cs="Arial"/>
        </w:rPr>
      </w:pPr>
      <w:r>
        <w:rPr>
          <w:rFonts w:cs="Arial" w:ascii="Arial" w:hAnsi="Arial"/>
        </w:rPr>
      </w:r>
    </w:p>
    <w:p>
      <w:pPr>
        <w:pStyle w:val="Normal"/>
        <w:spacing w:lineRule="auto" w:line="360" w:before="60" w:after="60"/>
        <w:ind w:firstLine="709"/>
        <w:jc w:val="both"/>
        <w:rPr>
          <w:rFonts w:ascii="Arial" w:hAnsi="Arial" w:cs="Arial"/>
          <w:b/>
          <w:b/>
        </w:rPr>
      </w:pPr>
      <w:r>
        <w:rPr>
          <w:rFonts w:cs="Arial" w:ascii="Arial" w:hAnsi="Arial"/>
        </w:rPr>
        <w:t>Para o bom funcionamento de um curso de graduação em História, algumas metas devem ser mobilizadas constantemente e outras devem ser concretizadas e implantadas com urgência. O discente deve ter acesso à bibliografia atualizada, bolsas de estudo, atividades práticas de ensino, pesquisa e extensão, etc. Neste sentido, a partir da implementação desse novo PPC, se estabelece como metas para o fortalecimento da graduação em História da UFVJM:</w:t>
      </w:r>
    </w:p>
    <w:p>
      <w:pPr>
        <w:pStyle w:val="ListParagraph"/>
        <w:numPr>
          <w:ilvl w:val="0"/>
          <w:numId w:val="3"/>
        </w:numPr>
        <w:spacing w:lineRule="auto" w:line="360" w:before="60" w:after="60"/>
        <w:jc w:val="both"/>
        <w:rPr>
          <w:rFonts w:ascii="Arial" w:hAnsi="Arial" w:cs="Arial"/>
        </w:rPr>
      </w:pPr>
      <w:r>
        <w:rPr>
          <w:rFonts w:cs="Arial" w:ascii="Arial" w:hAnsi="Arial"/>
        </w:rPr>
        <w:t>ampliação do acervo da biblioteca, a partir da aquisição de material bibliográfico específico, já solicitado pela Coordenação de Curso;</w:t>
      </w:r>
    </w:p>
    <w:p>
      <w:pPr>
        <w:pStyle w:val="ListParagraph"/>
        <w:numPr>
          <w:ilvl w:val="0"/>
          <w:numId w:val="3"/>
        </w:numPr>
        <w:spacing w:lineRule="auto" w:line="360" w:before="60" w:after="60"/>
        <w:jc w:val="both"/>
        <w:rPr>
          <w:rFonts w:ascii="Arial" w:hAnsi="Arial" w:cs="Arial"/>
        </w:rPr>
      </w:pPr>
      <w:r>
        <w:rPr>
          <w:rFonts w:cs="Arial" w:ascii="Arial" w:hAnsi="Arial"/>
        </w:rPr>
        <w:t>aumento da participação dos docentes e discentes em programas de fomento à pesquisa e extensão;</w:t>
      </w:r>
    </w:p>
    <w:p>
      <w:pPr>
        <w:pStyle w:val="ListParagraph"/>
        <w:numPr>
          <w:ilvl w:val="0"/>
          <w:numId w:val="3"/>
        </w:numPr>
        <w:spacing w:lineRule="auto" w:line="360" w:before="60" w:after="60"/>
        <w:jc w:val="both"/>
        <w:rPr>
          <w:rFonts w:ascii="Arial" w:hAnsi="Arial" w:cs="Arial"/>
        </w:rPr>
      </w:pPr>
      <w:r>
        <w:rPr>
          <w:rFonts w:cs="Arial" w:ascii="Arial" w:hAnsi="Arial"/>
        </w:rPr>
        <w:t>maior participação de docentes e discentes em eventos acadêmicos no país e no exterior;</w:t>
      </w:r>
    </w:p>
    <w:p>
      <w:pPr>
        <w:pStyle w:val="ListParagraph"/>
        <w:numPr>
          <w:ilvl w:val="0"/>
          <w:numId w:val="3"/>
        </w:numPr>
        <w:spacing w:lineRule="auto" w:line="360" w:before="60" w:after="60"/>
        <w:jc w:val="both"/>
        <w:rPr>
          <w:rFonts w:ascii="Arial" w:hAnsi="Arial" w:cs="Arial"/>
        </w:rPr>
      </w:pPr>
      <w:r>
        <w:rPr>
          <w:rFonts w:cs="Arial" w:ascii="Arial" w:hAnsi="Arial"/>
        </w:rPr>
        <w:t>continuação da participação do curso em programas de iniciação à docência, como o Programa Institucional de Bolsas de Iniciação à Docência (PIBID);</w:t>
      </w:r>
    </w:p>
    <w:p>
      <w:pPr>
        <w:pStyle w:val="ListParagraph"/>
        <w:numPr>
          <w:ilvl w:val="0"/>
          <w:numId w:val="3"/>
        </w:numPr>
        <w:spacing w:lineRule="auto" w:line="360" w:before="60" w:after="60"/>
        <w:jc w:val="both"/>
        <w:rPr>
          <w:rFonts w:ascii="Arial" w:hAnsi="Arial" w:cs="Arial"/>
        </w:rPr>
      </w:pPr>
      <w:r>
        <w:rPr>
          <w:rFonts w:cs="Arial" w:ascii="Arial" w:hAnsi="Arial"/>
        </w:rPr>
        <w:t>manutenção do Laboratório de Pesquisa Histórica, espaço já existente na FIH e destinado às atividades práticas para auxiliar nas experiências pedagógicas e de pesquisa;</w:t>
      </w:r>
    </w:p>
    <w:p>
      <w:pPr>
        <w:pStyle w:val="ListParagraph"/>
        <w:numPr>
          <w:ilvl w:val="0"/>
          <w:numId w:val="3"/>
        </w:numPr>
        <w:spacing w:lineRule="auto" w:line="360" w:before="60" w:after="60"/>
        <w:jc w:val="both"/>
        <w:rPr>
          <w:rFonts w:ascii="Arial" w:hAnsi="Arial" w:cs="Arial"/>
        </w:rPr>
      </w:pPr>
      <w:r>
        <w:rPr>
          <w:rFonts w:cs="Arial" w:ascii="Arial" w:hAnsi="Arial"/>
        </w:rPr>
        <w:t>colocação em funcionamento do Laboratório de Práticas de Ensino de História, localizado no prédio do Centro de Humanidades;</w:t>
      </w:r>
    </w:p>
    <w:p>
      <w:pPr>
        <w:pStyle w:val="ListParagraph"/>
        <w:numPr>
          <w:ilvl w:val="0"/>
          <w:numId w:val="3"/>
        </w:numPr>
        <w:spacing w:lineRule="auto" w:line="360" w:before="60" w:after="60"/>
        <w:jc w:val="both"/>
        <w:rPr>
          <w:rFonts w:ascii="Arial" w:hAnsi="Arial" w:cs="Arial"/>
        </w:rPr>
      </w:pPr>
      <w:r>
        <w:rPr>
          <w:rFonts w:cs="Arial" w:ascii="Arial" w:hAnsi="Arial"/>
        </w:rPr>
        <w:t>criação e manutenção de um Arquivo/Museu na UFVJM com a finalidade de agregar documentos e objetos que constituem a história da instituição, assim como oportunizar aos discentes a atuação no local por meio de estágio;</w:t>
      </w:r>
    </w:p>
    <w:p>
      <w:pPr>
        <w:pStyle w:val="ListParagraph"/>
        <w:numPr>
          <w:ilvl w:val="0"/>
          <w:numId w:val="3"/>
        </w:numPr>
        <w:spacing w:lineRule="auto" w:line="360" w:before="60" w:after="60"/>
        <w:jc w:val="both"/>
        <w:rPr>
          <w:rFonts w:ascii="Arial" w:hAnsi="Arial" w:cs="Arial"/>
        </w:rPr>
      </w:pPr>
      <w:r>
        <w:rPr>
          <w:rFonts w:cs="Arial" w:ascii="Arial" w:hAnsi="Arial"/>
        </w:rPr>
        <w:t>fortalecimento das ações docentes e discentes em suas participações em Grupos de Pesquisas cadastrados no Conselho Nacional de Desenvolvimento Científico e Tecnológico (CNPq).</w:t>
      </w:r>
    </w:p>
    <w:p>
      <w:pPr>
        <w:pStyle w:val="ListParagraph"/>
        <w:numPr>
          <w:ilvl w:val="0"/>
          <w:numId w:val="3"/>
        </w:numPr>
        <w:spacing w:lineRule="auto" w:line="360" w:before="60" w:after="60"/>
        <w:jc w:val="both"/>
        <w:rPr>
          <w:rFonts w:ascii="Arial" w:hAnsi="Arial" w:cs="Arial"/>
        </w:rPr>
      </w:pPr>
      <w:r>
        <w:rPr>
          <w:rFonts w:cs="Arial" w:ascii="Arial" w:hAnsi="Arial"/>
        </w:rPr>
        <w:t>incremento das parcerias com as escolas de Educação Básica da região para as atividades de prática de ensino, de estágio e PIBID;</w:t>
      </w:r>
    </w:p>
    <w:p>
      <w:pPr>
        <w:pStyle w:val="ListParagraph"/>
        <w:numPr>
          <w:ilvl w:val="0"/>
          <w:numId w:val="3"/>
        </w:numPr>
        <w:spacing w:lineRule="auto" w:line="360" w:before="60" w:after="60"/>
        <w:jc w:val="both"/>
        <w:rPr>
          <w:rFonts w:ascii="Arial" w:hAnsi="Arial" w:cs="Arial"/>
        </w:rPr>
      </w:pPr>
      <w:r>
        <w:rPr>
          <w:rFonts w:cs="Arial" w:ascii="Arial" w:hAnsi="Arial"/>
        </w:rPr>
        <w:t>desenvolvimento de TCC’s reconhecidos por sua qualidade e com temáticas mais variadas acerca do campo historiográfico e do ensino de História.</w:t>
      </w:r>
    </w:p>
    <w:p>
      <w:pPr>
        <w:pStyle w:val="ListParagraph"/>
        <w:spacing w:lineRule="auto" w:line="360" w:before="60" w:after="60"/>
        <w:jc w:val="both"/>
        <w:rPr>
          <w:rFonts w:ascii="Arial" w:hAnsi="Arial" w:cs="Arial"/>
          <w:b/>
          <w:b/>
        </w:rPr>
      </w:pPr>
      <w:r>
        <w:rPr>
          <w:rFonts w:cs="Arial" w:ascii="Arial" w:hAnsi="Arial"/>
          <w:b/>
        </w:rPr>
      </w:r>
    </w:p>
    <w:p>
      <w:pPr>
        <w:pStyle w:val="Normal"/>
        <w:spacing w:lineRule="auto" w:line="360" w:before="60" w:after="60"/>
        <w:jc w:val="both"/>
        <w:rPr>
          <w:rFonts w:ascii="Arial" w:hAnsi="Arial" w:cs="Arial"/>
          <w:b/>
          <w:b/>
          <w:sz w:val="24"/>
        </w:rPr>
      </w:pPr>
      <w:r>
        <w:rPr>
          <w:rFonts w:cs="Arial" w:ascii="Arial" w:hAnsi="Arial"/>
          <w:b/>
          <w:bCs/>
          <w:sz w:val="24"/>
        </w:rPr>
        <w:t>6. PERFIL DO EGRESSO</w:t>
      </w:r>
    </w:p>
    <w:p>
      <w:pPr>
        <w:pStyle w:val="ListParagraph"/>
        <w:spacing w:lineRule="auto" w:line="360" w:before="60" w:after="60"/>
        <w:jc w:val="both"/>
        <w:rPr>
          <w:rFonts w:ascii="Arial" w:hAnsi="Arial" w:cs="Arial"/>
          <w:b/>
          <w:b/>
        </w:rPr>
      </w:pPr>
      <w:r>
        <w:rPr>
          <w:rFonts w:cs="Arial" w:ascii="Arial" w:hAnsi="Arial"/>
          <w:b/>
        </w:rPr>
      </w:r>
    </w:p>
    <w:p>
      <w:pPr>
        <w:pStyle w:val="Normal"/>
        <w:spacing w:lineRule="auto" w:line="360" w:before="60" w:after="60"/>
        <w:ind w:firstLine="709"/>
        <w:jc w:val="both"/>
        <w:rPr>
          <w:rFonts w:ascii="Arial" w:hAnsi="Arial" w:cs="Arial"/>
        </w:rPr>
      </w:pPr>
      <w:r>
        <w:rPr>
          <w:rFonts w:cs="Arial" w:ascii="Arial" w:hAnsi="Arial"/>
        </w:rPr>
        <w:t>O licenciado em História na UFVJM estará capacitado a atuar tanto no âmbito escolar, como em práticas não-escolares de ensino e para investigar e refletir sobre as questões referentes ao ensino da História nos diferentes âmbitos e níveis em que se desenvolve. Também será capaz de desenvolver a pesquisa e a produção do conhecimento histórico não só no âmbito da produção acadêmica propriamente dita, como também em instituições de pesquisa, de preservação documental, cultural, assim como nas redes pública e privada de ensino. Trabalhará, portanto, com todas as dimensões da História, dominando conhecimentos específicos da sua área, bem como com as metodologias e técnicas essenciais à produção e divulgação do ensino e do conhecimento histórico.</w:t>
      </w:r>
    </w:p>
    <w:p>
      <w:pPr>
        <w:pStyle w:val="ListParagraph"/>
        <w:spacing w:lineRule="auto" w:line="360" w:before="60" w:after="60"/>
        <w:ind w:left="0" w:firstLine="567"/>
        <w:jc w:val="both"/>
        <w:rPr>
          <w:rFonts w:ascii="Arial" w:hAnsi="Arial" w:cs="Arial"/>
        </w:rPr>
      </w:pPr>
      <w:r>
        <w:rPr>
          <w:rFonts w:cs="Arial" w:ascii="Arial" w:hAnsi="Arial"/>
        </w:rPr>
        <w:t>Quanto à função social do professor de História, o graduado terá autonomia e independência no exercício da profissão, uma vez que sua formação está voltada para o desenvolvimento da consciência crítica. Será capaz de se adaptar às mudanças estruturais do mundo do trabalho, bem como às inovações tecnológicas. Além disso, terá habilidades de integrar os vários saberes da educação, do ensino de história, das historiografias nacional e internacional, em uma perspectiva interdisciplinar.</w:t>
      </w:r>
    </w:p>
    <w:p>
      <w:pPr>
        <w:pStyle w:val="ListParagraph"/>
        <w:spacing w:lineRule="auto" w:line="360" w:before="60" w:after="60"/>
        <w:ind w:left="0" w:firstLine="567"/>
        <w:jc w:val="both"/>
        <w:rPr>
          <w:rFonts w:ascii="Arial" w:hAnsi="Arial" w:cs="Arial"/>
        </w:rPr>
      </w:pPr>
      <w:r>
        <w:rPr>
          <w:rFonts w:cs="Arial" w:ascii="Arial" w:hAnsi="Arial"/>
        </w:rPr>
        <w:t>O graduado no curso de História da UFVJM será ainda capaz de atuar na gestão e organização das instituições de Educação Básica, através do planejamento, execução, acompanhamento e avaliação política de projetos e programas educacionais. Este tipo de formação será proporcionado a ele pelos estágios, pelas UC’s do eixo educacional e pelas Práticas como Componentes Curriculares (PCC’s); dessa forma, os discentes participarão da gestão das instituições de Educação Básica, contribuindo para a elaboração, implementação, coordenação, acompanhamento e avaliação de projetos pedagógicos.</w:t>
      </w:r>
    </w:p>
    <w:p>
      <w:pPr>
        <w:pStyle w:val="Normal"/>
        <w:spacing w:lineRule="auto" w:line="360" w:before="60" w:after="60"/>
        <w:jc w:val="both"/>
        <w:rPr>
          <w:rFonts w:ascii="Arial" w:hAnsi="Arial" w:cs="Arial"/>
          <w:b/>
          <w:b/>
        </w:rPr>
      </w:pPr>
      <w:r>
        <w:rPr>
          <w:rFonts w:cs="Arial" w:ascii="Arial" w:hAnsi="Arial"/>
          <w:b/>
        </w:rPr>
      </w:r>
    </w:p>
    <w:p>
      <w:pPr>
        <w:pStyle w:val="Normal"/>
        <w:spacing w:lineRule="auto" w:line="360" w:before="60" w:after="60"/>
        <w:jc w:val="both"/>
        <w:rPr>
          <w:rFonts w:ascii="Arial" w:hAnsi="Arial" w:cs="Arial"/>
          <w:b/>
          <w:b/>
          <w:sz w:val="24"/>
        </w:rPr>
      </w:pPr>
      <w:r>
        <w:rPr>
          <w:rFonts w:cs="Arial" w:ascii="Arial" w:hAnsi="Arial"/>
          <w:b/>
          <w:bCs/>
          <w:sz w:val="24"/>
        </w:rPr>
        <w:t>7. COMPETÊNCIAS E HABILIDADES</w:t>
      </w:r>
    </w:p>
    <w:p>
      <w:pPr>
        <w:pStyle w:val="ListParagraph"/>
        <w:spacing w:lineRule="auto" w:line="360" w:before="60" w:after="60"/>
        <w:jc w:val="both"/>
        <w:rPr>
          <w:rFonts w:ascii="Arial" w:hAnsi="Arial" w:cs="Arial"/>
          <w:b/>
          <w:b/>
        </w:rPr>
      </w:pPr>
      <w:r>
        <w:rPr>
          <w:rFonts w:cs="Arial" w:ascii="Arial" w:hAnsi="Arial"/>
          <w:b/>
        </w:rPr>
      </w:r>
    </w:p>
    <w:p>
      <w:pPr>
        <w:pStyle w:val="Normal"/>
        <w:spacing w:lineRule="auto" w:line="360" w:before="60" w:after="60"/>
        <w:ind w:firstLine="709"/>
        <w:jc w:val="both"/>
        <w:rPr>
          <w:rFonts w:ascii="Arial" w:hAnsi="Arial" w:cs="Arial"/>
        </w:rPr>
      </w:pPr>
      <w:r>
        <w:rPr>
          <w:rFonts w:cs="Arial" w:ascii="Arial" w:hAnsi="Arial"/>
        </w:rPr>
        <w:t>As competências e as habilidades que são esperadas dos egressos de uma Licenciatura em História abarcam, evidentemente, a dimensão do trabalho docente. Ele “deverá possuir um repertório de informações e habilidades composto pela pluralidade de conhecimentos teóricos e práticos [...] fundamentado em princípios de interdisciplinaridade, contextualização, democratização, pertinência e relevância social, ética e sensibilidade afetiva e estética” (Resolução CNE/CP nº 02, 1º de julho de 2015, art. 7º). Assim, os futuros docentes deverão ter a capacidade de:</w:t>
      </w:r>
    </w:p>
    <w:p>
      <w:pPr>
        <w:pStyle w:val="Texto"/>
        <w:numPr>
          <w:ilvl w:val="0"/>
          <w:numId w:val="4"/>
        </w:numPr>
        <w:spacing w:before="60" w:after="60"/>
        <w:rPr>
          <w:sz w:val="22"/>
          <w:szCs w:val="22"/>
        </w:rPr>
      </w:pPr>
      <w:r>
        <w:rPr>
          <w:sz w:val="22"/>
          <w:szCs w:val="22"/>
        </w:rPr>
        <w:t>analisar, criticar, selecionar e utilizar os diferentes conceitos referentes às estruturas e relações sócio-históricas das diversas realidades;</w:t>
      </w:r>
    </w:p>
    <w:p>
      <w:pPr>
        <w:pStyle w:val="Texto"/>
        <w:numPr>
          <w:ilvl w:val="0"/>
          <w:numId w:val="4"/>
        </w:numPr>
        <w:spacing w:before="60" w:after="60"/>
        <w:rPr>
          <w:sz w:val="22"/>
          <w:szCs w:val="22"/>
        </w:rPr>
      </w:pPr>
      <w:r>
        <w:rPr>
          <w:sz w:val="22"/>
          <w:szCs w:val="22"/>
        </w:rPr>
        <w:t>descrever, comparar e avaliar as variações dos processos históricos e suas diferentes modalidades de combinação no tempo e no espaço;</w:t>
      </w:r>
    </w:p>
    <w:p>
      <w:pPr>
        <w:pStyle w:val="Texto"/>
        <w:numPr>
          <w:ilvl w:val="0"/>
          <w:numId w:val="4"/>
        </w:numPr>
        <w:spacing w:before="60" w:after="60"/>
        <w:rPr>
          <w:sz w:val="22"/>
          <w:szCs w:val="22"/>
        </w:rPr>
      </w:pPr>
      <w:r>
        <w:rPr>
          <w:sz w:val="22"/>
          <w:szCs w:val="22"/>
        </w:rPr>
        <w:t>estudar a fundamentação teórico-metodológica das escolas historiográficas;</w:t>
      </w:r>
    </w:p>
    <w:p>
      <w:pPr>
        <w:pStyle w:val="Texto"/>
        <w:numPr>
          <w:ilvl w:val="0"/>
          <w:numId w:val="4"/>
        </w:numPr>
        <w:spacing w:before="60" w:after="60"/>
        <w:rPr>
          <w:sz w:val="22"/>
          <w:szCs w:val="22"/>
        </w:rPr>
      </w:pPr>
      <w:r>
        <w:rPr>
          <w:sz w:val="22"/>
          <w:szCs w:val="22"/>
        </w:rPr>
        <w:t>dominar as metodologias, técnicas e procedimentos necessários à pesquisa e ao ensino de História, utilizando diferentes registros e suportes;</w:t>
      </w:r>
    </w:p>
    <w:p>
      <w:pPr>
        <w:pStyle w:val="Texto"/>
        <w:numPr>
          <w:ilvl w:val="0"/>
          <w:numId w:val="4"/>
        </w:numPr>
        <w:spacing w:before="60" w:after="60"/>
        <w:rPr>
          <w:sz w:val="22"/>
          <w:szCs w:val="22"/>
        </w:rPr>
      </w:pPr>
      <w:r>
        <w:rPr>
          <w:sz w:val="22"/>
          <w:szCs w:val="22"/>
        </w:rPr>
        <w:t>trabalhar o saber histórico de forma inter/multi e transdisciplinar, transitando pelas fronteiras com as outras áreas, diferenciando-as da forma necessária à construção do conhecimento específico da História;</w:t>
      </w:r>
    </w:p>
    <w:p>
      <w:pPr>
        <w:pStyle w:val="Texto"/>
        <w:numPr>
          <w:ilvl w:val="0"/>
          <w:numId w:val="4"/>
        </w:numPr>
        <w:spacing w:before="60" w:after="60"/>
        <w:rPr>
          <w:sz w:val="22"/>
          <w:szCs w:val="22"/>
        </w:rPr>
      </w:pPr>
      <w:r>
        <w:rPr>
          <w:sz w:val="22"/>
          <w:szCs w:val="22"/>
        </w:rPr>
        <w:t>estimular habilidades para o trabalho independente e autônomo, fazendo uso de múltiplas linguagens na construção do conhecimento;</w:t>
      </w:r>
    </w:p>
    <w:p>
      <w:pPr>
        <w:pStyle w:val="Texto"/>
        <w:numPr>
          <w:ilvl w:val="0"/>
          <w:numId w:val="4"/>
        </w:numPr>
        <w:spacing w:before="60" w:after="60"/>
        <w:rPr>
          <w:sz w:val="22"/>
          <w:szCs w:val="22"/>
        </w:rPr>
      </w:pPr>
      <w:r>
        <w:rPr>
          <w:sz w:val="22"/>
          <w:szCs w:val="22"/>
        </w:rPr>
        <w:t>utilizar adequadamente a tecnologia educacional, de forma coerente com suas concepções teórico-metodológicas;</w:t>
      </w:r>
    </w:p>
    <w:p>
      <w:pPr>
        <w:pStyle w:val="Texto"/>
        <w:numPr>
          <w:ilvl w:val="0"/>
          <w:numId w:val="4"/>
        </w:numPr>
        <w:spacing w:before="60" w:after="60"/>
        <w:rPr>
          <w:sz w:val="22"/>
          <w:szCs w:val="22"/>
        </w:rPr>
      </w:pPr>
      <w:r>
        <w:rPr>
          <w:sz w:val="22"/>
          <w:szCs w:val="22"/>
        </w:rPr>
        <w:t>analisar criticamente materiais e suportes didáticos;</w:t>
      </w:r>
    </w:p>
    <w:p>
      <w:pPr>
        <w:pStyle w:val="Texto"/>
        <w:numPr>
          <w:ilvl w:val="0"/>
          <w:numId w:val="4"/>
        </w:numPr>
        <w:spacing w:before="60" w:after="60"/>
        <w:rPr>
          <w:sz w:val="22"/>
          <w:szCs w:val="22"/>
        </w:rPr>
      </w:pPr>
      <w:r>
        <w:rPr>
          <w:sz w:val="22"/>
          <w:szCs w:val="22"/>
        </w:rPr>
        <w:t>atuar na gestão de processos educativos e na organização e administração de instituições de educação básica;</w:t>
      </w:r>
    </w:p>
    <w:p>
      <w:pPr>
        <w:pStyle w:val="Texto"/>
        <w:numPr>
          <w:ilvl w:val="0"/>
          <w:numId w:val="4"/>
        </w:numPr>
        <w:spacing w:before="60" w:after="60"/>
        <w:rPr>
          <w:sz w:val="22"/>
          <w:szCs w:val="22"/>
        </w:rPr>
      </w:pPr>
      <w:r>
        <w:rPr>
          <w:sz w:val="22"/>
          <w:szCs w:val="22"/>
        </w:rPr>
        <w:t>desenvolver projetos de pesquisa e estudos monográficos que contemplem inúmeros aspectos da história e do seu ensino;</w:t>
      </w:r>
    </w:p>
    <w:p>
      <w:pPr>
        <w:pStyle w:val="Texto"/>
        <w:numPr>
          <w:ilvl w:val="0"/>
          <w:numId w:val="4"/>
        </w:numPr>
        <w:spacing w:before="60" w:after="60"/>
        <w:rPr>
          <w:sz w:val="22"/>
          <w:szCs w:val="22"/>
        </w:rPr>
      </w:pPr>
      <w:r>
        <w:rPr>
          <w:sz w:val="22"/>
          <w:szCs w:val="22"/>
        </w:rPr>
        <w:t>integrar o ensino, a pesquisa e a extensão, realizando projetos que contemplem a análise de fontes primárias, sua articulação com o ensino e atividades voltadas à comunidade local.</w:t>
      </w:r>
    </w:p>
    <w:p>
      <w:pPr>
        <w:pStyle w:val="ListParagraph"/>
        <w:spacing w:lineRule="auto" w:line="360" w:before="60" w:after="60"/>
        <w:jc w:val="both"/>
        <w:rPr>
          <w:rFonts w:ascii="Arial" w:hAnsi="Arial" w:cs="Arial"/>
          <w:b/>
          <w:b/>
        </w:rPr>
      </w:pPr>
      <w:r>
        <w:rPr>
          <w:rFonts w:cs="Arial" w:ascii="Arial" w:hAnsi="Arial"/>
          <w:b/>
        </w:rPr>
      </w:r>
    </w:p>
    <w:p>
      <w:pPr>
        <w:pStyle w:val="Normal"/>
        <w:spacing w:lineRule="auto" w:line="360" w:before="60" w:after="60"/>
        <w:jc w:val="both"/>
        <w:rPr>
          <w:rFonts w:ascii="Arial" w:hAnsi="Arial" w:cs="Arial"/>
          <w:b/>
          <w:b/>
          <w:sz w:val="24"/>
        </w:rPr>
      </w:pPr>
      <w:r>
        <w:rPr>
          <w:rFonts w:cs="Arial" w:ascii="Arial" w:hAnsi="Arial"/>
          <w:b/>
          <w:bCs/>
          <w:sz w:val="24"/>
        </w:rPr>
        <w:t>8. CAMPO DE ATUAÇÃO DO PROFISSIONAL</w:t>
      </w:r>
    </w:p>
    <w:p>
      <w:pPr>
        <w:pStyle w:val="ListParagraph"/>
        <w:spacing w:lineRule="auto" w:line="360" w:before="60" w:after="60"/>
        <w:ind w:left="0" w:hanging="0"/>
        <w:jc w:val="both"/>
        <w:rPr>
          <w:rFonts w:ascii="Arial" w:hAnsi="Arial" w:cs="Arial"/>
          <w:b/>
          <w:b/>
        </w:rPr>
      </w:pPr>
      <w:r>
        <w:rPr>
          <w:rFonts w:cs="Arial" w:ascii="Arial" w:hAnsi="Arial"/>
          <w:b/>
        </w:rPr>
      </w:r>
    </w:p>
    <w:p>
      <w:pPr>
        <w:pStyle w:val="Texto"/>
        <w:spacing w:before="60" w:after="60"/>
        <w:ind w:firstLine="709"/>
        <w:rPr>
          <w:sz w:val="22"/>
          <w:szCs w:val="22"/>
        </w:rPr>
      </w:pPr>
      <w:r>
        <w:rPr>
          <w:sz w:val="22"/>
          <w:szCs w:val="22"/>
        </w:rPr>
        <w:t>Pretende-se que os egressos do curso de graduação em História da UFVJM sejam capazes de:</w:t>
      </w:r>
    </w:p>
    <w:p>
      <w:pPr>
        <w:pStyle w:val="Texto"/>
        <w:numPr>
          <w:ilvl w:val="0"/>
          <w:numId w:val="5"/>
        </w:numPr>
        <w:spacing w:before="60" w:after="60"/>
        <w:rPr>
          <w:sz w:val="22"/>
          <w:szCs w:val="22"/>
        </w:rPr>
      </w:pPr>
      <w:r>
        <w:rPr>
          <w:sz w:val="22"/>
          <w:szCs w:val="22"/>
        </w:rPr>
        <w:t>exercer a docência no Ensino Fundamental (séries finais) e Médio, trabalhando em consonância com as Diretrizes Curriculares Nacionais (DCNs), com a legislação pertinente à Educação e com as comunidades nas quais estão inseridos;</w:t>
      </w:r>
    </w:p>
    <w:p>
      <w:pPr>
        <w:pStyle w:val="Texto"/>
        <w:numPr>
          <w:ilvl w:val="0"/>
          <w:numId w:val="5"/>
        </w:numPr>
        <w:spacing w:before="60" w:after="60"/>
        <w:rPr>
          <w:sz w:val="22"/>
          <w:szCs w:val="22"/>
        </w:rPr>
      </w:pPr>
      <w:r>
        <w:rPr>
          <w:sz w:val="22"/>
          <w:szCs w:val="22"/>
        </w:rPr>
        <w:t>participar e contribuir na gestão das instituições nas quais exercem a profissão docente;</w:t>
      </w:r>
    </w:p>
    <w:p>
      <w:pPr>
        <w:pStyle w:val="Texto"/>
        <w:numPr>
          <w:ilvl w:val="0"/>
          <w:numId w:val="5"/>
        </w:numPr>
        <w:spacing w:before="60" w:after="60"/>
        <w:rPr>
          <w:sz w:val="22"/>
          <w:szCs w:val="22"/>
        </w:rPr>
      </w:pPr>
      <w:r>
        <w:rPr>
          <w:sz w:val="22"/>
          <w:szCs w:val="22"/>
        </w:rPr>
        <w:t>desenvolver projetos de ensino-aprendizagem adaptados às particularidades socioculturais e cognitivas de diferentes grupos de discentes;</w:t>
      </w:r>
    </w:p>
    <w:p>
      <w:pPr>
        <w:pStyle w:val="Texto"/>
        <w:numPr>
          <w:ilvl w:val="0"/>
          <w:numId w:val="5"/>
        </w:numPr>
        <w:spacing w:before="60" w:after="60"/>
        <w:rPr>
          <w:sz w:val="22"/>
          <w:szCs w:val="22"/>
        </w:rPr>
      </w:pPr>
      <w:r>
        <w:rPr>
          <w:sz w:val="22"/>
          <w:szCs w:val="22"/>
        </w:rPr>
        <w:t>fortalecer projetos sociais e educativos com vistas à preservação da identidade e formação cidadã sob uma ótica multicultural e étnica, proporcionando uma integração com as comunidades na quais se inserem;</w:t>
      </w:r>
    </w:p>
    <w:p>
      <w:pPr>
        <w:pStyle w:val="Texto"/>
        <w:numPr>
          <w:ilvl w:val="0"/>
          <w:numId w:val="5"/>
        </w:numPr>
        <w:spacing w:before="60" w:after="60"/>
        <w:rPr>
          <w:sz w:val="22"/>
          <w:szCs w:val="22"/>
        </w:rPr>
      </w:pPr>
      <w:r>
        <w:rPr>
          <w:sz w:val="22"/>
          <w:szCs w:val="22"/>
        </w:rPr>
        <w:t>integrar ensino e pesquisa, que contemplem tanto a produção do conhecimento histórico, a análise de fontes primárias e a preservação do patrimônio histórico nas suas articulações com o ensino;</w:t>
      </w:r>
    </w:p>
    <w:p>
      <w:pPr>
        <w:pStyle w:val="ListParagraph"/>
        <w:numPr>
          <w:ilvl w:val="0"/>
          <w:numId w:val="5"/>
        </w:numPr>
        <w:spacing w:lineRule="auto" w:line="360" w:before="60" w:after="60"/>
        <w:jc w:val="both"/>
        <w:rPr>
          <w:rFonts w:ascii="Arial" w:hAnsi="Arial" w:cs="Arial"/>
        </w:rPr>
      </w:pPr>
      <w:r>
        <w:rPr>
          <w:rFonts w:cs="Arial" w:ascii="Arial" w:hAnsi="Arial"/>
        </w:rPr>
        <w:t>trabalhar em instituições públicas e privadas, em atividades que visam a preservação do Patrimônio Histórico e Cultural, como Museus e Arquivos, além de desenvolver pesquisas ou consultorias e assessorias.</w:t>
      </w:r>
    </w:p>
    <w:p>
      <w:pPr>
        <w:pStyle w:val="ListParagraph"/>
        <w:spacing w:lineRule="auto" w:line="360" w:before="144" w:after="144"/>
        <w:jc w:val="both"/>
        <w:rPr>
          <w:rFonts w:ascii="Arial" w:hAnsi="Arial" w:cs="Arial"/>
          <w:b/>
          <w:b/>
        </w:rPr>
      </w:pPr>
      <w:r>
        <w:rPr>
          <w:rFonts w:cs="Arial" w:ascii="Arial" w:hAnsi="Arial"/>
          <w:b/>
        </w:rPr>
      </w:r>
    </w:p>
    <w:p>
      <w:pPr>
        <w:pStyle w:val="Normal"/>
        <w:spacing w:lineRule="auto" w:line="360" w:before="144" w:after="144"/>
        <w:jc w:val="both"/>
        <w:rPr>
          <w:rFonts w:ascii="Arial" w:hAnsi="Arial" w:cs="Arial"/>
          <w:b/>
          <w:b/>
          <w:sz w:val="24"/>
        </w:rPr>
      </w:pPr>
      <w:r>
        <w:rPr>
          <w:rFonts w:cs="Arial" w:ascii="Arial" w:hAnsi="Arial"/>
          <w:b/>
          <w:bCs/>
          <w:sz w:val="24"/>
        </w:rPr>
        <w:t>9. PROPOSTA PEDAGÓGICA</w:t>
      </w:r>
    </w:p>
    <w:p>
      <w:pPr>
        <w:pStyle w:val="Texto"/>
        <w:spacing w:before="144" w:after="144"/>
        <w:ind w:firstLine="709"/>
        <w:rPr>
          <w:sz w:val="22"/>
          <w:szCs w:val="22"/>
        </w:rPr>
      </w:pPr>
      <w:r>
        <w:rPr>
          <w:sz w:val="22"/>
          <w:szCs w:val="22"/>
        </w:rPr>
      </w:r>
    </w:p>
    <w:p>
      <w:pPr>
        <w:pStyle w:val="Texto"/>
        <w:spacing w:before="144" w:after="144"/>
        <w:ind w:firstLine="709"/>
        <w:rPr>
          <w:sz w:val="22"/>
          <w:szCs w:val="22"/>
        </w:rPr>
      </w:pPr>
      <w:r>
        <w:rPr>
          <w:sz w:val="22"/>
          <w:szCs w:val="22"/>
        </w:rPr>
        <w:t>A matriz curricular proposta para o curso de graduação em Licenciatura em História da UFVJM tem como espinha dorsal a construção do conhecimento e a relação teoria/prática em seus variados níveis de desenvolvimento. Possui uma estrutura curricular composta por um elenco de UC’s, todas consideradas de caráter teórico e prático, divididas em Eixos de Formação, conforme será mostrado no item 10. Organização Curricular. Esta estrutura visa a formação do discente, articulando o conhecimento histórico com ensino, pesquisa e extensão.</w:t>
      </w:r>
    </w:p>
    <w:p>
      <w:pPr>
        <w:pStyle w:val="Texto"/>
        <w:spacing w:before="144" w:after="144"/>
        <w:ind w:firstLine="709"/>
        <w:rPr>
          <w:sz w:val="22"/>
          <w:szCs w:val="22"/>
        </w:rPr>
      </w:pPr>
      <w:r>
        <w:rPr>
          <w:sz w:val="22"/>
          <w:szCs w:val="22"/>
        </w:rPr>
        <w:t>Do ponto de vista historiográfico, busca romper com uma história eurocêntrica e nacional, que valoriza a cultura do homem branco, a favor de uma história voltada para o estudo dos entrelaçamentos dos processos históricos e de múltiplas culturas, tanto no plano nacional, como no plano mundial. No movimento de renovação incorporam-se novos temas, novos objetos, novas abordagens de interpretação da História, principalmente pela exploração de novas fontes documentais, procurando compreender e explicar mudanças que se processam nas sociedades nas esferas do político, do social, do econômico, do cultural e do cotidiano. A matriz curricular proporciona, portanto, a problematização de visões consagradas pela historiografia tradicional, tomando como referência as características de experiências culturais das diferentes matizes étnicas formadoras do povo brasileiro.</w:t>
      </w:r>
    </w:p>
    <w:p>
      <w:pPr>
        <w:pStyle w:val="Texto"/>
        <w:spacing w:before="144" w:after="144"/>
        <w:ind w:firstLine="709"/>
        <w:rPr>
          <w:sz w:val="22"/>
          <w:szCs w:val="22"/>
        </w:rPr>
      </w:pPr>
      <w:r>
        <w:rPr>
          <w:sz w:val="22"/>
          <w:szCs w:val="22"/>
        </w:rPr>
        <w:t xml:space="preserve">Dessa forma, uma dimensão importante para esse projeto é trabalhar a interdisciplinaridade no sentido epistemológico, o que implica em abordar as UC’s da Licenciatura em História de uma perspectiva dialógica com outros campos do conhecimento. Sendo assim, tanto as UC’s do eixo específico, quanto aquelas do eixo interdisciplinar, deverão ser tratadas pela lógica da interdisciplinaridade, o que implica em perpassar o processo de ensino aprendizagem, objetivando-se a formulação de um saber crítico-reflexivo e menos fragmentado pelos limites disciplinares. </w:t>
      </w:r>
    </w:p>
    <w:p>
      <w:pPr>
        <w:pStyle w:val="Texto"/>
        <w:tabs>
          <w:tab w:val="left" w:pos="567" w:leader="none"/>
        </w:tabs>
        <w:spacing w:before="144" w:after="144"/>
        <w:ind w:firstLine="709"/>
        <w:rPr>
          <w:sz w:val="22"/>
          <w:szCs w:val="22"/>
        </w:rPr>
      </w:pPr>
      <w:r>
        <w:rPr>
          <w:sz w:val="22"/>
          <w:szCs w:val="22"/>
        </w:rPr>
        <w:t>Do ponto de vista pedagógico, espera-se que os discentes construam conhecimentos a partir de questões colocadas por eles mesmos às diferentes fontes, aos textos historiográficos, às situações escolares de ensino de história e às situações educacionais gerais, como a didática, a gestão e a cultura escolar. Considera-se que o processo de aprendizagem é contínuo, mediado pela cultura, pela individualidade e pela diferença proporcionada pela presença do outro. Cabe ao professor o papel de potencializar as capacidades de aprendizagem dos discentes. O currículo pretende ampliar a compreensão dos processos formadores que buscam o desenvolvimento não apenas cognitivo, como também afetivo, estético e ético. Procura-se ainda a formação de atitudes de solidariedade no convívio social e de respeito às diferenças, assegurando a conquista da cidadania e dos direitos sociais.</w:t>
      </w:r>
    </w:p>
    <w:p>
      <w:pPr>
        <w:pStyle w:val="Texto"/>
        <w:tabs>
          <w:tab w:val="left" w:pos="567" w:leader="none"/>
        </w:tabs>
        <w:spacing w:before="144" w:after="144"/>
        <w:ind w:firstLine="709"/>
        <w:rPr>
          <w:sz w:val="22"/>
          <w:szCs w:val="22"/>
        </w:rPr>
      </w:pPr>
      <w:r>
        <w:rPr>
          <w:sz w:val="22"/>
          <w:szCs w:val="22"/>
        </w:rPr>
        <w:t>Faz parte do processo de ensino-aprendizagem o aspecto avaliativo, por isso, o presente projeto propõe como possibilidade que a Licenciatura em História assuma uma concepção avaliativa e processual. A partir dela, se permitirá acompanhar a construção do conhecimento, identificando eventuais problemas e dificuldades para que possam ser corrigidos antes de avançar. A avaliação processual é formativa e contínua, pois permite examinar a aprendizagem ao longo das atividades realizadas durante o processo, compreendendo o discente de forma ativa.</w:t>
      </w:r>
    </w:p>
    <w:p>
      <w:pPr>
        <w:pStyle w:val="Texto"/>
        <w:tabs>
          <w:tab w:val="left" w:pos="567" w:leader="none"/>
        </w:tabs>
        <w:spacing w:before="144" w:after="144"/>
        <w:ind w:firstLine="709"/>
        <w:rPr>
          <w:sz w:val="22"/>
          <w:szCs w:val="22"/>
        </w:rPr>
      </w:pPr>
      <w:r>
        <w:rPr>
          <w:sz w:val="22"/>
          <w:szCs w:val="22"/>
        </w:rPr>
        <w:t xml:space="preserve">A formação do professor de História da UFVJM, além da concepção historiográfica pautada na ampliação da noção de sujeitos, objetos e temporalidade múltipla, também se fundamenta na visão humanista e crítica do cidadão. Com isso, pretende-se valorizar a inserção social com capacidade para atuar com criatividade, competência e responsabilidade na profissão docente. Essa formação inclui teorias e práticas que conduzem ao desenvolvimento integral dos discentes, para que possam ser capazes de transformar o conhecimento e não apenas reproduzi-lo. Frente à ampliação da demanda por novos profissionais da educação e, especificamente, professores de História, é necessário dar à docência um novo enfoque. </w:t>
      </w:r>
    </w:p>
    <w:p>
      <w:pPr>
        <w:pStyle w:val="Texto"/>
        <w:tabs>
          <w:tab w:val="left" w:pos="567" w:leader="none"/>
        </w:tabs>
        <w:spacing w:before="144" w:after="144"/>
        <w:ind w:firstLine="709"/>
        <w:rPr>
          <w:sz w:val="22"/>
          <w:szCs w:val="22"/>
        </w:rPr>
      </w:pPr>
      <w:r>
        <w:rPr>
          <w:sz w:val="22"/>
          <w:szCs w:val="22"/>
        </w:rPr>
        <w:t>Sendo assim, os licenciados em História devem ser preparados para a docência, pesquisa e coordenação pedagógica, bem como para a organização dos tempos e espaços escolares e o redimensionamento do espaço institucional da escola. Pois, em um ambiente no qual se convive com as diferenças, acentuam-se os ritmos e processos de aprendizagem que perpassam processos como: a inclusão de pessoas com necessidades educacionais específicas (deficiências, altas habilidades, transtornos como Transtorno do Espectro Autista (TEA), entre outros), a emergência de novos saberes regionais/locais e a consolidações do conhecimento produzido pela ciência.</w:t>
      </w:r>
    </w:p>
    <w:p>
      <w:pPr>
        <w:pStyle w:val="Texto"/>
        <w:tabs>
          <w:tab w:val="left" w:pos="567" w:leader="none"/>
        </w:tabs>
        <w:spacing w:before="144" w:after="144"/>
        <w:ind w:firstLine="709"/>
        <w:rPr>
          <w:sz w:val="22"/>
          <w:szCs w:val="22"/>
        </w:rPr>
      </w:pPr>
      <w:r>
        <w:rPr>
          <w:sz w:val="22"/>
          <w:szCs w:val="22"/>
        </w:rPr>
        <w:t>A formulação de questões, como: a formação docente, relação teoria e prática, avaliação, estágio e pesquisa, conteúdos metodológicos e fundamentos teóricos, têm-se consubstanciado em propostas curriculares respaldadas nas mudanças hoje debatidas e implantadas nos vários sistemas educacionais. Nesse âmbito, uma das preocupações na formação do professor de História da UFVJM é articular diferentes oportunidades de conhecimento, tanto nas UCs como em outras situações, como projetos de pesquisa e extensão, o contato de temáticas e contextos variados para uma maior exposição do graduando com as situações educacionais que se fazem presentes na sociedade contemporânea.</w:t>
      </w:r>
    </w:p>
    <w:p>
      <w:pPr>
        <w:pStyle w:val="Texto"/>
        <w:tabs>
          <w:tab w:val="left" w:pos="567" w:leader="none"/>
        </w:tabs>
        <w:spacing w:before="144" w:after="144"/>
        <w:ind w:firstLine="709"/>
        <w:rPr>
          <w:sz w:val="22"/>
          <w:szCs w:val="22"/>
        </w:rPr>
      </w:pPr>
      <w:r>
        <w:rPr>
          <w:sz w:val="22"/>
          <w:szCs w:val="22"/>
        </w:rPr>
      </w:r>
    </w:p>
    <w:p>
      <w:pPr>
        <w:pStyle w:val="Texto"/>
        <w:tabs>
          <w:tab w:val="left" w:pos="567" w:leader="none"/>
        </w:tabs>
        <w:spacing w:before="144" w:after="144"/>
        <w:rPr>
          <w:b/>
          <w:b/>
          <w:i/>
          <w:i/>
          <w:szCs w:val="22"/>
        </w:rPr>
      </w:pPr>
      <w:r>
        <w:rPr>
          <w:b/>
          <w:i/>
          <w:szCs w:val="22"/>
        </w:rPr>
        <w:t>9.1. Apoio ao Discente:</w:t>
      </w:r>
    </w:p>
    <w:p>
      <w:pPr>
        <w:pStyle w:val="Texto"/>
        <w:spacing w:before="144" w:after="144"/>
        <w:ind w:firstLine="709"/>
        <w:rPr>
          <w:rFonts w:eastAsia="" w:eastAsiaTheme="minorEastAsia"/>
          <w:sz w:val="22"/>
          <w:szCs w:val="22"/>
        </w:rPr>
      </w:pPr>
      <w:r>
        <w:rPr>
          <w:rFonts w:eastAsia="" w:eastAsiaTheme="minorEastAsia"/>
          <w:sz w:val="22"/>
          <w:szCs w:val="22"/>
        </w:rPr>
        <w:t>Para um melhor desempenho do discente do curso de Licenciatura em História, a proposta pedagógica prevê como parceiros os programas de apoio ao estudante e ao ensino fomentados/aderidos pela UFVJM. Nesse sentido, os discentes do curso podem se candidatar para ser beneficiados pelos programas a seguir:</w:t>
      </w:r>
    </w:p>
    <w:p>
      <w:pPr>
        <w:pStyle w:val="Texto"/>
        <w:numPr>
          <w:ilvl w:val="0"/>
          <w:numId w:val="6"/>
        </w:numPr>
        <w:tabs>
          <w:tab w:val="left" w:pos="567" w:leader="none"/>
        </w:tabs>
        <w:spacing w:before="144" w:after="144"/>
        <w:rPr>
          <w:rFonts w:eastAsia="" w:eastAsiaTheme="minorEastAsia"/>
          <w:sz w:val="22"/>
          <w:szCs w:val="22"/>
        </w:rPr>
      </w:pPr>
      <w:r>
        <w:rPr>
          <w:rFonts w:eastAsia="" w:eastAsiaTheme="minorEastAsia"/>
          <w:sz w:val="22"/>
          <w:szCs w:val="22"/>
        </w:rPr>
        <w:t>Programa de Assistência Estudantil (PAE), cujo objetivo é realizar ações de ampliação das condições de permanência dos discentes em situação de vulnerabilidade socioeconômica;</w:t>
      </w:r>
    </w:p>
    <w:p>
      <w:pPr>
        <w:pStyle w:val="Texto"/>
        <w:numPr>
          <w:ilvl w:val="0"/>
          <w:numId w:val="6"/>
        </w:numPr>
        <w:tabs>
          <w:tab w:val="left" w:pos="567" w:leader="none"/>
        </w:tabs>
        <w:spacing w:before="144" w:after="144"/>
        <w:rPr>
          <w:rFonts w:eastAsia="" w:eastAsiaTheme="minorEastAsia"/>
          <w:sz w:val="22"/>
          <w:szCs w:val="22"/>
        </w:rPr>
      </w:pPr>
      <w:r>
        <w:rPr>
          <w:rFonts w:eastAsia="" w:eastAsiaTheme="minorEastAsia"/>
          <w:sz w:val="22"/>
          <w:szCs w:val="22"/>
        </w:rPr>
        <w:t>O Programa de Bolsa Permanência (PBP), que consiste na concessão de auxílio financeiro do Governo Federal a matriculados em situação de vulnerabilidade socioeconômica e para indígenas e quilombolas;</w:t>
      </w:r>
    </w:p>
    <w:p>
      <w:pPr>
        <w:pStyle w:val="Texto"/>
        <w:numPr>
          <w:ilvl w:val="0"/>
          <w:numId w:val="6"/>
        </w:numPr>
        <w:tabs>
          <w:tab w:val="left" w:pos="567" w:leader="none"/>
        </w:tabs>
        <w:spacing w:before="144" w:after="144"/>
        <w:rPr>
          <w:rFonts w:eastAsia="" w:eastAsiaTheme="minorEastAsia"/>
          <w:sz w:val="22"/>
          <w:szCs w:val="22"/>
        </w:rPr>
      </w:pPr>
      <w:r>
        <w:rPr>
          <w:rFonts w:eastAsia="" w:eastAsiaTheme="minorEastAsia"/>
          <w:sz w:val="22"/>
          <w:szCs w:val="22"/>
        </w:rPr>
        <w:t>Moradia Estudantil Universitária (MEU), que é o conjunto de edificações destinadas a garantir o alojamento temporário de discentes em situação de vulnerabilidade socioeconômica.</w:t>
      </w:r>
    </w:p>
    <w:p>
      <w:pPr>
        <w:pStyle w:val="Texto"/>
        <w:spacing w:before="144" w:after="144"/>
        <w:ind w:firstLine="709"/>
        <w:rPr>
          <w:rFonts w:eastAsia="" w:eastAsiaTheme="minorEastAsia"/>
          <w:sz w:val="22"/>
          <w:szCs w:val="22"/>
        </w:rPr>
      </w:pPr>
      <w:r>
        <w:rPr>
          <w:rFonts w:eastAsia="" w:eastAsiaTheme="minorEastAsia"/>
          <w:sz w:val="22"/>
          <w:szCs w:val="22"/>
        </w:rPr>
        <w:t>Além desses programas de assistência, os discentes do curso também terão oportunidade de participar de programas que envolvem atividades de ensino, pesquisa e extensão, tais como:</w:t>
      </w:r>
    </w:p>
    <w:p>
      <w:pPr>
        <w:pStyle w:val="Texto"/>
        <w:numPr>
          <w:ilvl w:val="0"/>
          <w:numId w:val="7"/>
        </w:numPr>
        <w:tabs>
          <w:tab w:val="left" w:pos="567" w:leader="none"/>
        </w:tabs>
        <w:spacing w:before="144" w:after="144"/>
        <w:rPr>
          <w:rFonts w:eastAsia="" w:eastAsiaTheme="minorEastAsia"/>
          <w:sz w:val="22"/>
          <w:szCs w:val="22"/>
        </w:rPr>
      </w:pPr>
      <w:r>
        <w:rPr>
          <w:rFonts w:eastAsia="" w:eastAsiaTheme="minorEastAsia"/>
          <w:sz w:val="22"/>
          <w:szCs w:val="22"/>
        </w:rPr>
        <w:t>PIBID, que oferece bolsas aos estudantes para desenvolver práticas de ensino em escolas da região;</w:t>
      </w:r>
    </w:p>
    <w:p>
      <w:pPr>
        <w:pStyle w:val="Texto"/>
        <w:numPr>
          <w:ilvl w:val="0"/>
          <w:numId w:val="7"/>
        </w:numPr>
        <w:tabs>
          <w:tab w:val="left" w:pos="567" w:leader="none"/>
        </w:tabs>
        <w:spacing w:before="144" w:after="144"/>
        <w:rPr>
          <w:rFonts w:eastAsia="" w:eastAsiaTheme="minorEastAsia"/>
          <w:sz w:val="22"/>
          <w:szCs w:val="22"/>
        </w:rPr>
      </w:pPr>
      <w:r>
        <w:rPr>
          <w:rFonts w:eastAsia="" w:eastAsiaTheme="minorEastAsia"/>
          <w:sz w:val="22"/>
          <w:szCs w:val="22"/>
        </w:rPr>
        <w:t>Programa de Iniciação Científica e Tecnológica (PIBIC), no qual os docentes submetem seus projetos de pesquisa pleiteando bolsas de Iniciação Científica (IC) destinadas aos graduandos do curso;</w:t>
      </w:r>
    </w:p>
    <w:p>
      <w:pPr>
        <w:pStyle w:val="Texto"/>
        <w:numPr>
          <w:ilvl w:val="0"/>
          <w:numId w:val="7"/>
        </w:numPr>
        <w:tabs>
          <w:tab w:val="left" w:pos="567" w:leader="none"/>
        </w:tabs>
        <w:spacing w:before="144" w:after="144"/>
        <w:rPr>
          <w:rFonts w:eastAsia="" w:eastAsiaTheme="minorEastAsia"/>
          <w:sz w:val="22"/>
          <w:szCs w:val="22"/>
        </w:rPr>
      </w:pPr>
      <w:r>
        <w:rPr>
          <w:rFonts w:eastAsia="" w:eastAsiaTheme="minorEastAsia"/>
          <w:sz w:val="22"/>
          <w:szCs w:val="22"/>
        </w:rPr>
        <w:t>Programa Institucional de Bolsas de Extensão (PIBEX), que se destina ao oferecimento de bolsas de extensão a discentes da UFVJM vinculados a Projetos de Extensão Universitária;</w:t>
      </w:r>
    </w:p>
    <w:p>
      <w:pPr>
        <w:pStyle w:val="Texto"/>
        <w:numPr>
          <w:ilvl w:val="0"/>
          <w:numId w:val="7"/>
        </w:numPr>
        <w:tabs>
          <w:tab w:val="left" w:pos="567" w:leader="none"/>
        </w:tabs>
        <w:spacing w:before="144" w:after="144"/>
        <w:rPr>
          <w:rFonts w:eastAsia="" w:eastAsiaTheme="minorEastAsia"/>
          <w:sz w:val="22"/>
          <w:szCs w:val="22"/>
        </w:rPr>
      </w:pPr>
      <w:r>
        <w:rPr>
          <w:rFonts w:eastAsia="" w:eastAsiaTheme="minorEastAsia"/>
          <w:sz w:val="22"/>
          <w:szCs w:val="22"/>
        </w:rPr>
        <w:t>Programa de Monitoria, que oferece bolsas a discentes que dão suporte aos professores através da monitoria das UC’s;</w:t>
      </w:r>
    </w:p>
    <w:p>
      <w:pPr>
        <w:pStyle w:val="Texto"/>
        <w:numPr>
          <w:ilvl w:val="0"/>
          <w:numId w:val="7"/>
        </w:numPr>
        <w:tabs>
          <w:tab w:val="left" w:pos="567" w:leader="none"/>
        </w:tabs>
        <w:spacing w:before="144" w:after="144"/>
        <w:rPr>
          <w:rFonts w:eastAsia="" w:eastAsiaTheme="minorEastAsia"/>
          <w:sz w:val="22"/>
          <w:szCs w:val="22"/>
        </w:rPr>
      </w:pPr>
      <w:r>
        <w:rPr>
          <w:rFonts w:eastAsia="" w:eastAsiaTheme="minorEastAsia"/>
          <w:sz w:val="22"/>
          <w:szCs w:val="22"/>
        </w:rPr>
        <w:t>Programa de Apoio ao Ensino de Graduação (PROAE), que visa estimular e apoiar a apresentação de projetos que tratam de novas práticas e experiências pedagógicas relativas ao ensino.</w:t>
      </w:r>
    </w:p>
    <w:p>
      <w:pPr>
        <w:pStyle w:val="Texto"/>
        <w:tabs>
          <w:tab w:val="left" w:pos="567" w:leader="none"/>
        </w:tabs>
        <w:spacing w:before="144" w:after="144"/>
        <w:ind w:left="360" w:hanging="0"/>
        <w:rPr>
          <w:rFonts w:eastAsia="" w:eastAsiaTheme="minorEastAsia"/>
          <w:sz w:val="22"/>
          <w:szCs w:val="22"/>
        </w:rPr>
      </w:pPr>
      <w:r>
        <w:rPr>
          <w:rFonts w:eastAsia="" w:eastAsiaTheme="minorEastAsia"/>
          <w:sz w:val="22"/>
          <w:szCs w:val="22"/>
        </w:rPr>
      </w:r>
    </w:p>
    <w:p>
      <w:pPr>
        <w:pStyle w:val="Normal"/>
        <w:spacing w:lineRule="auto" w:line="240" w:before="0" w:after="0"/>
        <w:jc w:val="both"/>
        <w:rPr>
          <w:rFonts w:ascii="Arial" w:hAnsi="Arial" w:cs="Arial"/>
          <w:b/>
          <w:b/>
          <w:i/>
          <w:i/>
          <w:color w:val="FF0000"/>
          <w:sz w:val="24"/>
        </w:rPr>
      </w:pPr>
      <w:r>
        <w:rPr>
          <w:rFonts w:cs="Arial" w:ascii="Arial" w:hAnsi="Arial"/>
          <w:b/>
          <w:i/>
          <w:sz w:val="24"/>
        </w:rPr>
        <w:t xml:space="preserve">9.2. Creditação da Extensão </w:t>
      </w:r>
    </w:p>
    <w:p>
      <w:pPr>
        <w:pStyle w:val="Normal"/>
        <w:spacing w:lineRule="auto" w:line="360" w:before="240" w:after="200"/>
        <w:jc w:val="both"/>
        <w:rPr>
          <w:rFonts w:ascii="Arial" w:hAnsi="Arial" w:cs="Arial"/>
        </w:rPr>
      </w:pPr>
      <w:r>
        <w:rPr>
          <w:rFonts w:cs="Arial" w:ascii="Arial" w:hAnsi="Arial"/>
          <w:b/>
        </w:rPr>
        <w:tab/>
      </w:r>
      <w:r>
        <w:rPr>
          <w:rFonts w:cs="Arial" w:ascii="Arial" w:hAnsi="Arial"/>
        </w:rPr>
        <w:t xml:space="preserve">O PNE (2001-2010), Lei nº 10.172/2001, em sua meta 23 propõe reserva mínima de 10% do total de créditos exigidos para a graduação no Ensino Superior para atividades de extensão. Meta reafirmada na Estratégia 12.7 do novo PNE (2014-2024), Lei Federal nº 13.005/2014, portanto, na estrutura curricular proposta para o curso de graduação em História, 10% das 3225, ou seja, 322h constarão de atividades no âmbito da extensão universitária, as quais serão realizadas através de: eventos de extensão, cursos de extensão, prestação de serviços não remunerado, estágio extracurricular (não obrigatório), organização de eventos, formação de ligas acadêmicas. O incentivo à participação em tais atividades terá início logo no primeiro semestre de graduação, para que assim o estudante possa integralizar os 10% da carga horária do curso em atividades de caráter extensionista até o oitavo semestre. </w:t>
      </w:r>
    </w:p>
    <w:p>
      <w:pPr>
        <w:pStyle w:val="Normal"/>
        <w:spacing w:lineRule="auto" w:line="360" w:before="240" w:after="200"/>
        <w:jc w:val="both"/>
        <w:rPr>
          <w:rFonts w:ascii="Arial" w:hAnsi="Arial" w:cs="Arial"/>
        </w:rPr>
      </w:pPr>
      <w:r>
        <w:rPr>
          <w:rFonts w:cs="Arial" w:ascii="Arial" w:hAnsi="Arial"/>
        </w:rPr>
      </w:r>
    </w:p>
    <w:p>
      <w:pPr>
        <w:pStyle w:val="Normal"/>
        <w:spacing w:lineRule="auto" w:line="360" w:before="60" w:after="60"/>
        <w:jc w:val="both"/>
        <w:rPr>
          <w:rFonts w:ascii="Arial" w:hAnsi="Arial" w:cs="Arial"/>
          <w:bCs/>
          <w:i/>
          <w:i/>
          <w:sz w:val="24"/>
        </w:rPr>
      </w:pPr>
      <w:r>
        <w:rPr>
          <w:rFonts w:cs="Arial" w:ascii="Arial" w:hAnsi="Arial"/>
          <w:b/>
          <w:bCs/>
          <w:i/>
          <w:sz w:val="24"/>
        </w:rPr>
        <w:t>9.3. Educação das Relações Étnico-raciais para o Ensino de História e Cultura Afro-brasileira e Africana</w:t>
      </w:r>
    </w:p>
    <w:p>
      <w:pPr>
        <w:pStyle w:val="Normal"/>
        <w:spacing w:lineRule="auto" w:line="360" w:before="60" w:after="60"/>
        <w:ind w:firstLine="709"/>
        <w:jc w:val="both"/>
        <w:rPr>
          <w:rFonts w:ascii="Arial" w:hAnsi="Arial" w:cs="Arial"/>
        </w:rPr>
      </w:pPr>
      <w:r>
        <w:rPr>
          <w:rFonts w:cs="Arial" w:ascii="Arial" w:hAnsi="Arial"/>
        </w:rPr>
        <w:t xml:space="preserve">No curso de graduação em História da UFVJM o atendimento ao disposto na Resolução CNE/CP 01/2004 ocorre de duas formas: 1) por meio da abordagem transversal do tema relações étnico-raciais junto aos conteúdos de UC’s que compõem a matriz curricular do curso e; 2) em projetos de ensino, pesquisa e extensão. O tema das relações étnico-raciais é enfatizado nas UC’s obrigatórias: </w:t>
      </w:r>
      <w:r>
        <w:rPr>
          <w:rFonts w:cs="Arial" w:ascii="Arial" w:hAnsi="Arial"/>
          <w:b/>
        </w:rPr>
        <w:t>História da África e História Indígena nas Américas,</w:t>
      </w:r>
      <w:r>
        <w:rPr>
          <w:rFonts w:cs="Arial" w:ascii="Arial" w:hAnsi="Arial"/>
        </w:rPr>
        <w:t xml:space="preserve"> podendo ser aprofundado nas UC’s eletivas: </w:t>
      </w:r>
      <w:r>
        <w:rPr>
          <w:rFonts w:cs="Arial" w:ascii="Arial" w:hAnsi="Arial"/>
          <w:b/>
        </w:rPr>
        <w:t>Cultura e Identidade no Mundo Pós-Colonial</w:t>
      </w:r>
      <w:r>
        <w:rPr>
          <w:rFonts w:cs="Arial" w:ascii="Arial" w:hAnsi="Arial"/>
        </w:rPr>
        <w:t xml:space="preserve">; </w:t>
      </w:r>
      <w:r>
        <w:rPr>
          <w:rFonts w:cs="Arial" w:ascii="Arial" w:hAnsi="Arial"/>
          <w:b/>
        </w:rPr>
        <w:t>Tópicos especiais em História do Brasil</w:t>
      </w:r>
      <w:r>
        <w:rPr>
          <w:rFonts w:cs="Arial" w:ascii="Arial" w:hAnsi="Arial"/>
        </w:rPr>
        <w:t xml:space="preserve"> e </w:t>
      </w:r>
      <w:r>
        <w:rPr>
          <w:rFonts w:cs="Arial" w:ascii="Arial" w:hAnsi="Arial"/>
          <w:b/>
        </w:rPr>
        <w:t>Tópicos em História da África</w:t>
      </w:r>
      <w:r>
        <w:rPr>
          <w:rFonts w:cs="Arial" w:ascii="Arial" w:hAnsi="Arial"/>
        </w:rPr>
        <w:t xml:space="preserve">. Como tema transversal está inserida nas unidades curriculares: </w:t>
      </w:r>
      <w:r>
        <w:rPr>
          <w:rFonts w:cs="Arial" w:ascii="Arial" w:hAnsi="Arial"/>
          <w:b/>
        </w:rPr>
        <w:t xml:space="preserve">História da América Portuguesa </w:t>
      </w:r>
      <w:r>
        <w:rPr>
          <w:rFonts w:cs="Arial" w:ascii="Arial" w:hAnsi="Arial"/>
        </w:rPr>
        <w:t xml:space="preserve">e </w:t>
      </w:r>
      <w:r>
        <w:rPr>
          <w:rFonts w:cs="Arial" w:ascii="Arial" w:hAnsi="Arial"/>
          <w:b/>
        </w:rPr>
        <w:t>História do Brasil Monárquico</w:t>
      </w:r>
      <w:r>
        <w:rPr>
          <w:rFonts w:cs="Arial" w:ascii="Arial" w:hAnsi="Arial"/>
        </w:rPr>
        <w:t>.</w:t>
      </w:r>
    </w:p>
    <w:p>
      <w:pPr>
        <w:pStyle w:val="Normal"/>
        <w:spacing w:lineRule="auto" w:line="360" w:before="60" w:after="60"/>
        <w:rPr>
          <w:rFonts w:ascii="Arial" w:hAnsi="Arial" w:cs="Arial"/>
          <w:b/>
          <w:b/>
        </w:rPr>
      </w:pPr>
      <w:r>
        <w:rPr>
          <w:rFonts w:cs="Arial" w:ascii="Arial" w:hAnsi="Arial"/>
          <w:b/>
        </w:rPr>
      </w:r>
    </w:p>
    <w:p>
      <w:pPr>
        <w:pStyle w:val="Normal"/>
        <w:spacing w:lineRule="auto" w:line="360" w:before="60" w:after="60"/>
        <w:rPr>
          <w:rFonts w:ascii="Arial" w:hAnsi="Arial" w:cs="Arial"/>
          <w:b/>
          <w:b/>
          <w:bCs/>
          <w:i/>
          <w:i/>
          <w:sz w:val="24"/>
        </w:rPr>
      </w:pPr>
      <w:r>
        <w:rPr>
          <w:rFonts w:cs="Arial" w:ascii="Arial" w:hAnsi="Arial"/>
          <w:b/>
          <w:i/>
          <w:sz w:val="24"/>
        </w:rPr>
        <w:t xml:space="preserve">9.4. </w:t>
      </w:r>
      <w:r>
        <w:rPr>
          <w:rFonts w:cs="Arial" w:ascii="Arial" w:hAnsi="Arial"/>
          <w:b/>
          <w:bCs/>
          <w:i/>
          <w:sz w:val="24"/>
        </w:rPr>
        <w:t>Políticas de Educação Ambiental</w:t>
      </w:r>
    </w:p>
    <w:p>
      <w:pPr>
        <w:pStyle w:val="Normal"/>
        <w:spacing w:lineRule="auto" w:line="360" w:before="60" w:after="60"/>
        <w:ind w:firstLine="709"/>
        <w:jc w:val="both"/>
        <w:rPr>
          <w:rFonts w:ascii="Arial" w:hAnsi="Arial" w:cs="Arial"/>
        </w:rPr>
      </w:pPr>
      <w:r>
        <w:rPr>
          <w:rFonts w:cs="Arial" w:ascii="Arial" w:hAnsi="Arial"/>
        </w:rPr>
        <w:t xml:space="preserve">Em atendimento aos aspectos legais, Lei 9.795/1999 e Decreto Nº 4.281 de 25 de junho de 2002, que versa sobre a Educação Ambiental, o curso de graduação em História da UFVJM tem como propósito afirmar a dimensão da sustentabilidade associada ao conceito de Educação. Neste sentido, entende-se que a sustentabilidade deve ser discutida de uma perspectiva histórica, já que está atrelada ao desenvolvimento de diferentes sistemas econômicos e produtivos, bem como a forma como as sociedades se relacionam com a natureza ao longo do tempo. Portanto, está presente na formação do licenciando em História, como tema transversal e, principalmente, na UC </w:t>
      </w:r>
      <w:r>
        <w:rPr>
          <w:rFonts w:cs="Arial" w:ascii="Arial" w:hAnsi="Arial"/>
          <w:b/>
        </w:rPr>
        <w:t>História, Meio Ambiente e Educação Ambiental</w:t>
      </w:r>
      <w:r>
        <w:rPr>
          <w:rFonts w:cs="Arial" w:ascii="Arial" w:hAnsi="Arial"/>
        </w:rPr>
        <w:t xml:space="preserve">. </w:t>
      </w:r>
    </w:p>
    <w:p>
      <w:pPr>
        <w:pStyle w:val="Normal"/>
        <w:spacing w:lineRule="auto" w:line="360" w:before="60" w:after="60"/>
        <w:rPr>
          <w:rFonts w:ascii="Arial" w:hAnsi="Arial" w:cs="Arial"/>
        </w:rPr>
      </w:pPr>
      <w:r>
        <w:rPr>
          <w:rFonts w:cs="Arial" w:ascii="Arial" w:hAnsi="Arial"/>
        </w:rPr>
      </w:r>
    </w:p>
    <w:p>
      <w:pPr>
        <w:pStyle w:val="Normal"/>
        <w:spacing w:lineRule="auto" w:line="360" w:before="60" w:after="60"/>
        <w:rPr>
          <w:rFonts w:ascii="Arial" w:hAnsi="Arial" w:cs="Arial"/>
          <w:b/>
          <w:b/>
          <w:i/>
          <w:i/>
          <w:sz w:val="24"/>
        </w:rPr>
      </w:pPr>
      <w:r>
        <w:rPr>
          <w:rFonts w:cs="Arial" w:ascii="Arial" w:hAnsi="Arial"/>
          <w:b/>
          <w:i/>
          <w:sz w:val="24"/>
        </w:rPr>
        <w:t>9.5. Educação em Direitos Humanos</w:t>
      </w:r>
    </w:p>
    <w:p>
      <w:pPr>
        <w:pStyle w:val="Normal"/>
        <w:spacing w:lineRule="auto" w:line="360" w:before="60" w:after="60"/>
        <w:ind w:firstLine="709"/>
        <w:jc w:val="both"/>
        <w:rPr>
          <w:rFonts w:ascii="Arial" w:hAnsi="Arial" w:cs="Arial"/>
        </w:rPr>
      </w:pPr>
      <w:r>
        <w:rPr>
          <w:rFonts w:cs="Arial" w:ascii="Arial" w:hAnsi="Arial"/>
        </w:rPr>
        <w:t xml:space="preserve">O atendimento ao disposto na Resolução CNE/CP nº 1, de 30 de maio de 2012, educação em Direitos Humanos é abordada no curso de graduação em História da UFVJM de duas formas: enfatizada na UC Obrigatória </w:t>
      </w:r>
      <w:r>
        <w:rPr>
          <w:rFonts w:cs="Arial" w:ascii="Arial" w:hAnsi="Arial"/>
          <w:b/>
        </w:rPr>
        <w:t>Política, Cidadania e Direitos Humanos no Brasil</w:t>
      </w:r>
      <w:r>
        <w:rPr>
          <w:rFonts w:cs="Arial" w:ascii="Arial" w:hAnsi="Arial"/>
        </w:rPr>
        <w:t xml:space="preserve"> e na UC eletiva </w:t>
      </w:r>
      <w:r>
        <w:rPr>
          <w:rFonts w:cs="Arial" w:ascii="Arial" w:hAnsi="Arial"/>
          <w:b/>
        </w:rPr>
        <w:t>Direitos Humanos e Cidadania</w:t>
      </w:r>
      <w:r>
        <w:rPr>
          <w:rFonts w:cs="Arial" w:ascii="Arial" w:hAnsi="Arial"/>
        </w:rPr>
        <w:t xml:space="preserve">, bem como abordado de forma transversal na UC </w:t>
      </w:r>
      <w:r>
        <w:rPr>
          <w:rFonts w:cs="Arial" w:ascii="Arial" w:hAnsi="Arial"/>
          <w:b/>
        </w:rPr>
        <w:t>Educação e Diversidade</w:t>
      </w:r>
      <w:r>
        <w:rPr>
          <w:rFonts w:cs="Arial" w:ascii="Arial" w:hAnsi="Arial"/>
        </w:rPr>
        <w:t>.</w:t>
      </w:r>
    </w:p>
    <w:p>
      <w:pPr>
        <w:pStyle w:val="Normal"/>
        <w:spacing w:lineRule="auto" w:line="360" w:before="60" w:after="60"/>
        <w:ind w:firstLine="709"/>
        <w:jc w:val="both"/>
        <w:rPr>
          <w:rFonts w:ascii="Arial" w:hAnsi="Arial" w:cs="Arial"/>
        </w:rPr>
      </w:pPr>
      <w:r>
        <w:rPr>
          <w:rFonts w:cs="Arial" w:ascii="Arial" w:hAnsi="Arial"/>
        </w:rPr>
        <w:t>As temáticas dos itens 10.4., 10.5. e 10.6. descritos acima estarão presentes no campo da pesquisa e extensão, assim como no ensino e em atividades extracurriculares. A abordagem desses temas poderá ser objeto de ações específicas de docentes envolvidos no curso, representadas por projetos, promoção de palestras, seminários, entre outros.</w:t>
      </w:r>
    </w:p>
    <w:p>
      <w:pPr>
        <w:pStyle w:val="Normal"/>
        <w:spacing w:lineRule="auto" w:line="360" w:before="60" w:after="60"/>
        <w:jc w:val="both"/>
        <w:rPr>
          <w:rFonts w:ascii="Arial" w:hAnsi="Arial" w:cs="Arial"/>
        </w:rPr>
      </w:pPr>
      <w:r>
        <w:rPr>
          <w:rFonts w:cs="Arial" w:ascii="Arial" w:hAnsi="Arial"/>
        </w:rPr>
      </w:r>
    </w:p>
    <w:p>
      <w:pPr>
        <w:pStyle w:val="Normal"/>
        <w:spacing w:lineRule="auto" w:line="360" w:before="60" w:after="60"/>
        <w:jc w:val="both"/>
        <w:rPr>
          <w:rFonts w:ascii="Arial" w:hAnsi="Arial" w:cs="Arial"/>
          <w:b/>
          <w:b/>
          <w:i/>
          <w:i/>
          <w:sz w:val="24"/>
        </w:rPr>
      </w:pPr>
      <w:r>
        <w:rPr>
          <w:rFonts w:cs="Arial" w:ascii="Arial" w:hAnsi="Arial"/>
          <w:b/>
          <w:i/>
          <w:sz w:val="24"/>
        </w:rPr>
        <w:t>9.6.</w:t>
      </w:r>
      <w:r>
        <w:rPr>
          <w:b/>
          <w:i/>
          <w:sz w:val="24"/>
        </w:rPr>
        <w:t xml:space="preserve"> </w:t>
      </w:r>
      <w:r>
        <w:rPr>
          <w:rFonts w:cs="Arial" w:ascii="Arial" w:hAnsi="Arial"/>
          <w:b/>
          <w:i/>
          <w:sz w:val="24"/>
        </w:rPr>
        <w:t>Condições de acessibilidade para pessoas com deficiência ou mobilidade reduzida e inclusão</w:t>
      </w:r>
    </w:p>
    <w:p>
      <w:pPr>
        <w:pStyle w:val="Normal"/>
        <w:spacing w:lineRule="auto" w:line="360" w:before="60" w:after="60"/>
        <w:ind w:firstLine="709"/>
        <w:jc w:val="both"/>
        <w:rPr>
          <w:rFonts w:ascii="Arial" w:hAnsi="Arial" w:cs="Arial"/>
        </w:rPr>
      </w:pPr>
      <w:r>
        <w:rPr>
          <w:rFonts w:cs="Arial" w:ascii="Arial" w:hAnsi="Arial"/>
        </w:rPr>
        <w:t>Para garantir a inclusão de pessoas com deficiência em nossa sociedade, diversas políticas públicas têm sido adotadas, através de legislações, programas e até acordos internacionais. No entanto, um dos grandes desafios a ser superado refere-se à inclusão de discentes com deficiência na rede regular de ensino, visto a necessidade de mudanças profundas nas instituições de ensino do nosso país para receber e garantir o atendimento pleno desses discentes.</w:t>
      </w:r>
    </w:p>
    <w:p>
      <w:pPr>
        <w:pStyle w:val="Normal"/>
        <w:spacing w:lineRule="auto" w:line="360" w:before="60" w:after="60"/>
        <w:ind w:firstLine="709"/>
        <w:jc w:val="both"/>
        <w:rPr>
          <w:rFonts w:ascii="Arial" w:hAnsi="Arial" w:cs="Arial"/>
        </w:rPr>
      </w:pPr>
      <w:r>
        <w:rPr>
          <w:rFonts w:cs="Arial" w:ascii="Arial" w:hAnsi="Arial"/>
        </w:rPr>
        <w:t>Entende-se por acessibilidade a construção de produtos, ambientes, programas e serviços de forma a permitir sua utilização por todas as pessoas de maneira autônoma e segura. Nesse sentido, o curso de Licenciatura em História em consonância com as propostas institucionais da UFVJM se envolverá em ações que assegurem a inclusão e acessibilidade dos discentes.</w:t>
      </w:r>
    </w:p>
    <w:p>
      <w:pPr>
        <w:pStyle w:val="Normal"/>
        <w:spacing w:lineRule="auto" w:line="360" w:before="60" w:after="60"/>
        <w:ind w:firstLine="709"/>
        <w:jc w:val="both"/>
        <w:rPr>
          <w:rFonts w:ascii="Arial" w:hAnsi="Arial" w:cs="Arial"/>
        </w:rPr>
      </w:pPr>
      <w:r>
        <w:rPr>
          <w:rFonts w:cs="Arial" w:ascii="Arial" w:hAnsi="Arial"/>
        </w:rPr>
        <w:t>Existe na instituição o Núcleo de Acessibilidade e Inclusão (NACI), criado através da Resolução CONSU/UFVJM nº 11/2014, como um espaço institucional de coordenação e articulação de ações voltadas para a eliminação de barreiras impeditivas do acesso, permanência e usufruto não só dos espaços físicos, mas também dos serviços e oportunidades oferecidos pela tríade Ensino-Pesquisa-Extensão. Outra iniciativa institucional, promovida pela Pró-Reitoria de Assuntos Comunitários e Estudantis (PROACE) e apoiada pelo curso de graduação em História, refere-se a criação da Divisão de Acessibilidade, Diversidade e Inclusão (DADI), onde serão discutidas ações voltadas: para o combate a violência contra mulher; para a promoção do respeito à diversidade sexual, de gênero e étnico-raciais; e para a acessibilidade de pessoas com deficiência.</w:t>
      </w:r>
    </w:p>
    <w:p>
      <w:pPr>
        <w:pStyle w:val="Normal"/>
        <w:spacing w:lineRule="auto" w:line="360" w:before="60" w:after="60"/>
        <w:jc w:val="both"/>
        <w:rPr>
          <w:rFonts w:ascii="Arial" w:hAnsi="Arial" w:cs="Arial"/>
          <w:b/>
          <w:b/>
        </w:rPr>
      </w:pPr>
      <w:r>
        <w:rPr>
          <w:rFonts w:cs="Arial" w:ascii="Arial" w:hAnsi="Arial"/>
          <w:b/>
        </w:rPr>
      </w:r>
    </w:p>
    <w:p>
      <w:pPr>
        <w:pStyle w:val="Normal"/>
        <w:spacing w:lineRule="auto" w:line="360" w:before="60" w:after="60"/>
        <w:jc w:val="both"/>
        <w:rPr>
          <w:rFonts w:ascii="Arial" w:hAnsi="Arial" w:cs="Arial"/>
          <w:b/>
          <w:b/>
          <w:i/>
          <w:i/>
          <w:sz w:val="24"/>
        </w:rPr>
      </w:pPr>
      <w:r>
        <w:rPr>
          <w:rFonts w:cs="Arial" w:ascii="Arial" w:hAnsi="Arial"/>
          <w:b/>
          <w:i/>
          <w:sz w:val="24"/>
        </w:rPr>
        <w:t>9.7. Tecnologias de Informação e Comunicação nos Processos de Ensino e Aprendizagem</w:t>
      </w:r>
    </w:p>
    <w:p>
      <w:pPr>
        <w:pStyle w:val="Normal"/>
        <w:spacing w:lineRule="auto" w:line="360" w:before="60" w:after="60"/>
        <w:ind w:firstLine="709"/>
        <w:jc w:val="both"/>
        <w:rPr/>
      </w:pPr>
      <w:r>
        <w:rPr>
          <w:rFonts w:cs="Arial" w:ascii="Arial" w:hAnsi="Arial"/>
        </w:rPr>
        <w:t>A UFVJM, conta com a Diretoria de Educação Aberta e à Distância (EaD) (</w:t>
      </w:r>
      <w:hyperlink r:id="rId2">
        <w:r>
          <w:rPr>
            <w:rStyle w:val="LinkdaInternet"/>
            <w:rFonts w:cs="Arial" w:ascii="Arial" w:hAnsi="Arial"/>
            <w:color w:val="00000A"/>
          </w:rPr>
          <w:t>http://www.ead.ufvjm.edu.br</w:t>
        </w:r>
      </w:hyperlink>
      <w:r>
        <w:rPr>
          <w:rFonts w:cs="Arial" w:ascii="Arial" w:hAnsi="Arial"/>
        </w:rPr>
        <w:t xml:space="preserve">), que vem investindo e incentivando a criação de tecnologias digitais nos processos de ensino e aprendizagem. Especificamente na Licenciatura em História, em observância ao regulamento dos cursos de graduação, as UC’s podem ser ministradas com até 20% de sua carga horária na modalidade a distância. Para isso, o curso conta com ambientes especialmente desenvolvidos para este fim; uma ferramenta importante e utilizada nas UC’s é a plataforma </w:t>
      </w:r>
      <w:r>
        <w:rPr>
          <w:rFonts w:cs="Arial" w:ascii="Arial" w:hAnsi="Arial"/>
          <w:i/>
        </w:rPr>
        <w:t>Moodle</w:t>
      </w:r>
      <w:r>
        <w:rPr>
          <w:rFonts w:cs="Arial" w:ascii="Arial" w:hAnsi="Arial"/>
        </w:rPr>
        <w:t>, um ambiente virtual de aprendizagem utilizado pela UFVJM concebido para receber conteúdo em diferentes formatos, das mais diversas UC’s e cursos, nas modalidades presenciais e a distância. Além disso, esse ambiente dispõe de ferramentas para interações síncronas, como o chat, e assíncronas, como o fórum, que possibilitam um contato entre discentes e docentes que vai além do ambiente presencial da sala de aula convencional.</w:t>
      </w:r>
    </w:p>
    <w:p>
      <w:pPr>
        <w:pStyle w:val="Normal"/>
        <w:spacing w:lineRule="auto" w:line="360" w:before="60" w:after="60"/>
        <w:ind w:firstLine="709"/>
        <w:jc w:val="both"/>
        <w:rPr>
          <w:rFonts w:ascii="Arial" w:hAnsi="Arial" w:cs="Arial"/>
        </w:rPr>
      </w:pPr>
      <w:r>
        <w:rPr>
          <w:rFonts w:cs="Arial" w:ascii="Arial" w:hAnsi="Arial"/>
        </w:rPr>
        <w:t xml:space="preserve">Além disso, o curso de Licenciatura em História, possui em sua matriz a UC </w:t>
      </w:r>
      <w:r>
        <w:rPr>
          <w:rFonts w:cs="Arial" w:ascii="Arial" w:hAnsi="Arial"/>
          <w:b/>
        </w:rPr>
        <w:t>Laboratório de Ensino de História: Metodologias e Tecnologias do Ensino de História</w:t>
      </w:r>
      <w:r>
        <w:rPr>
          <w:rFonts w:cs="Arial" w:ascii="Arial" w:hAnsi="Arial"/>
        </w:rPr>
        <w:t>, de 75h, que enfatiza a discussão das potencialidades das TIC’s para o processo de ensino-aprendizagem.</w:t>
      </w:r>
    </w:p>
    <w:p>
      <w:pPr>
        <w:pStyle w:val="Texto"/>
        <w:tabs>
          <w:tab w:val="left" w:pos="567" w:leader="none"/>
        </w:tabs>
        <w:spacing w:before="144" w:after="144"/>
        <w:ind w:left="360" w:hanging="0"/>
        <w:rPr>
          <w:rFonts w:eastAsia="" w:eastAsiaTheme="minorEastAsia"/>
          <w:sz w:val="22"/>
          <w:szCs w:val="22"/>
        </w:rPr>
      </w:pPr>
      <w:r>
        <w:rPr>
          <w:rFonts w:eastAsia="" w:eastAsiaTheme="minorEastAsia"/>
          <w:sz w:val="22"/>
          <w:szCs w:val="22"/>
        </w:rPr>
      </w:r>
    </w:p>
    <w:p>
      <w:pPr>
        <w:pStyle w:val="Texto"/>
        <w:tabs>
          <w:tab w:val="left" w:pos="567" w:leader="none"/>
        </w:tabs>
        <w:spacing w:before="0" w:after="200"/>
        <w:rPr>
          <w:b/>
          <w:b/>
          <w:bCs/>
          <w:szCs w:val="22"/>
        </w:rPr>
      </w:pPr>
      <w:r>
        <w:rPr>
          <w:b/>
          <w:bCs/>
          <w:szCs w:val="22"/>
        </w:rPr>
        <w:t>10. ORGANIZAÇÃO CURRICULAR</w:t>
      </w:r>
    </w:p>
    <w:p>
      <w:pPr>
        <w:pStyle w:val="Texto"/>
        <w:spacing w:before="60" w:after="60"/>
        <w:rPr>
          <w:rFonts w:eastAsia="" w:eastAsiaTheme="minorEastAsia"/>
          <w:sz w:val="22"/>
          <w:szCs w:val="22"/>
        </w:rPr>
      </w:pPr>
      <w:r>
        <w:rPr>
          <w:rFonts w:eastAsia="" w:eastAsiaTheme="minorEastAsia"/>
          <w:sz w:val="22"/>
          <w:szCs w:val="22"/>
        </w:rPr>
      </w:r>
    </w:p>
    <w:p>
      <w:pPr>
        <w:pStyle w:val="Texto"/>
        <w:spacing w:before="60" w:after="60"/>
        <w:ind w:firstLine="709"/>
        <w:rPr>
          <w:strike/>
          <w:sz w:val="22"/>
          <w:szCs w:val="22"/>
        </w:rPr>
      </w:pPr>
      <w:r>
        <w:rPr>
          <w:sz w:val="22"/>
          <w:szCs w:val="22"/>
        </w:rPr>
        <w:t>De acordo com a Resolução CNE/CP nº 02, de 1º de julho de 2015, a carga horária dos cursos de formação inicial de professores para a Educação Básica em Nível Superior, em Licenciatura, deve ter, no mínimo, 3.200 horas, distribuídas da seguinte forma: 400 horas de prática como componente curricular vivenciadas ao longo do processo formativo; 400 horas de estágio curricular supervisionado, na área de formação e atuação na educação básica. Além destas, pelo menos 2.200 horas dedicadas às atividades formativas conforme o que está estabelecido nos núcleos de estudos I e II. A estrutura, ainda apresenta um terceiro núcleo que prevê 200 horas de atividades teórico-práticas complementares. A partir dessa definição, tais núcleos, neste curso de Licenciatura, são assim entendidos:</w:t>
      </w:r>
    </w:p>
    <w:p>
      <w:pPr>
        <w:pStyle w:val="Texto"/>
        <w:numPr>
          <w:ilvl w:val="0"/>
          <w:numId w:val="9"/>
        </w:numPr>
        <w:tabs>
          <w:tab w:val="left" w:pos="567" w:leader="none"/>
        </w:tabs>
        <w:spacing w:before="60" w:after="60"/>
        <w:rPr>
          <w:rFonts w:eastAsia="Times New Roman"/>
          <w:sz w:val="22"/>
          <w:szCs w:val="22"/>
          <w:lang w:eastAsia="ar-SA"/>
        </w:rPr>
      </w:pPr>
      <w:r>
        <w:rPr>
          <w:b/>
          <w:sz w:val="22"/>
          <w:szCs w:val="22"/>
        </w:rPr>
        <w:t xml:space="preserve">Núcleo I: </w:t>
      </w:r>
      <w:r>
        <w:rPr>
          <w:sz w:val="22"/>
          <w:szCs w:val="22"/>
        </w:rPr>
        <w:t>Estudos de Formação Geral</w:t>
      </w:r>
      <w:r>
        <w:rPr>
          <w:rFonts w:eastAsia="Times New Roman"/>
          <w:sz w:val="22"/>
          <w:szCs w:val="22"/>
          <w:lang w:eastAsia="ar-SA"/>
        </w:rPr>
        <w:t>, da área específica de História, de educação e interdisciplinar, bem como dos fundamentos e metodologias desses campos, assim como das diversas realidades educacionais;</w:t>
      </w:r>
    </w:p>
    <w:p>
      <w:pPr>
        <w:pStyle w:val="Texto"/>
        <w:numPr>
          <w:ilvl w:val="0"/>
          <w:numId w:val="9"/>
        </w:numPr>
        <w:tabs>
          <w:tab w:val="left" w:pos="567" w:leader="none"/>
        </w:tabs>
        <w:spacing w:before="60" w:after="60"/>
        <w:rPr>
          <w:rFonts w:eastAsia="Times New Roman"/>
          <w:sz w:val="22"/>
          <w:szCs w:val="22"/>
          <w:lang w:eastAsia="ar-SA"/>
        </w:rPr>
      </w:pPr>
      <w:r>
        <w:rPr>
          <w:b/>
          <w:sz w:val="22"/>
          <w:szCs w:val="22"/>
        </w:rPr>
        <w:t>Núcleo II</w:t>
      </w:r>
      <w:r>
        <w:rPr>
          <w:sz w:val="22"/>
          <w:szCs w:val="22"/>
        </w:rPr>
        <w:t xml:space="preserve">: </w:t>
      </w:r>
      <w:r>
        <w:rPr>
          <w:rFonts w:eastAsia="Times New Roman"/>
          <w:sz w:val="22"/>
          <w:szCs w:val="22"/>
          <w:lang w:eastAsia="ar-SA"/>
        </w:rPr>
        <w:t>Aprofundamento e diversificação de estudos na área de atuação do licenciado em História, incluindo os conteúdos da área específica e pedagógicos;</w:t>
      </w:r>
    </w:p>
    <w:p>
      <w:pPr>
        <w:pStyle w:val="Texto"/>
        <w:numPr>
          <w:ilvl w:val="0"/>
          <w:numId w:val="9"/>
        </w:numPr>
        <w:tabs>
          <w:tab w:val="left" w:pos="567" w:leader="none"/>
        </w:tabs>
        <w:spacing w:before="60" w:after="60"/>
        <w:rPr>
          <w:rFonts w:eastAsia="Times New Roman"/>
          <w:sz w:val="22"/>
          <w:szCs w:val="22"/>
          <w:lang w:eastAsia="ar-SA"/>
        </w:rPr>
      </w:pPr>
      <w:r>
        <w:rPr>
          <w:b/>
          <w:sz w:val="22"/>
          <w:szCs w:val="22"/>
        </w:rPr>
        <w:t>Núcleo III</w:t>
      </w:r>
      <w:r>
        <w:rPr>
          <w:sz w:val="22"/>
          <w:szCs w:val="22"/>
        </w:rPr>
        <w:t xml:space="preserve">: Estudos </w:t>
      </w:r>
      <w:r>
        <w:rPr>
          <w:rFonts w:eastAsia="Times New Roman"/>
          <w:sz w:val="22"/>
          <w:szCs w:val="22"/>
          <w:lang w:eastAsia="ar-SA"/>
        </w:rPr>
        <w:t>Integradores para enriquecer a formação acadêmica, o que se dará através de atividades complementares.</w:t>
      </w:r>
    </w:p>
    <w:p>
      <w:pPr>
        <w:pStyle w:val="Texto"/>
        <w:tabs>
          <w:tab w:val="left" w:pos="567" w:leader="none"/>
        </w:tabs>
        <w:spacing w:before="60" w:after="60"/>
        <w:ind w:firstLine="709"/>
        <w:rPr>
          <w:sz w:val="22"/>
          <w:szCs w:val="22"/>
        </w:rPr>
      </w:pPr>
      <w:r>
        <w:rPr>
          <w:sz w:val="22"/>
          <w:szCs w:val="22"/>
        </w:rPr>
        <w:t>Os três núcleos são complementares e possuem princípios, concepções e critérios oriundos de diferentes áreas de conhecimento, devendo ser trabalhados de forma interdisciplinar. Eles devem ter como fundamento os princípios de justiça social, respeito à diversidade, promoção da participação e gestão democrática. As UC’s deverão mobilizar determinados conhecimentos, propor avaliações, criar e usar textos, materiais didáticos, procedimentos e processos de ensino e aprendizagem que contemplem a diversidade social e cultural da sociedade brasileira. Devem propiciar a observação, análise, planejamento, desenvolvimento e avaliação de processos de aprendizagem e de experiências educacionais em instituições educativas.</w:t>
      </w:r>
    </w:p>
    <w:p>
      <w:pPr>
        <w:pStyle w:val="Texto"/>
        <w:tabs>
          <w:tab w:val="left" w:pos="567" w:leader="none"/>
        </w:tabs>
        <w:spacing w:before="60" w:after="60"/>
        <w:ind w:firstLine="709"/>
        <w:rPr>
          <w:sz w:val="22"/>
          <w:szCs w:val="22"/>
        </w:rPr>
      </w:pPr>
      <w:r>
        <w:rPr>
          <w:sz w:val="22"/>
          <w:szCs w:val="22"/>
        </w:rPr>
        <w:t>Partindo desses princípios, esta proposta curricular organiza os três núcleos de estudos apresentados na Resolução CNE/CP nº 02</w:t>
      </w:r>
      <w:r>
        <w:rPr>
          <w:rFonts w:eastAsia="Times New Roman"/>
          <w:sz w:val="22"/>
          <w:szCs w:val="22"/>
        </w:rPr>
        <w:t>/</w:t>
      </w:r>
      <w:r>
        <w:rPr>
          <w:sz w:val="22"/>
          <w:szCs w:val="22"/>
        </w:rPr>
        <w:t>2015, em quatro Eixos Formativos, assim denominados e compreendidos:</w:t>
      </w:r>
    </w:p>
    <w:p>
      <w:pPr>
        <w:pStyle w:val="Texto"/>
        <w:numPr>
          <w:ilvl w:val="0"/>
          <w:numId w:val="10"/>
        </w:numPr>
        <w:spacing w:before="60" w:after="60"/>
        <w:rPr>
          <w:sz w:val="22"/>
          <w:szCs w:val="22"/>
        </w:rPr>
      </w:pPr>
      <w:r>
        <w:rPr>
          <w:b/>
          <w:sz w:val="22"/>
          <w:szCs w:val="22"/>
        </w:rPr>
        <w:t>Eixo 1 – Formação Educacional</w:t>
      </w:r>
      <w:r>
        <w:rPr>
          <w:sz w:val="22"/>
          <w:szCs w:val="22"/>
        </w:rPr>
        <w:t>: Composto de 375 h/a teórica; 270 h/a práticas como componente curricular, perfazendo um total de 645 horas de atividades de caráter pedagógico;</w:t>
      </w:r>
    </w:p>
    <w:p>
      <w:pPr>
        <w:pStyle w:val="Texto"/>
        <w:numPr>
          <w:ilvl w:val="0"/>
          <w:numId w:val="10"/>
        </w:numPr>
        <w:spacing w:before="60" w:after="60"/>
        <w:rPr>
          <w:sz w:val="22"/>
          <w:szCs w:val="22"/>
        </w:rPr>
      </w:pPr>
      <w:r>
        <w:rPr>
          <w:b/>
          <w:sz w:val="22"/>
          <w:szCs w:val="22"/>
        </w:rPr>
        <w:t>Eixo 2 – Formação Específica</w:t>
      </w:r>
      <w:r>
        <w:rPr>
          <w:sz w:val="22"/>
          <w:szCs w:val="22"/>
        </w:rPr>
        <w:t>: Composto de 1215 h/a teórica; 150 h/a práticas como componente curricular, com um total de 1380 horas de atividades de caráter específico da área de História.</w:t>
      </w:r>
    </w:p>
    <w:p>
      <w:pPr>
        <w:pStyle w:val="Texto"/>
        <w:numPr>
          <w:ilvl w:val="0"/>
          <w:numId w:val="10"/>
        </w:numPr>
        <w:spacing w:before="60" w:after="60"/>
        <w:rPr>
          <w:sz w:val="22"/>
          <w:szCs w:val="22"/>
        </w:rPr>
      </w:pPr>
      <w:r>
        <w:rPr>
          <w:b/>
          <w:sz w:val="22"/>
          <w:szCs w:val="22"/>
        </w:rPr>
        <w:t>Eixo 3 – Formação Geral e Interdisciplinar</w:t>
      </w:r>
      <w:r>
        <w:rPr>
          <w:sz w:val="22"/>
          <w:szCs w:val="22"/>
        </w:rPr>
        <w:t xml:space="preserve">: Composto de 615 h/a teóricas abrangendo a formação geral e a interdisciplinaridade. </w:t>
      </w:r>
    </w:p>
    <w:p>
      <w:pPr>
        <w:pStyle w:val="Texto"/>
        <w:numPr>
          <w:ilvl w:val="0"/>
          <w:numId w:val="10"/>
        </w:numPr>
        <w:spacing w:before="60" w:after="60"/>
        <w:rPr>
          <w:sz w:val="22"/>
          <w:szCs w:val="22"/>
        </w:rPr>
      </w:pPr>
      <w:r>
        <w:rPr>
          <w:b/>
          <w:sz w:val="22"/>
          <w:szCs w:val="22"/>
        </w:rPr>
        <w:t>Eixo 4 – Formação Complementar</w:t>
      </w:r>
      <w:r>
        <w:rPr>
          <w:sz w:val="22"/>
          <w:szCs w:val="22"/>
        </w:rPr>
        <w:t>: Composto de 200 h/a de atividades teórico-práticas nas áreas de interesse do estudante, de caráter integrador, podendo ser realizadas no curso, na UFVJM ou em qualquer ambiente que possibilite ao aluno complementar sua formação acadêmica.</w:t>
      </w:r>
    </w:p>
    <w:p>
      <w:pPr>
        <w:pStyle w:val="Texto"/>
        <w:tabs>
          <w:tab w:val="left" w:pos="567" w:leader="none"/>
        </w:tabs>
        <w:spacing w:before="60" w:after="60"/>
        <w:ind w:firstLine="709"/>
        <w:rPr>
          <w:sz w:val="22"/>
          <w:szCs w:val="22"/>
        </w:rPr>
      </w:pPr>
      <w:r>
        <w:rPr>
          <w:sz w:val="22"/>
          <w:szCs w:val="22"/>
        </w:rPr>
        <w:t xml:space="preserve">Esta proposta curricular perfaz um total de </w:t>
      </w:r>
      <w:r>
        <w:rPr>
          <w:b/>
          <w:sz w:val="22"/>
          <w:szCs w:val="22"/>
        </w:rPr>
        <w:t>3225</w:t>
      </w:r>
      <w:r>
        <w:rPr>
          <w:sz w:val="22"/>
          <w:szCs w:val="22"/>
        </w:rPr>
        <w:t xml:space="preserve"> horas, distribuídas da seguinte maneira:</w:t>
      </w:r>
    </w:p>
    <w:tbl>
      <w:tblPr>
        <w:tblStyle w:val="Tabelacomgrade"/>
        <w:tblW w:w="8494" w:type="dxa"/>
        <w:jc w:val="left"/>
        <w:tblInd w:w="0" w:type="dxa"/>
        <w:tblCellMar>
          <w:top w:w="0" w:type="dxa"/>
          <w:left w:w="108" w:type="dxa"/>
          <w:bottom w:w="0" w:type="dxa"/>
          <w:right w:w="108" w:type="dxa"/>
        </w:tblCellMar>
        <w:tblLook w:firstRow="1" w:noVBand="1" w:lastRow="0" w:firstColumn="1" w:lastColumn="0" w:noHBand="0" w:val="04a0"/>
      </w:tblPr>
      <w:tblGrid>
        <w:gridCol w:w="2547"/>
        <w:gridCol w:w="5946"/>
      </w:tblGrid>
      <w:tr>
        <w:trPr/>
        <w:tc>
          <w:tcPr>
            <w:tcW w:w="2547" w:type="dxa"/>
            <w:tcBorders>
              <w:top w:val="nil"/>
              <w:left w:val="nil"/>
              <w:bottom w:val="nil"/>
              <w:right w:val="nil"/>
              <w:insideH w:val="nil"/>
              <w:insideV w:val="nil"/>
            </w:tcBorders>
            <w:shd w:fill="auto" w:val="clear"/>
          </w:tcPr>
          <w:p>
            <w:pPr>
              <w:pStyle w:val="Texto"/>
              <w:tabs>
                <w:tab w:val="left" w:pos="567" w:leader="none"/>
              </w:tabs>
              <w:spacing w:lineRule="auto" w:line="240" w:before="60" w:after="0"/>
              <w:jc w:val="right"/>
              <w:rPr>
                <w:sz w:val="22"/>
                <w:szCs w:val="22"/>
              </w:rPr>
            </w:pPr>
            <w:r>
              <w:rPr>
                <w:b/>
                <w:sz w:val="22"/>
                <w:szCs w:val="22"/>
              </w:rPr>
              <w:t>2205</w:t>
            </w:r>
            <w:r>
              <w:rPr>
                <w:sz w:val="22"/>
                <w:szCs w:val="22"/>
              </w:rPr>
              <w:t xml:space="preserve"> horas:</w:t>
            </w:r>
          </w:p>
        </w:tc>
        <w:tc>
          <w:tcPr>
            <w:tcW w:w="5946" w:type="dxa"/>
            <w:tcBorders>
              <w:top w:val="nil"/>
              <w:left w:val="nil"/>
              <w:bottom w:val="nil"/>
              <w:right w:val="nil"/>
              <w:insideH w:val="nil"/>
              <w:insideV w:val="nil"/>
            </w:tcBorders>
            <w:shd w:fill="auto" w:val="clear"/>
          </w:tcPr>
          <w:p>
            <w:pPr>
              <w:pStyle w:val="Texto"/>
              <w:tabs>
                <w:tab w:val="left" w:pos="567" w:leader="none"/>
              </w:tabs>
              <w:spacing w:lineRule="auto" w:line="240" w:before="60" w:after="0"/>
              <w:rPr>
                <w:sz w:val="22"/>
                <w:szCs w:val="22"/>
              </w:rPr>
            </w:pPr>
            <w:r>
              <w:rPr>
                <w:sz w:val="22"/>
                <w:szCs w:val="22"/>
              </w:rPr>
              <w:t>UC’s teóricas (Eixos 1, 2 e 3)</w:t>
            </w:r>
          </w:p>
        </w:tc>
      </w:tr>
      <w:tr>
        <w:trPr/>
        <w:tc>
          <w:tcPr>
            <w:tcW w:w="2547" w:type="dxa"/>
            <w:tcBorders>
              <w:top w:val="nil"/>
              <w:left w:val="nil"/>
              <w:bottom w:val="nil"/>
              <w:right w:val="nil"/>
              <w:insideH w:val="nil"/>
              <w:insideV w:val="nil"/>
            </w:tcBorders>
            <w:shd w:fill="auto" w:val="clear"/>
          </w:tcPr>
          <w:p>
            <w:pPr>
              <w:pStyle w:val="Texto"/>
              <w:tabs>
                <w:tab w:val="left" w:pos="567" w:leader="none"/>
              </w:tabs>
              <w:spacing w:lineRule="auto" w:line="240" w:before="60" w:after="0"/>
              <w:jc w:val="right"/>
              <w:rPr>
                <w:sz w:val="22"/>
                <w:szCs w:val="22"/>
              </w:rPr>
            </w:pPr>
            <w:r>
              <w:rPr>
                <w:b/>
                <w:sz w:val="22"/>
                <w:szCs w:val="22"/>
              </w:rPr>
              <w:t>420</w:t>
            </w:r>
            <w:r>
              <w:rPr>
                <w:sz w:val="22"/>
                <w:szCs w:val="22"/>
              </w:rPr>
              <w:t xml:space="preserve"> horas:</w:t>
            </w:r>
          </w:p>
        </w:tc>
        <w:tc>
          <w:tcPr>
            <w:tcW w:w="5946" w:type="dxa"/>
            <w:tcBorders>
              <w:top w:val="nil"/>
              <w:left w:val="nil"/>
              <w:bottom w:val="nil"/>
              <w:right w:val="nil"/>
              <w:insideH w:val="nil"/>
              <w:insideV w:val="nil"/>
            </w:tcBorders>
            <w:shd w:fill="auto" w:val="clear"/>
          </w:tcPr>
          <w:p>
            <w:pPr>
              <w:pStyle w:val="Texto"/>
              <w:tabs>
                <w:tab w:val="left" w:pos="567" w:leader="none"/>
              </w:tabs>
              <w:spacing w:lineRule="auto" w:line="240" w:before="60" w:after="0"/>
              <w:rPr>
                <w:sz w:val="22"/>
                <w:szCs w:val="22"/>
              </w:rPr>
            </w:pPr>
            <w:r>
              <w:rPr>
                <w:sz w:val="22"/>
                <w:szCs w:val="22"/>
              </w:rPr>
              <w:t>Prática como componente curricular</w:t>
            </w:r>
          </w:p>
        </w:tc>
      </w:tr>
      <w:tr>
        <w:trPr/>
        <w:tc>
          <w:tcPr>
            <w:tcW w:w="2547" w:type="dxa"/>
            <w:tcBorders>
              <w:top w:val="nil"/>
              <w:left w:val="nil"/>
              <w:bottom w:val="nil"/>
              <w:right w:val="nil"/>
              <w:insideH w:val="nil"/>
              <w:insideV w:val="nil"/>
            </w:tcBorders>
            <w:shd w:fill="auto" w:val="clear"/>
          </w:tcPr>
          <w:p>
            <w:pPr>
              <w:pStyle w:val="Texto"/>
              <w:tabs>
                <w:tab w:val="left" w:pos="567" w:leader="none"/>
              </w:tabs>
              <w:spacing w:lineRule="auto" w:line="240" w:before="60" w:after="0"/>
              <w:jc w:val="right"/>
              <w:rPr>
                <w:sz w:val="22"/>
                <w:szCs w:val="22"/>
              </w:rPr>
            </w:pPr>
            <w:r>
              <w:rPr>
                <w:b/>
                <w:sz w:val="22"/>
                <w:szCs w:val="22"/>
              </w:rPr>
              <w:t>400</w:t>
            </w:r>
            <w:r>
              <w:rPr>
                <w:sz w:val="22"/>
                <w:szCs w:val="22"/>
              </w:rPr>
              <w:t xml:space="preserve"> horas:</w:t>
            </w:r>
          </w:p>
        </w:tc>
        <w:tc>
          <w:tcPr>
            <w:tcW w:w="5946" w:type="dxa"/>
            <w:tcBorders>
              <w:top w:val="nil"/>
              <w:left w:val="nil"/>
              <w:bottom w:val="nil"/>
              <w:right w:val="nil"/>
              <w:insideH w:val="nil"/>
              <w:insideV w:val="nil"/>
            </w:tcBorders>
            <w:shd w:fill="auto" w:val="clear"/>
          </w:tcPr>
          <w:p>
            <w:pPr>
              <w:pStyle w:val="Texto"/>
              <w:tabs>
                <w:tab w:val="left" w:pos="567" w:leader="none"/>
              </w:tabs>
              <w:spacing w:lineRule="auto" w:line="240" w:before="60" w:after="0"/>
              <w:rPr>
                <w:sz w:val="22"/>
                <w:szCs w:val="22"/>
              </w:rPr>
            </w:pPr>
            <w:r>
              <w:rPr>
                <w:sz w:val="22"/>
                <w:szCs w:val="22"/>
              </w:rPr>
              <w:t>Estágio Supervisionado</w:t>
            </w:r>
          </w:p>
        </w:tc>
      </w:tr>
      <w:tr>
        <w:trPr/>
        <w:tc>
          <w:tcPr>
            <w:tcW w:w="2547" w:type="dxa"/>
            <w:tcBorders>
              <w:top w:val="nil"/>
              <w:left w:val="nil"/>
              <w:bottom w:val="nil"/>
              <w:right w:val="nil"/>
              <w:insideH w:val="nil"/>
              <w:insideV w:val="nil"/>
            </w:tcBorders>
            <w:shd w:fill="auto" w:val="clear"/>
          </w:tcPr>
          <w:p>
            <w:pPr>
              <w:pStyle w:val="Texto"/>
              <w:tabs>
                <w:tab w:val="left" w:pos="567" w:leader="none"/>
              </w:tabs>
              <w:spacing w:lineRule="auto" w:line="240" w:before="60" w:after="0"/>
              <w:jc w:val="right"/>
              <w:rPr>
                <w:sz w:val="22"/>
                <w:szCs w:val="22"/>
              </w:rPr>
            </w:pPr>
            <w:r>
              <w:rPr>
                <w:b/>
                <w:sz w:val="22"/>
                <w:szCs w:val="22"/>
              </w:rPr>
              <w:t>200</w:t>
            </w:r>
            <w:r>
              <w:rPr>
                <w:sz w:val="22"/>
                <w:szCs w:val="22"/>
              </w:rPr>
              <w:t xml:space="preserve"> horas:</w:t>
            </w:r>
          </w:p>
        </w:tc>
        <w:tc>
          <w:tcPr>
            <w:tcW w:w="5946" w:type="dxa"/>
            <w:tcBorders>
              <w:top w:val="nil"/>
              <w:left w:val="nil"/>
              <w:bottom w:val="nil"/>
              <w:right w:val="nil"/>
              <w:insideH w:val="nil"/>
              <w:insideV w:val="nil"/>
            </w:tcBorders>
            <w:shd w:fill="auto" w:val="clear"/>
          </w:tcPr>
          <w:p>
            <w:pPr>
              <w:pStyle w:val="Texto"/>
              <w:tabs>
                <w:tab w:val="left" w:pos="567" w:leader="none"/>
              </w:tabs>
              <w:spacing w:lineRule="auto" w:line="240" w:before="60" w:after="0"/>
              <w:rPr>
                <w:sz w:val="22"/>
                <w:szCs w:val="22"/>
              </w:rPr>
            </w:pPr>
            <w:r>
              <w:rPr>
                <w:sz w:val="22"/>
                <w:szCs w:val="22"/>
              </w:rPr>
              <w:t>Atividades teórico-práticas complementares (Eixo 4)</w:t>
            </w:r>
          </w:p>
        </w:tc>
      </w:tr>
      <w:tr>
        <w:trPr/>
        <w:tc>
          <w:tcPr>
            <w:tcW w:w="2547" w:type="dxa"/>
            <w:tcBorders>
              <w:top w:val="nil"/>
              <w:left w:val="nil"/>
              <w:bottom w:val="nil"/>
              <w:right w:val="nil"/>
              <w:insideH w:val="nil"/>
              <w:insideV w:val="nil"/>
            </w:tcBorders>
            <w:shd w:fill="auto" w:val="clear"/>
          </w:tcPr>
          <w:p>
            <w:pPr>
              <w:pStyle w:val="Texto"/>
              <w:tabs>
                <w:tab w:val="left" w:pos="567" w:leader="none"/>
              </w:tabs>
              <w:spacing w:lineRule="auto" w:line="240" w:before="60" w:after="0"/>
              <w:rPr>
                <w:b/>
                <w:b/>
                <w:sz w:val="22"/>
                <w:szCs w:val="22"/>
              </w:rPr>
            </w:pPr>
            <w:r>
              <w:rPr>
                <w:b/>
                <w:sz w:val="22"/>
                <w:szCs w:val="22"/>
              </w:rPr>
            </w:r>
          </w:p>
        </w:tc>
        <w:tc>
          <w:tcPr>
            <w:tcW w:w="5946" w:type="dxa"/>
            <w:tcBorders>
              <w:top w:val="nil"/>
              <w:left w:val="nil"/>
              <w:bottom w:val="nil"/>
              <w:right w:val="nil"/>
              <w:insideH w:val="nil"/>
              <w:insideV w:val="nil"/>
            </w:tcBorders>
            <w:shd w:fill="auto" w:val="clear"/>
          </w:tcPr>
          <w:p>
            <w:pPr>
              <w:pStyle w:val="Texto"/>
              <w:tabs>
                <w:tab w:val="left" w:pos="567" w:leader="none"/>
              </w:tabs>
              <w:spacing w:lineRule="auto" w:line="240" w:before="60" w:after="0"/>
              <w:rPr>
                <w:sz w:val="22"/>
                <w:szCs w:val="22"/>
              </w:rPr>
            </w:pPr>
            <w:r>
              <w:rPr>
                <w:sz w:val="22"/>
                <w:szCs w:val="22"/>
              </w:rPr>
            </w:r>
          </w:p>
        </w:tc>
      </w:tr>
    </w:tbl>
    <w:p>
      <w:pPr>
        <w:pStyle w:val="Texto"/>
        <w:tabs>
          <w:tab w:val="left" w:pos="567" w:leader="none"/>
        </w:tabs>
        <w:spacing w:before="60" w:after="60"/>
        <w:ind w:firstLine="709"/>
        <w:rPr>
          <w:rFonts w:eastAsia="Times New Roman"/>
          <w:sz w:val="22"/>
          <w:szCs w:val="22"/>
          <w:lang w:eastAsia="ar-SA"/>
        </w:rPr>
      </w:pPr>
      <w:r>
        <w:rPr>
          <w:rFonts w:eastAsia="Times New Roman"/>
          <w:sz w:val="22"/>
          <w:szCs w:val="22"/>
          <w:lang w:eastAsia="ar-SA"/>
        </w:rPr>
        <w:t>No próximo item (10.1 Matriz Curricular) segue a apresentação detalhada das UC’s e o plano de transição para o novo PCC poderá ser consultado no Anexo A. O curso de graduação, na modalidade Licenciatura em História, adota um regime acadêmico presencial e semestral, que se concretiza através de matrícula, em cada período letivo, em um conjunto de atividades curriculares definido neste Projeto Pedagógico de Curso. A formação do futuro professor de História é constituída pelas UC’s oferecidas pelo próprio curso, além de outras compartilhadas com os cursos de Letras/Inglês e Letras/Espanhol e Pedagogia da Faculdade Interdisciplinar em Humanidades (FIH). A previsão de integralização do curso de graduação em História é de no mínimo 8 (oito) semestres ou 4 (quatro) anos.</w:t>
      </w:r>
    </w:p>
    <w:p>
      <w:pPr>
        <w:pStyle w:val="Texto"/>
        <w:tabs>
          <w:tab w:val="left" w:pos="567" w:leader="none"/>
        </w:tabs>
        <w:spacing w:before="60" w:after="60"/>
        <w:ind w:firstLine="567"/>
        <w:rPr>
          <w:rFonts w:eastAsia="Times New Roman"/>
          <w:sz w:val="22"/>
          <w:szCs w:val="22"/>
          <w:lang w:eastAsia="ar-SA"/>
        </w:rPr>
      </w:pPr>
      <w:r>
        <w:rPr>
          <w:rFonts w:eastAsia="Times New Roman"/>
          <w:sz w:val="22"/>
          <w:szCs w:val="22"/>
          <w:lang w:eastAsia="ar-SA"/>
        </w:rPr>
      </w:r>
    </w:p>
    <w:p>
      <w:pPr>
        <w:pStyle w:val="Texto"/>
        <w:tabs>
          <w:tab w:val="left" w:pos="567" w:leader="none"/>
        </w:tabs>
        <w:spacing w:before="60" w:after="60"/>
        <w:ind w:firstLine="567"/>
        <w:rPr>
          <w:rFonts w:eastAsia="Times New Roman"/>
          <w:sz w:val="22"/>
          <w:szCs w:val="22"/>
          <w:lang w:eastAsia="ar-SA"/>
        </w:rPr>
      </w:pPr>
      <w:r>
        <w:rPr>
          <w:rFonts w:eastAsia="Times New Roman"/>
          <w:sz w:val="22"/>
          <w:szCs w:val="22"/>
          <w:lang w:eastAsia="ar-SA"/>
        </w:rPr>
      </w:r>
    </w:p>
    <w:p>
      <w:pPr>
        <w:pStyle w:val="Normal"/>
        <w:spacing w:lineRule="auto" w:line="360" w:before="60" w:after="60"/>
        <w:jc w:val="both"/>
        <w:rPr>
          <w:rFonts w:ascii="Arial" w:hAnsi="Arial" w:cs="Arial"/>
          <w:b/>
          <w:b/>
          <w:bCs/>
          <w:i/>
          <w:i/>
          <w:sz w:val="24"/>
        </w:rPr>
      </w:pPr>
      <w:r>
        <w:rPr>
          <w:rFonts w:cs="Arial" w:ascii="Arial" w:hAnsi="Arial"/>
          <w:b/>
          <w:bCs/>
          <w:i/>
          <w:sz w:val="24"/>
        </w:rPr>
        <w:t xml:space="preserve">10.1 Matriz Curricular </w:t>
      </w:r>
    </w:p>
    <w:p>
      <w:pPr>
        <w:pStyle w:val="Texto"/>
        <w:tabs>
          <w:tab w:val="left" w:pos="567" w:leader="none"/>
        </w:tabs>
        <w:spacing w:before="60" w:after="60"/>
        <w:ind w:firstLine="709"/>
        <w:rPr>
          <w:rFonts w:eastAsia="Times New Roman"/>
          <w:sz w:val="22"/>
          <w:szCs w:val="22"/>
          <w:lang w:eastAsia="ar-SA"/>
        </w:rPr>
      </w:pPr>
      <w:r>
        <w:rPr>
          <w:rFonts w:eastAsia="Times New Roman"/>
          <w:sz w:val="22"/>
          <w:szCs w:val="22"/>
          <w:lang w:eastAsia="ar-SA"/>
        </w:rPr>
        <w:t>Na tabela 01 estão representadas as UC’s do curso de graduação em História, de acordo com os Eixos supracitados. Os discentes matriculados p</w:t>
      </w:r>
      <w:r>
        <w:rPr>
          <w:sz w:val="22"/>
          <w:szCs w:val="22"/>
        </w:rPr>
        <w:t xml:space="preserve">ara integralizar sua formação deverão cursar </w:t>
      </w:r>
      <w:r>
        <w:rPr>
          <w:rFonts w:eastAsia="Times New Roman"/>
          <w:sz w:val="22"/>
          <w:szCs w:val="22"/>
          <w:lang w:eastAsia="ar-SA"/>
        </w:rPr>
        <w:t xml:space="preserve">nos Eixos 1, 2 e 3, no mínimo, </w:t>
      </w:r>
      <w:r>
        <w:rPr>
          <w:rFonts w:eastAsia="Times New Roman"/>
          <w:b/>
          <w:sz w:val="22"/>
          <w:szCs w:val="22"/>
          <w:lang w:eastAsia="ar-SA"/>
        </w:rPr>
        <w:t>40 UC’s:</w:t>
      </w:r>
      <w:r>
        <w:rPr>
          <w:rFonts w:eastAsia="Times New Roman"/>
          <w:sz w:val="22"/>
          <w:szCs w:val="22"/>
          <w:lang w:eastAsia="ar-SA"/>
        </w:rPr>
        <w:t xml:space="preserve"> sendo, 34 Obrigatórias e/ou 1875 h/a e 6 Eletivas e/ou 420 h/a, esse conjunto integraliza 2.205 h/a teóricas. A oferta das UC´</w:t>
      </w:r>
      <w:r>
        <w:rPr>
          <w:rFonts w:eastAsia="Times New Roman"/>
          <w:sz w:val="22"/>
          <w:szCs w:val="22"/>
          <w:vertAlign w:val="subscript"/>
          <w:lang w:eastAsia="ar-SA"/>
        </w:rPr>
        <w:t>s</w:t>
      </w:r>
      <w:r>
        <w:rPr>
          <w:rFonts w:eastAsia="Times New Roman"/>
          <w:sz w:val="22"/>
          <w:szCs w:val="22"/>
          <w:lang w:eastAsia="ar-SA"/>
        </w:rPr>
        <w:t xml:space="preserve"> eletivas </w:t>
      </w:r>
      <w:r>
        <w:rPr>
          <w:sz w:val="22"/>
          <w:szCs w:val="22"/>
        </w:rPr>
        <w:t>se dará de acordo com a disponibilidade dos docentes e o interesse dos discentes, sabendo que o objetivo é</w:t>
      </w:r>
      <w:r>
        <w:rPr>
          <w:rFonts w:eastAsia="Times New Roman"/>
          <w:sz w:val="22"/>
          <w:szCs w:val="22"/>
          <w:lang w:eastAsia="ar-SA"/>
        </w:rPr>
        <w:t xml:space="preserve"> flexibilizar o currículo. As UC’s Obrigatórias estão relacionadas na Tabela 02 e as Eletivas na Tabela 03. Na tabela 04 está a distribuição das unidades curriculares por semestre letivo.</w:t>
      </w:r>
    </w:p>
    <w:p>
      <w:pPr>
        <w:pStyle w:val="Texto"/>
        <w:tabs>
          <w:tab w:val="left" w:pos="567" w:leader="none"/>
        </w:tabs>
        <w:spacing w:before="60" w:after="60"/>
        <w:ind w:firstLine="567"/>
        <w:rPr>
          <w:rFonts w:eastAsia="Times New Roman"/>
          <w:sz w:val="22"/>
          <w:szCs w:val="22"/>
          <w:lang w:eastAsia="ar-SA"/>
        </w:rPr>
      </w:pPr>
      <w:r>
        <w:rPr>
          <w:rFonts w:eastAsia="Times New Roman"/>
          <w:sz w:val="22"/>
          <w:szCs w:val="22"/>
          <w:lang w:eastAsia="ar-SA"/>
        </w:rPr>
      </w:r>
    </w:p>
    <w:p>
      <w:pPr>
        <w:pStyle w:val="Texto"/>
        <w:tabs>
          <w:tab w:val="left" w:pos="567" w:leader="none"/>
        </w:tabs>
        <w:spacing w:before="0" w:after="200"/>
        <w:ind w:firstLine="567"/>
        <w:jc w:val="center"/>
        <w:rPr>
          <w:rFonts w:eastAsia="Times New Roman"/>
          <w:b/>
          <w:b/>
          <w:sz w:val="22"/>
          <w:lang w:eastAsia="ar-SA"/>
        </w:rPr>
      </w:pPr>
      <w:r>
        <w:rPr>
          <w:rFonts w:eastAsia="Times New Roman"/>
          <w:b/>
          <w:sz w:val="22"/>
          <w:lang w:eastAsia="ar-SA"/>
        </w:rPr>
        <w:t>Tabela 01: Unidades Curriculares por Eixo Formativo</w:t>
      </w:r>
    </w:p>
    <w:tbl>
      <w:tblPr>
        <w:tblW w:w="8505"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5" w:type="dxa"/>
          <w:bottom w:w="0" w:type="dxa"/>
          <w:right w:w="70" w:type="dxa"/>
        </w:tblCellMar>
        <w:tblLook w:firstRow="1" w:noVBand="1" w:lastRow="0" w:firstColumn="1" w:lastColumn="0" w:noHBand="0" w:val="04a0"/>
      </w:tblPr>
      <w:tblGrid>
        <w:gridCol w:w="5387"/>
        <w:gridCol w:w="1133"/>
        <w:gridCol w:w="993"/>
        <w:gridCol w:w="991"/>
      </w:tblGrid>
      <w:tr>
        <w:trPr>
          <w:trHeight w:val="424" w:hRule="atLeast"/>
        </w:trPr>
        <w:tc>
          <w:tcPr>
            <w:tcW w:w="53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Unidades Curriculares</w:t>
            </w:r>
          </w:p>
        </w:tc>
        <w:tc>
          <w:tcPr>
            <w:tcW w:w="1133"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CH</w:t>
            </w:r>
          </w:p>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Teórica</w:t>
            </w:r>
          </w:p>
        </w:tc>
        <w:tc>
          <w:tcPr>
            <w:tcW w:w="993"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CH</w:t>
            </w:r>
          </w:p>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PCC’s</w:t>
            </w:r>
          </w:p>
        </w:tc>
        <w:tc>
          <w:tcPr>
            <w:tcW w:w="991"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CH</w:t>
            </w:r>
          </w:p>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Total</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6A6A6" w:themeFill="background1" w:themeFillShade="a6" w:val="clear"/>
            <w:tcMar>
              <w:left w:w="65" w:type="dxa"/>
            </w:tcMar>
            <w:vAlign w:val="center"/>
          </w:tcPr>
          <w:p>
            <w:pPr>
              <w:pStyle w:val="Normal"/>
              <w:spacing w:lineRule="auto" w:line="240" w:before="0" w:after="0"/>
              <w:jc w:val="center"/>
              <w:rPr>
                <w:rFonts w:ascii="Arial" w:hAnsi="Arial" w:eastAsia="Times New Roman" w:cs="Arial"/>
                <w:b/>
                <w:b/>
                <w:sz w:val="24"/>
                <w:szCs w:val="24"/>
                <w:lang w:eastAsia="pt-BR"/>
              </w:rPr>
            </w:pPr>
            <w:r>
              <w:rPr>
                <w:rFonts w:cs="Arial" w:ascii="Arial" w:hAnsi="Arial"/>
                <w:b/>
                <w:sz w:val="24"/>
                <w:szCs w:val="24"/>
              </w:rPr>
              <w:t>Eixo 1– Formação Educacional</w:t>
            </w:r>
          </w:p>
        </w:tc>
        <w:tc>
          <w:tcPr>
            <w:tcW w:w="1133" w:type="dxa"/>
            <w:tcBorders>
              <w:bottom w:val="single" w:sz="4" w:space="0" w:color="00000A"/>
              <w:right w:val="single" w:sz="4" w:space="0" w:color="00000A"/>
              <w:insideH w:val="single" w:sz="4" w:space="0" w:color="00000A"/>
              <w:insideV w:val="single" w:sz="4" w:space="0" w:color="00000A"/>
            </w:tcBorders>
            <w:shd w:color="auto" w:fill="A6A6A6" w:themeFill="background1" w:themeFillShade="a6" w:val="clear"/>
            <w:vAlign w:val="bottom"/>
          </w:tcPr>
          <w:p>
            <w:pPr>
              <w:pStyle w:val="Normal"/>
              <w:spacing w:lineRule="auto" w:line="240" w:before="0" w:after="0"/>
              <w:jc w:val="center"/>
              <w:rPr>
                <w:rFonts w:ascii="Arial" w:hAnsi="Arial" w:eastAsia="Times New Roman" w:cs="Arial"/>
                <w:sz w:val="20"/>
                <w:szCs w:val="20"/>
                <w:lang w:eastAsia="pt-BR"/>
              </w:rPr>
            </w:pPr>
            <w:r>
              <w:rPr>
                <w:rFonts w:eastAsia="Times New Roman" w:cs="Arial" w:ascii="Arial" w:hAnsi="Arial"/>
                <w:sz w:val="20"/>
                <w:szCs w:val="20"/>
                <w:lang w:eastAsia="pt-BR"/>
              </w:rPr>
            </w:r>
          </w:p>
        </w:tc>
        <w:tc>
          <w:tcPr>
            <w:tcW w:w="993" w:type="dxa"/>
            <w:tcBorders>
              <w:bottom w:val="single" w:sz="4" w:space="0" w:color="00000A"/>
              <w:right w:val="single" w:sz="4" w:space="0" w:color="00000A"/>
              <w:insideH w:val="single" w:sz="4" w:space="0" w:color="00000A"/>
              <w:insideV w:val="single" w:sz="4" w:space="0" w:color="00000A"/>
            </w:tcBorders>
            <w:shd w:color="auto" w:fill="A6A6A6" w:themeFill="background1" w:themeFillShade="a6" w:val="clear"/>
            <w:vAlign w:val="bottom"/>
          </w:tcPr>
          <w:p>
            <w:pPr>
              <w:pStyle w:val="Normal"/>
              <w:spacing w:lineRule="auto" w:line="240" w:before="0" w:after="0"/>
              <w:jc w:val="center"/>
              <w:rPr>
                <w:rFonts w:ascii="Arial" w:hAnsi="Arial" w:eastAsia="Times New Roman" w:cs="Arial"/>
                <w:sz w:val="20"/>
                <w:szCs w:val="20"/>
                <w:lang w:eastAsia="pt-BR"/>
              </w:rPr>
            </w:pPr>
            <w:r>
              <w:rPr>
                <w:rFonts w:eastAsia="Times New Roman" w:cs="Arial" w:ascii="Arial" w:hAnsi="Arial"/>
                <w:sz w:val="20"/>
                <w:szCs w:val="20"/>
                <w:lang w:eastAsia="pt-BR"/>
              </w:rPr>
            </w:r>
          </w:p>
        </w:tc>
        <w:tc>
          <w:tcPr>
            <w:tcW w:w="991" w:type="dxa"/>
            <w:tcBorders>
              <w:bottom w:val="single" w:sz="4" w:space="0" w:color="00000A"/>
              <w:right w:val="single" w:sz="4" w:space="0" w:color="00000A"/>
              <w:insideH w:val="single" w:sz="4" w:space="0" w:color="00000A"/>
              <w:insideV w:val="single" w:sz="4" w:space="0" w:color="00000A"/>
            </w:tcBorders>
            <w:shd w:color="auto" w:fill="A6A6A6" w:themeFill="background1" w:themeFillShade="a6" w:val="clear"/>
            <w:vAlign w:val="bottom"/>
          </w:tcPr>
          <w:p>
            <w:pPr>
              <w:pStyle w:val="Normal"/>
              <w:spacing w:lineRule="auto" w:line="240" w:before="0" w:after="0"/>
              <w:jc w:val="center"/>
              <w:rPr>
                <w:rFonts w:ascii="Arial" w:hAnsi="Arial" w:eastAsia="Times New Roman" w:cs="Arial"/>
                <w:sz w:val="20"/>
                <w:szCs w:val="20"/>
                <w:lang w:eastAsia="pt-BR"/>
              </w:rPr>
            </w:pPr>
            <w:r>
              <w:rPr>
                <w:rFonts w:eastAsia="Times New Roman" w:cs="Arial" w:ascii="Arial" w:hAnsi="Arial"/>
                <w:sz w:val="20"/>
                <w:szCs w:val="20"/>
                <w:lang w:eastAsia="pt-BR"/>
              </w:rPr>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Cs/>
                <w:lang w:eastAsia="pt-BR"/>
              </w:rPr>
            </w:pPr>
            <w:r>
              <w:rPr>
                <w:rFonts w:eastAsia="Times New Roman" w:cs="Arial" w:ascii="Arial" w:hAnsi="Arial"/>
                <w:bCs/>
                <w:lang w:eastAsia="pt-BR"/>
              </w:rPr>
              <w:t>Didática</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60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15 h/a</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75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Cs/>
                <w:lang w:eastAsia="pt-BR"/>
              </w:rPr>
            </w:pPr>
            <w:r>
              <w:rPr>
                <w:rFonts w:eastAsia="Times New Roman" w:cs="Arial" w:ascii="Arial" w:hAnsi="Arial"/>
                <w:bCs/>
                <w:lang w:eastAsia="pt-BR"/>
              </w:rPr>
              <w:t>Educação e Diversidade</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Cs/>
                <w:lang w:eastAsia="pt-BR"/>
              </w:rPr>
            </w:pPr>
            <w:r>
              <w:rPr>
                <w:rFonts w:eastAsia="Times New Roman" w:cs="Arial" w:ascii="Arial" w:hAnsi="Arial"/>
                <w:lang w:eastAsia="pt-BR"/>
              </w:rPr>
              <w:t>Filosofia da Educação</w:t>
            </w:r>
            <w:r>
              <w:rPr>
                <w:rStyle w:val="Ncoradanotaderodap"/>
                <w:rFonts w:eastAsia="Times New Roman" w:cs="Arial" w:ascii="Arial" w:hAnsi="Arial"/>
                <w:lang w:eastAsia="pt-BR"/>
              </w:rPr>
              <w:footnoteReference w:customMarkFollows="1" w:id="2"/>
              <w:t>*</w:t>
            </w:r>
            <w:r>
              <w:rPr>
                <w:rFonts w:eastAsia="Times New Roman" w:cs="Arial" w:ascii="Arial" w:hAnsi="Arial"/>
                <w:lang w:eastAsia="pt-BR"/>
              </w:rPr>
              <w:t xml:space="preserve"> </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45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t>Gestão de Sistema Escolar</w:t>
            </w:r>
            <w:r>
              <w:rPr>
                <w:rFonts w:eastAsia="Times New Roman" w:cs="Arial" w:ascii="Arial" w:hAnsi="Arial"/>
                <w:sz w:val="18"/>
                <w:szCs w:val="18"/>
                <w:lang w:eastAsia="pt-BR"/>
              </w:rPr>
              <w:t>*</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45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t>História da Educação</w:t>
            </w:r>
            <w:r>
              <w:rPr>
                <w:rFonts w:eastAsia="Times New Roman" w:cs="Arial" w:ascii="Arial" w:hAnsi="Arial"/>
                <w:sz w:val="16"/>
                <w:szCs w:val="16"/>
                <w:lang w:eastAsia="pt-BR"/>
              </w:rPr>
              <w:t>*</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45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Cs/>
                <w:lang w:eastAsia="pt-BR"/>
              </w:rPr>
            </w:pPr>
            <w:r>
              <w:rPr>
                <w:rFonts w:eastAsia="Times New Roman" w:cs="Arial" w:ascii="Arial" w:hAnsi="Arial"/>
                <w:lang w:eastAsia="pt-BR"/>
              </w:rPr>
              <w:t>História, Meio Ambiente e Educação Ambiental</w:t>
            </w:r>
            <w:r>
              <w:rPr>
                <w:rFonts w:eastAsia="Times New Roman" w:cs="Arial" w:ascii="Arial" w:hAnsi="Arial"/>
                <w:sz w:val="16"/>
                <w:szCs w:val="16"/>
                <w:lang w:eastAsia="pt-BR"/>
              </w:rPr>
              <w:t>*</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45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Cs/>
                <w:lang w:eastAsia="pt-BR"/>
              </w:rPr>
            </w:pPr>
            <w:r>
              <w:rPr>
                <w:rFonts w:eastAsia="Times New Roman" w:cs="Arial" w:ascii="Arial" w:hAnsi="Arial"/>
                <w:bCs/>
                <w:lang w:eastAsia="pt-BR"/>
              </w:rPr>
              <w:t>LEH</w:t>
            </w:r>
            <w:r>
              <w:rPr>
                <w:rStyle w:val="Ncoradanotaderodap"/>
                <w:rFonts w:eastAsia="Times New Roman" w:cs="Arial" w:ascii="Arial" w:hAnsi="Arial"/>
                <w:bCs/>
                <w:lang w:eastAsia="pt-BR"/>
              </w:rPr>
              <w:footnoteReference w:id="3"/>
            </w:r>
            <w:r>
              <w:rPr>
                <w:rFonts w:eastAsia="Times New Roman" w:cs="Arial" w:ascii="Arial" w:hAnsi="Arial"/>
                <w:lang w:eastAsia="pt-BR"/>
              </w:rPr>
              <w:t>: Memória, Patrimônio e Educação Histórica</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15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60 h/a</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75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t>LEH: Metodologias e tecnologias do ensino de História</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15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60 h/a</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75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Cs/>
                <w:lang w:eastAsia="pt-BR"/>
              </w:rPr>
            </w:pPr>
            <w:r>
              <w:rPr>
                <w:rFonts w:eastAsia="Times New Roman" w:cs="Arial" w:ascii="Arial" w:hAnsi="Arial"/>
                <w:lang w:eastAsia="pt-BR"/>
              </w:rPr>
              <w:t>LEH: Produção de Material Didático</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15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60 h/a</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75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t>Políticas Educacionais</w:t>
            </w:r>
            <w:r>
              <w:rPr>
                <w:rFonts w:eastAsia="Times New Roman" w:cs="Arial" w:ascii="Arial" w:hAnsi="Arial"/>
                <w:sz w:val="16"/>
                <w:szCs w:val="16"/>
                <w:lang w:eastAsia="pt-BR"/>
              </w:rPr>
              <w:t>*</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Cs/>
                <w:lang w:eastAsia="pt-BR"/>
              </w:rPr>
            </w:pPr>
            <w:r>
              <w:rPr>
                <w:rFonts w:eastAsia="Times New Roman" w:cs="Arial" w:ascii="Arial" w:hAnsi="Arial"/>
                <w:lang w:eastAsia="pt-BR"/>
              </w:rPr>
              <w:t>Psicologia da Educação</w:t>
            </w:r>
            <w:r>
              <w:rPr>
                <w:rFonts w:eastAsia="Times New Roman" w:cs="Arial" w:ascii="Arial" w:hAnsi="Arial"/>
                <w:sz w:val="16"/>
                <w:szCs w:val="16"/>
                <w:lang w:eastAsia="pt-BR"/>
              </w:rPr>
              <w:t>*</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Cs/>
                <w:lang w:eastAsia="pt-BR"/>
              </w:rPr>
            </w:pPr>
            <w:r>
              <w:rPr>
                <w:rFonts w:eastAsia="Times New Roman" w:cs="Arial" w:ascii="Arial" w:hAnsi="Arial"/>
                <w:lang w:eastAsia="pt-BR"/>
              </w:rPr>
              <w:t>Sociologia da Educação</w:t>
            </w:r>
            <w:r>
              <w:rPr>
                <w:rFonts w:eastAsia="Times New Roman" w:cs="Arial" w:ascii="Arial" w:hAnsi="Arial"/>
                <w:sz w:val="16"/>
                <w:szCs w:val="16"/>
                <w:lang w:eastAsia="pt-BR"/>
              </w:rPr>
              <w:t>*</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r>
      <w:tr>
        <w:trPr>
          <w:trHeight w:val="227" w:hRule="atLeast"/>
        </w:trPr>
        <w:tc>
          <w:tcPr>
            <w:tcW w:w="53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vAlign w:val="bottom"/>
          </w:tcPr>
          <w:p>
            <w:pPr>
              <w:pStyle w:val="Normal"/>
              <w:spacing w:lineRule="auto" w:line="240" w:before="0" w:after="0"/>
              <w:jc w:val="right"/>
              <w:rPr>
                <w:rFonts w:ascii="Arial" w:hAnsi="Arial" w:eastAsia="Times New Roman" w:cs="Arial"/>
                <w:b/>
                <w:b/>
                <w:bCs/>
                <w:lang w:eastAsia="pt-BR"/>
              </w:rPr>
            </w:pPr>
            <w:r>
              <w:rPr>
                <w:rFonts w:eastAsia="Times New Roman" w:cs="Arial" w:ascii="Arial" w:hAnsi="Arial"/>
                <w:b/>
                <w:bCs/>
                <w:lang w:eastAsia="pt-BR"/>
              </w:rPr>
              <w:t>Total</w:t>
            </w:r>
          </w:p>
        </w:tc>
        <w:tc>
          <w:tcPr>
            <w:tcW w:w="1133" w:type="dxa"/>
            <w:tcBorders>
              <w:top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375 h/a</w:t>
            </w:r>
          </w:p>
        </w:tc>
        <w:tc>
          <w:tcPr>
            <w:tcW w:w="993" w:type="dxa"/>
            <w:tcBorders>
              <w:top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270 h/a</w:t>
            </w:r>
          </w:p>
        </w:tc>
        <w:tc>
          <w:tcPr>
            <w:tcW w:w="991" w:type="dxa"/>
            <w:tcBorders>
              <w:top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645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6A6A6" w:themeFill="background1" w:themeFillShade="a6" w:val="clear"/>
            <w:tcMar>
              <w:left w:w="65" w:type="dxa"/>
            </w:tcMar>
            <w:vAlign w:val="bottom"/>
          </w:tcPr>
          <w:p>
            <w:pPr>
              <w:pStyle w:val="Normal"/>
              <w:spacing w:lineRule="auto" w:line="240" w:before="0" w:after="0"/>
              <w:jc w:val="center"/>
              <w:rPr>
                <w:rFonts w:ascii="Arial" w:hAnsi="Arial" w:eastAsia="Times New Roman" w:cs="Arial"/>
                <w:b/>
                <w:b/>
                <w:bCs/>
                <w:sz w:val="24"/>
                <w:szCs w:val="24"/>
                <w:lang w:eastAsia="pt-BR"/>
              </w:rPr>
            </w:pPr>
            <w:r>
              <w:rPr>
                <w:rFonts w:cs="Arial" w:ascii="Arial" w:hAnsi="Arial"/>
                <w:b/>
                <w:sz w:val="24"/>
                <w:szCs w:val="24"/>
              </w:rPr>
              <w:t>Eixo 2 – Formação Específica</w:t>
            </w:r>
          </w:p>
        </w:tc>
        <w:tc>
          <w:tcPr>
            <w:tcW w:w="1133" w:type="dxa"/>
            <w:tcBorders>
              <w:bottom w:val="single" w:sz="4" w:space="0" w:color="00000A"/>
              <w:right w:val="single" w:sz="4" w:space="0" w:color="00000A"/>
              <w:insideH w:val="single" w:sz="4" w:space="0" w:color="00000A"/>
              <w:insideV w:val="single" w:sz="4" w:space="0" w:color="00000A"/>
            </w:tcBorders>
            <w:shd w:color="auto" w:fill="A6A6A6" w:themeFill="background1" w:themeFillShade="a6" w:val="clear"/>
            <w:vAlign w:val="bottom"/>
          </w:tcPr>
          <w:p>
            <w:pPr>
              <w:pStyle w:val="Normal"/>
              <w:spacing w:lineRule="auto" w:line="240" w:before="0" w:after="0"/>
              <w:jc w:val="center"/>
              <w:rPr>
                <w:rFonts w:ascii="Arial" w:hAnsi="Arial" w:eastAsia="Times New Roman" w:cs="Arial"/>
                <w:b/>
                <w:b/>
                <w:bCs/>
                <w:sz w:val="24"/>
                <w:szCs w:val="24"/>
                <w:lang w:eastAsia="pt-BR"/>
              </w:rPr>
            </w:pPr>
            <w:r>
              <w:rPr>
                <w:rFonts w:eastAsia="Times New Roman" w:cs="Arial" w:ascii="Arial" w:hAnsi="Arial"/>
                <w:b/>
                <w:bCs/>
                <w:sz w:val="24"/>
                <w:szCs w:val="24"/>
                <w:lang w:eastAsia="pt-BR"/>
              </w:rPr>
            </w:r>
          </w:p>
        </w:tc>
        <w:tc>
          <w:tcPr>
            <w:tcW w:w="993" w:type="dxa"/>
            <w:tcBorders>
              <w:bottom w:val="single" w:sz="4" w:space="0" w:color="00000A"/>
              <w:right w:val="single" w:sz="4" w:space="0" w:color="00000A"/>
              <w:insideH w:val="single" w:sz="4" w:space="0" w:color="00000A"/>
              <w:insideV w:val="single" w:sz="4" w:space="0" w:color="00000A"/>
            </w:tcBorders>
            <w:shd w:color="auto" w:fill="A6A6A6" w:themeFill="background1" w:themeFillShade="a6" w:val="clear"/>
            <w:vAlign w:val="bottom"/>
          </w:tcPr>
          <w:p>
            <w:pPr>
              <w:pStyle w:val="Normal"/>
              <w:spacing w:lineRule="auto" w:line="240" w:before="0" w:after="0"/>
              <w:jc w:val="center"/>
              <w:rPr>
                <w:rFonts w:ascii="Arial" w:hAnsi="Arial" w:eastAsia="Times New Roman" w:cs="Arial"/>
                <w:b/>
                <w:b/>
                <w:bCs/>
                <w:sz w:val="24"/>
                <w:szCs w:val="24"/>
                <w:lang w:eastAsia="pt-BR"/>
              </w:rPr>
            </w:pPr>
            <w:r>
              <w:rPr>
                <w:rFonts w:eastAsia="Times New Roman" w:cs="Arial" w:ascii="Arial" w:hAnsi="Arial"/>
                <w:b/>
                <w:bCs/>
                <w:sz w:val="24"/>
                <w:szCs w:val="24"/>
                <w:lang w:eastAsia="pt-BR"/>
              </w:rPr>
            </w:r>
          </w:p>
        </w:tc>
        <w:tc>
          <w:tcPr>
            <w:tcW w:w="991" w:type="dxa"/>
            <w:tcBorders>
              <w:bottom w:val="single" w:sz="4" w:space="0" w:color="00000A"/>
              <w:right w:val="single" w:sz="4" w:space="0" w:color="00000A"/>
              <w:insideH w:val="single" w:sz="4" w:space="0" w:color="00000A"/>
              <w:insideV w:val="single" w:sz="4" w:space="0" w:color="00000A"/>
            </w:tcBorders>
            <w:shd w:color="auto" w:fill="A6A6A6" w:themeFill="background1" w:themeFillShade="a6" w:val="clear"/>
            <w:vAlign w:val="bottom"/>
          </w:tcPr>
          <w:p>
            <w:pPr>
              <w:pStyle w:val="Normal"/>
              <w:spacing w:lineRule="auto" w:line="240" w:before="0" w:after="0"/>
              <w:jc w:val="center"/>
              <w:rPr>
                <w:rFonts w:ascii="Arial" w:hAnsi="Arial" w:eastAsia="Times New Roman" w:cs="Arial"/>
                <w:b/>
                <w:b/>
                <w:bCs/>
                <w:sz w:val="24"/>
                <w:szCs w:val="24"/>
                <w:lang w:eastAsia="pt-BR"/>
              </w:rPr>
            </w:pPr>
            <w:r>
              <w:rPr>
                <w:rFonts w:eastAsia="Times New Roman" w:cs="Arial" w:ascii="Arial" w:hAnsi="Arial"/>
                <w:b/>
                <w:bCs/>
                <w:sz w:val="24"/>
                <w:szCs w:val="24"/>
                <w:lang w:eastAsia="pt-BR"/>
              </w:rPr>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História Antiga</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t>História Contemporânea no século XIX</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História Contemporânea nos séculos XX e XXI</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História da África</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História da América Colonial</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t>História da América Contemporânea</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História da América Independente</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t>História da América Portuguesa</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rPr>
                <w:rFonts w:ascii="Arial" w:hAnsi="Arial" w:eastAsia="Times New Roman" w:cs="Arial"/>
                <w:lang w:eastAsia="pt-BR"/>
              </w:rPr>
            </w:pPr>
            <w:r>
              <w:rPr>
                <w:rFonts w:eastAsia="Times New Roman" w:cs="Arial" w:ascii="Arial" w:hAnsi="Arial"/>
                <w:lang w:eastAsia="pt-BR"/>
              </w:rPr>
              <w:t>História de Minas Gerais</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rPr>
                <w:rFonts w:ascii="Arial" w:hAnsi="Arial" w:eastAsia="Times New Roman" w:cs="Arial"/>
                <w:b/>
                <w:b/>
                <w:bCs/>
                <w:lang w:eastAsia="pt-BR"/>
              </w:rPr>
            </w:pPr>
            <w:r>
              <w:rPr>
                <w:rFonts w:eastAsia="Times New Roman" w:cs="Arial" w:ascii="Arial" w:hAnsi="Arial"/>
                <w:lang w:eastAsia="pt-BR"/>
              </w:rPr>
              <w:t>História do Brasil Contemporâneo</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História do Brasil Monárquico</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História do Brasil Republicano</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História Indígena nas Américas</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t>História Medieval</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História Moderna</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Historiografia Contemporânea</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rPr>
                <w:rFonts w:ascii="Arial" w:hAnsi="Arial" w:eastAsia="Times New Roman" w:cs="Arial"/>
                <w:b/>
                <w:b/>
                <w:bCs/>
                <w:lang w:eastAsia="pt-BR"/>
              </w:rPr>
            </w:pPr>
            <w:r>
              <w:rPr>
                <w:rFonts w:eastAsia="Times New Roman" w:cs="Arial" w:ascii="Arial" w:hAnsi="Arial"/>
                <w:lang w:eastAsia="pt-BR"/>
              </w:rPr>
              <w:t>Metodologia da pesquisa histórica</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Teoria da História</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rPr>
                <w:rFonts w:ascii="Arial" w:hAnsi="Arial" w:eastAsia="Times New Roman" w:cs="Arial"/>
                <w:lang w:eastAsia="pt-BR"/>
              </w:rPr>
            </w:pPr>
            <w:r>
              <w:rPr>
                <w:rFonts w:eastAsia="Times New Roman" w:cs="Arial" w:ascii="Arial" w:hAnsi="Arial"/>
                <w:lang w:eastAsia="pt-BR"/>
              </w:rPr>
              <w:t>Trabalho de Conclusão de Curso</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vAlign w:val="bottom"/>
          </w:tcPr>
          <w:p>
            <w:pPr>
              <w:pStyle w:val="Normal"/>
              <w:spacing w:lineRule="auto" w:line="240" w:before="0" w:after="0"/>
              <w:jc w:val="right"/>
              <w:rPr>
                <w:rFonts w:ascii="Arial" w:hAnsi="Arial" w:eastAsia="Times New Roman" w:cs="Arial"/>
                <w:b/>
                <w:b/>
                <w:bCs/>
                <w:lang w:eastAsia="pt-BR"/>
              </w:rPr>
            </w:pPr>
            <w:r>
              <w:rPr>
                <w:rFonts w:eastAsia="Times New Roman" w:cs="Arial" w:ascii="Arial" w:hAnsi="Arial"/>
                <w:b/>
                <w:bCs/>
                <w:lang w:eastAsia="pt-BR"/>
              </w:rPr>
              <w:t> </w:t>
            </w:r>
            <w:r>
              <w:rPr>
                <w:rFonts w:eastAsia="Times New Roman" w:cs="Arial" w:ascii="Arial" w:hAnsi="Arial"/>
                <w:b/>
                <w:bCs/>
                <w:lang w:eastAsia="pt-BR"/>
              </w:rPr>
              <w:t>Total</w:t>
            </w:r>
          </w:p>
        </w:tc>
        <w:tc>
          <w:tcPr>
            <w:tcW w:w="1133" w:type="dxa"/>
            <w:tcBorders>
              <w:bottom w:val="single" w:sz="4" w:space="0" w:color="00000A"/>
              <w:right w:val="single" w:sz="4" w:space="0" w:color="00000A"/>
              <w:insideH w:val="single" w:sz="4" w:space="0" w:color="00000A"/>
              <w:insideV w:val="single" w:sz="4" w:space="0" w:color="00000A"/>
            </w:tcBorders>
            <w:shd w:color="auto" w:fill="D9D9D9" w:themeFill="background1" w:themeFillShade="d9" w:val="cle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1215</w:t>
            </w:r>
          </w:p>
        </w:tc>
        <w:tc>
          <w:tcPr>
            <w:tcW w:w="993" w:type="dxa"/>
            <w:tcBorders>
              <w:bottom w:val="single" w:sz="4" w:space="0" w:color="00000A"/>
              <w:right w:val="single" w:sz="4" w:space="0" w:color="00000A"/>
              <w:insideH w:val="single" w:sz="4" w:space="0" w:color="00000A"/>
              <w:insideV w:val="single" w:sz="4" w:space="0" w:color="00000A"/>
            </w:tcBorders>
            <w:shd w:color="auto" w:fill="D9D9D9" w:themeFill="background1" w:themeFillShade="d9" w:val="cle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150</w:t>
            </w:r>
          </w:p>
        </w:tc>
        <w:tc>
          <w:tcPr>
            <w:tcW w:w="991" w:type="dxa"/>
            <w:tcBorders>
              <w:bottom w:val="single" w:sz="4" w:space="0" w:color="00000A"/>
              <w:right w:val="single" w:sz="4" w:space="0" w:color="00000A"/>
              <w:insideH w:val="single" w:sz="4" w:space="0" w:color="00000A"/>
              <w:insideV w:val="single" w:sz="4" w:space="0" w:color="00000A"/>
            </w:tcBorders>
            <w:shd w:color="auto" w:fill="D9D9D9" w:themeFill="background1" w:themeFillShade="d9" w:val="cle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1365</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000000" w:fill="808080" w:val="clear"/>
            <w:tcMar>
              <w:left w:w="65" w:type="dxa"/>
            </w:tcMar>
            <w:vAlign w:val="bottom"/>
          </w:tcPr>
          <w:p>
            <w:pPr>
              <w:pStyle w:val="Normal"/>
              <w:spacing w:lineRule="auto" w:line="240" w:before="0" w:after="0"/>
              <w:jc w:val="center"/>
              <w:rPr>
                <w:rFonts w:ascii="Arial" w:hAnsi="Arial" w:eastAsia="Times New Roman" w:cs="Arial"/>
                <w:b/>
                <w:b/>
                <w:bCs/>
                <w:sz w:val="24"/>
                <w:szCs w:val="24"/>
                <w:lang w:eastAsia="pt-BR"/>
              </w:rPr>
            </w:pPr>
            <w:r>
              <w:rPr>
                <w:rFonts w:cs="Arial" w:ascii="Arial" w:hAnsi="Arial"/>
                <w:b/>
                <w:sz w:val="24"/>
                <w:szCs w:val="24"/>
              </w:rPr>
              <w:t>Eixo 3 – Formação Geral e Interdisciplinar</w:t>
            </w:r>
          </w:p>
        </w:tc>
        <w:tc>
          <w:tcPr>
            <w:tcW w:w="1133" w:type="dxa"/>
            <w:tcBorders>
              <w:bottom w:val="single" w:sz="4" w:space="0" w:color="00000A"/>
              <w:right w:val="single" w:sz="4" w:space="0" w:color="00000A"/>
              <w:insideH w:val="single" w:sz="4" w:space="0" w:color="00000A"/>
              <w:insideV w:val="single" w:sz="4" w:space="0" w:color="00000A"/>
            </w:tcBorders>
            <w:shd w:color="000000" w:fill="808080" w:val="clear"/>
            <w:vAlign w:val="bottom"/>
          </w:tcPr>
          <w:p>
            <w:pPr>
              <w:pStyle w:val="Normal"/>
              <w:spacing w:lineRule="auto" w:line="240" w:before="0" w:after="0"/>
              <w:jc w:val="center"/>
              <w:rPr>
                <w:rFonts w:ascii="Arial" w:hAnsi="Arial" w:eastAsia="Times New Roman" w:cs="Arial"/>
                <w:b/>
                <w:b/>
                <w:bCs/>
                <w:sz w:val="24"/>
                <w:szCs w:val="24"/>
                <w:lang w:eastAsia="pt-BR"/>
              </w:rPr>
            </w:pPr>
            <w:r>
              <w:rPr>
                <w:rFonts w:eastAsia="Times New Roman" w:cs="Arial" w:ascii="Arial" w:hAnsi="Arial"/>
                <w:b/>
                <w:bCs/>
                <w:sz w:val="24"/>
                <w:szCs w:val="24"/>
                <w:lang w:eastAsia="pt-BR"/>
              </w:rPr>
            </w:r>
          </w:p>
        </w:tc>
        <w:tc>
          <w:tcPr>
            <w:tcW w:w="993" w:type="dxa"/>
            <w:tcBorders>
              <w:bottom w:val="single" w:sz="4" w:space="0" w:color="00000A"/>
              <w:right w:val="single" w:sz="4" w:space="0" w:color="00000A"/>
              <w:insideH w:val="single" w:sz="4" w:space="0" w:color="00000A"/>
              <w:insideV w:val="single" w:sz="4" w:space="0" w:color="00000A"/>
            </w:tcBorders>
            <w:shd w:color="000000" w:fill="808080" w:val="clear"/>
            <w:vAlign w:val="bottom"/>
          </w:tcPr>
          <w:p>
            <w:pPr>
              <w:pStyle w:val="Normal"/>
              <w:spacing w:lineRule="auto" w:line="240" w:before="0" w:after="0"/>
              <w:jc w:val="center"/>
              <w:rPr>
                <w:rFonts w:ascii="Arial" w:hAnsi="Arial" w:eastAsia="Times New Roman" w:cs="Arial"/>
                <w:b/>
                <w:b/>
                <w:bCs/>
                <w:sz w:val="24"/>
                <w:szCs w:val="24"/>
                <w:lang w:eastAsia="pt-BR"/>
              </w:rPr>
            </w:pPr>
            <w:r>
              <w:rPr>
                <w:rFonts w:eastAsia="Times New Roman" w:cs="Arial" w:ascii="Arial" w:hAnsi="Arial"/>
                <w:b/>
                <w:bCs/>
                <w:sz w:val="24"/>
                <w:szCs w:val="24"/>
                <w:lang w:eastAsia="pt-BR"/>
              </w:rPr>
            </w:r>
          </w:p>
        </w:tc>
        <w:tc>
          <w:tcPr>
            <w:tcW w:w="991" w:type="dxa"/>
            <w:tcBorders>
              <w:bottom w:val="single" w:sz="4" w:space="0" w:color="00000A"/>
              <w:right w:val="single" w:sz="4" w:space="0" w:color="00000A"/>
              <w:insideH w:val="single" w:sz="4" w:space="0" w:color="00000A"/>
              <w:insideV w:val="single" w:sz="4" w:space="0" w:color="00000A"/>
            </w:tcBorders>
            <w:shd w:color="000000" w:fill="808080" w:val="clear"/>
            <w:vAlign w:val="bottom"/>
          </w:tcPr>
          <w:p>
            <w:pPr>
              <w:pStyle w:val="Normal"/>
              <w:spacing w:lineRule="auto" w:line="240" w:before="0" w:after="0"/>
              <w:jc w:val="center"/>
              <w:rPr>
                <w:rFonts w:ascii="Arial" w:hAnsi="Arial" w:eastAsia="Times New Roman" w:cs="Arial"/>
                <w:b/>
                <w:b/>
                <w:bCs/>
                <w:sz w:val="24"/>
                <w:szCs w:val="24"/>
                <w:lang w:eastAsia="pt-BR"/>
              </w:rPr>
            </w:pPr>
            <w:r>
              <w:rPr>
                <w:rFonts w:eastAsia="Times New Roman" w:cs="Arial" w:ascii="Arial" w:hAnsi="Arial"/>
                <w:b/>
                <w:bCs/>
                <w:sz w:val="24"/>
                <w:szCs w:val="24"/>
                <w:lang w:eastAsia="pt-BR"/>
              </w:rPr>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rPr>
                <w:rFonts w:ascii="Arial" w:hAnsi="Arial" w:eastAsia="Times New Roman" w:cs="Arial"/>
                <w:lang w:eastAsia="pt-BR"/>
              </w:rPr>
            </w:pPr>
            <w:r>
              <w:rPr>
                <w:rFonts w:eastAsia="Times New Roman" w:cs="Arial" w:ascii="Arial" w:hAnsi="Arial"/>
                <w:lang w:eastAsia="pt-BR"/>
              </w:rPr>
              <w:t>Introdução aos Estudos Históricos</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rPr>
                <w:rFonts w:ascii="Arial" w:hAnsi="Arial" w:eastAsia="Times New Roman" w:cs="Arial"/>
                <w:lang w:eastAsia="pt-BR"/>
              </w:rPr>
            </w:pPr>
            <w:r>
              <w:rPr>
                <w:rFonts w:cs="Arial" w:ascii="Arial" w:hAnsi="Arial"/>
              </w:rPr>
              <w:t>Política, Cidadania e Direitos Humanos no Brasil</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rPr>
                <w:rFonts w:ascii="Arial" w:hAnsi="Arial" w:eastAsia="Times New Roman" w:cs="Arial"/>
                <w:lang w:eastAsia="pt-BR"/>
              </w:rPr>
            </w:pPr>
            <w:r>
              <w:rPr>
                <w:rFonts w:eastAsia="Times New Roman" w:cs="Arial" w:ascii="Arial" w:hAnsi="Arial"/>
                <w:lang w:eastAsia="pt-BR"/>
              </w:rPr>
              <w:t>Língua Brasileira de Sinais</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rPr>
                <w:rFonts w:ascii="Arial" w:hAnsi="Arial" w:eastAsia="Times New Roman" w:cs="Arial"/>
                <w:lang w:eastAsia="pt-BR"/>
              </w:rPr>
            </w:pPr>
            <w:r>
              <w:rPr>
                <w:rFonts w:eastAsia="Times New Roman" w:cs="Arial" w:ascii="Arial" w:hAnsi="Arial"/>
                <w:lang w:eastAsia="pt-BR"/>
              </w:rPr>
              <w:t>1º UC Eletiva – Grupo A</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rPr>
                <w:rFonts w:ascii="Arial" w:hAnsi="Arial" w:eastAsia="Times New Roman" w:cs="Arial"/>
                <w:lang w:eastAsia="pt-BR"/>
              </w:rPr>
            </w:pPr>
            <w:r>
              <w:rPr>
                <w:rFonts w:eastAsia="Times New Roman" w:cs="Arial" w:ascii="Arial" w:hAnsi="Arial"/>
                <w:lang w:eastAsia="pt-BR"/>
              </w:rPr>
              <w:t>4º UC Eletiva – Grupo A</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rPr>
                <w:rFonts w:ascii="Arial" w:hAnsi="Arial" w:eastAsia="Times New Roman" w:cs="Arial"/>
                <w:lang w:eastAsia="pt-BR"/>
              </w:rPr>
            </w:pPr>
            <w:r>
              <w:rPr>
                <w:rFonts w:eastAsia="Times New Roman" w:cs="Arial" w:ascii="Arial" w:hAnsi="Arial"/>
                <w:lang w:eastAsia="pt-BR"/>
              </w:rPr>
              <w:t>5º UC Eletiva – Grupo A</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rPr>
                <w:rFonts w:ascii="Arial" w:hAnsi="Arial" w:eastAsia="Times New Roman" w:cs="Arial"/>
                <w:lang w:eastAsia="pt-BR"/>
              </w:rPr>
            </w:pPr>
            <w:r>
              <w:rPr>
                <w:rFonts w:eastAsia="Times New Roman" w:cs="Arial" w:ascii="Arial" w:hAnsi="Arial"/>
                <w:lang w:eastAsia="pt-BR"/>
              </w:rPr>
              <w:t>6º UC Eletiva – Grupo A</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rPr>
                <w:rFonts w:ascii="Arial" w:hAnsi="Arial" w:eastAsia="Times New Roman" w:cs="Arial"/>
                <w:lang w:eastAsia="pt-BR"/>
              </w:rPr>
            </w:pPr>
            <w:r>
              <w:rPr>
                <w:rFonts w:eastAsia="Times New Roman" w:cs="Arial" w:ascii="Arial" w:hAnsi="Arial"/>
                <w:lang w:eastAsia="pt-BR"/>
              </w:rPr>
              <w:t>7º UC Eletiva – Grupo B</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rPr>
                <w:rFonts w:ascii="Arial" w:hAnsi="Arial" w:eastAsia="Times New Roman" w:cs="Arial"/>
                <w:lang w:eastAsia="pt-BR"/>
              </w:rPr>
            </w:pPr>
            <w:r>
              <w:rPr>
                <w:rFonts w:eastAsia="Times New Roman" w:cs="Arial" w:ascii="Arial" w:hAnsi="Arial"/>
                <w:lang w:eastAsia="pt-BR"/>
              </w:rPr>
              <w:t>8º UC Eletiva – Grupo B</w:t>
            </w:r>
          </w:p>
        </w:tc>
        <w:tc>
          <w:tcPr>
            <w:tcW w:w="113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993"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1"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r>
      <w:tr>
        <w:trPr>
          <w:trHeight w:val="227" w:hRule="atLeast"/>
        </w:trPr>
        <w:tc>
          <w:tcPr>
            <w:tcW w:w="5387" w:type="dxa"/>
            <w:tcBorders>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vAlign w:val="bottom"/>
          </w:tcPr>
          <w:p>
            <w:pPr>
              <w:pStyle w:val="Normal"/>
              <w:spacing w:lineRule="auto" w:line="240" w:before="0" w:after="0"/>
              <w:jc w:val="right"/>
              <w:rPr>
                <w:rFonts w:ascii="Arial" w:hAnsi="Arial" w:eastAsia="Times New Roman" w:cs="Arial"/>
                <w:b/>
                <w:b/>
                <w:bCs/>
                <w:lang w:eastAsia="pt-BR"/>
              </w:rPr>
            </w:pPr>
            <w:r>
              <w:rPr>
                <w:rFonts w:eastAsia="Times New Roman" w:cs="Arial" w:ascii="Arial" w:hAnsi="Arial"/>
                <w:b/>
                <w:bCs/>
                <w:lang w:eastAsia="pt-BR"/>
              </w:rPr>
              <w:t>Total</w:t>
            </w:r>
          </w:p>
        </w:tc>
        <w:tc>
          <w:tcPr>
            <w:tcW w:w="1133" w:type="dxa"/>
            <w:tcBorders>
              <w:bottom w:val="single" w:sz="4" w:space="0" w:color="00000A"/>
              <w:right w:val="single" w:sz="4" w:space="0" w:color="00000A"/>
              <w:insideH w:val="single" w:sz="4" w:space="0" w:color="00000A"/>
              <w:insideV w:val="single" w:sz="4" w:space="0" w:color="00000A"/>
            </w:tcBorders>
            <w:shd w:color="auto" w:fill="D9D9D9" w:themeFill="background1" w:themeFillShade="d9" w:val="cle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615</w:t>
            </w:r>
          </w:p>
        </w:tc>
        <w:tc>
          <w:tcPr>
            <w:tcW w:w="993" w:type="dxa"/>
            <w:tcBorders>
              <w:bottom w:val="single" w:sz="4" w:space="0" w:color="00000A"/>
              <w:right w:val="single" w:sz="4" w:space="0" w:color="00000A"/>
              <w:insideH w:val="single" w:sz="4" w:space="0" w:color="00000A"/>
              <w:insideV w:val="single" w:sz="4" w:space="0" w:color="00000A"/>
            </w:tcBorders>
            <w:shd w:color="auto" w:fill="D9D9D9" w:themeFill="background1" w:themeFillShade="d9" w:val="cle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0</w:t>
            </w:r>
          </w:p>
        </w:tc>
        <w:tc>
          <w:tcPr>
            <w:tcW w:w="991" w:type="dxa"/>
            <w:tcBorders>
              <w:bottom w:val="single" w:sz="4" w:space="0" w:color="00000A"/>
              <w:right w:val="single" w:sz="4" w:space="0" w:color="00000A"/>
              <w:insideH w:val="single" w:sz="4" w:space="0" w:color="00000A"/>
              <w:insideV w:val="single" w:sz="4" w:space="0" w:color="00000A"/>
            </w:tcBorders>
            <w:shd w:color="auto" w:fill="D9D9D9" w:themeFill="background1" w:themeFillShade="d9" w:val="cle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615</w:t>
            </w:r>
          </w:p>
        </w:tc>
      </w:tr>
    </w:tbl>
    <w:p>
      <w:pPr>
        <w:pStyle w:val="Texto"/>
        <w:tabs>
          <w:tab w:val="left" w:pos="567" w:leader="none"/>
        </w:tabs>
        <w:spacing w:before="0" w:after="200"/>
        <w:ind w:firstLine="567"/>
        <w:rPr>
          <w:rFonts w:eastAsia="Times New Roman"/>
          <w:strike/>
          <w:lang w:eastAsia="ar-SA"/>
        </w:rPr>
      </w:pPr>
      <w:r>
        <w:rPr>
          <w:rFonts w:eastAsia="Times New Roman"/>
          <w:strike/>
          <w:lang w:eastAsia="ar-SA"/>
        </w:rPr>
      </w:r>
    </w:p>
    <w:p>
      <w:pPr>
        <w:pStyle w:val="Texto"/>
        <w:tabs>
          <w:tab w:val="left" w:pos="567" w:leader="none"/>
        </w:tabs>
        <w:spacing w:before="0" w:after="200"/>
        <w:ind w:firstLine="567"/>
        <w:jc w:val="center"/>
        <w:rPr>
          <w:rFonts w:eastAsia="Times New Roman"/>
          <w:b/>
          <w:b/>
          <w:sz w:val="22"/>
          <w:lang w:eastAsia="ar-SA"/>
        </w:rPr>
      </w:pPr>
      <w:r>
        <w:rPr>
          <w:rFonts w:eastAsia="Times New Roman"/>
          <w:b/>
          <w:sz w:val="22"/>
          <w:lang w:eastAsia="ar-SA"/>
        </w:rPr>
        <w:t>Tabela 02: Unidades Curriculares Obrigatórias</w:t>
      </w:r>
    </w:p>
    <w:tbl>
      <w:tblPr>
        <w:tblW w:w="8505"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5" w:type="dxa"/>
          <w:bottom w:w="0" w:type="dxa"/>
          <w:right w:w="70" w:type="dxa"/>
        </w:tblCellMar>
        <w:tblLook w:firstRow="1" w:noVBand="1" w:lastRow="0" w:firstColumn="1" w:lastColumn="0" w:noHBand="0" w:val="04a0"/>
      </w:tblPr>
      <w:tblGrid>
        <w:gridCol w:w="5239"/>
        <w:gridCol w:w="605"/>
        <w:gridCol w:w="923"/>
        <w:gridCol w:w="850"/>
        <w:gridCol w:w="888"/>
      </w:tblGrid>
      <w:tr>
        <w:trPr>
          <w:trHeight w:val="424" w:hRule="atLeast"/>
        </w:trPr>
        <w:tc>
          <w:tcPr>
            <w:tcW w:w="52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Unidades Curriculares</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Eixo</w:t>
            </w:r>
          </w:p>
        </w:tc>
        <w:tc>
          <w:tcPr>
            <w:tcW w:w="9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CH</w:t>
            </w:r>
          </w:p>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Teórica</w:t>
            </w:r>
          </w:p>
        </w:tc>
        <w:tc>
          <w:tcPr>
            <w:tcW w:w="850"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CH</w:t>
            </w:r>
          </w:p>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PCC’s</w:t>
            </w:r>
          </w:p>
        </w:tc>
        <w:tc>
          <w:tcPr>
            <w:tcW w:w="888"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CH</w:t>
            </w:r>
          </w:p>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Total</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Cs/>
                <w:lang w:eastAsia="pt-BR"/>
              </w:rPr>
            </w:pPr>
            <w:r>
              <w:rPr>
                <w:rFonts w:eastAsia="Times New Roman" w:cs="Arial" w:ascii="Arial" w:hAnsi="Arial"/>
                <w:bCs/>
                <w:lang w:eastAsia="pt-BR"/>
              </w:rPr>
              <w:t>Didática</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1</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60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15 h/a</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75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Cs/>
                <w:lang w:eastAsia="pt-BR"/>
              </w:rPr>
            </w:pPr>
            <w:r>
              <w:rPr>
                <w:rFonts w:eastAsia="Times New Roman" w:cs="Arial" w:ascii="Arial" w:hAnsi="Arial"/>
                <w:bCs/>
                <w:lang w:eastAsia="pt-BR"/>
              </w:rPr>
              <w:t>Educação e Diversidade</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Cs/>
                <w:lang w:eastAsia="pt-BR"/>
              </w:rPr>
            </w:pPr>
            <w:r>
              <w:rPr>
                <w:rFonts w:eastAsia="Times New Roman" w:cs="Arial" w:ascii="Arial" w:hAnsi="Arial"/>
                <w:lang w:eastAsia="pt-BR"/>
              </w:rPr>
              <w:t>Filosofia da Educação</w:t>
            </w:r>
            <w:r>
              <w:rPr>
                <w:rStyle w:val="Ncoradanotaderodap"/>
                <w:rFonts w:eastAsia="Times New Roman" w:cs="Arial" w:ascii="Arial" w:hAnsi="Arial"/>
                <w:lang w:eastAsia="pt-BR"/>
              </w:rPr>
              <w:footnoteReference w:customMarkFollows="1" w:id="4"/>
              <w:t>*</w:t>
            </w:r>
            <w:r>
              <w:rPr>
                <w:rFonts w:eastAsia="Times New Roman" w:cs="Arial" w:ascii="Arial" w:hAnsi="Arial"/>
                <w:lang w:eastAsia="pt-BR"/>
              </w:rPr>
              <w:t xml:space="preserve"> </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45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t>Gestão de Sistema Escolar</w:t>
            </w:r>
            <w:r>
              <w:rPr>
                <w:rFonts w:eastAsia="Times New Roman" w:cs="Arial" w:ascii="Arial" w:hAnsi="Arial"/>
                <w:sz w:val="18"/>
                <w:szCs w:val="18"/>
                <w:lang w:eastAsia="pt-BR"/>
              </w:rPr>
              <w:t>*</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45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História Antiga</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História da África</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t>História da Educação</w:t>
            </w:r>
            <w:r>
              <w:rPr>
                <w:rFonts w:eastAsia="Times New Roman" w:cs="Arial" w:ascii="Arial" w:hAnsi="Arial"/>
                <w:sz w:val="16"/>
                <w:szCs w:val="16"/>
                <w:lang w:eastAsia="pt-BR"/>
              </w:rPr>
              <w:t>*</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45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t>História Contemporânea no século XIX</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História Contemporânea nos séculos XX e XXI</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História da América Colonial</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t>História da América Contemporânea</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História da América Independente</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t>História da América Portuguesa</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rPr>
                <w:rFonts w:ascii="Arial" w:hAnsi="Arial" w:eastAsia="Times New Roman" w:cs="Arial"/>
                <w:lang w:eastAsia="pt-BR"/>
              </w:rPr>
            </w:pPr>
            <w:r>
              <w:rPr>
                <w:rFonts w:eastAsia="Times New Roman" w:cs="Arial" w:ascii="Arial" w:hAnsi="Arial"/>
                <w:lang w:eastAsia="pt-BR"/>
              </w:rPr>
              <w:t>História de Minas Gerais</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rPr>
                <w:rFonts w:ascii="Arial" w:hAnsi="Arial" w:eastAsia="Times New Roman" w:cs="Arial"/>
                <w:b/>
                <w:b/>
                <w:bCs/>
                <w:lang w:eastAsia="pt-BR"/>
              </w:rPr>
            </w:pPr>
            <w:r>
              <w:rPr>
                <w:rFonts w:eastAsia="Times New Roman" w:cs="Arial" w:ascii="Arial" w:hAnsi="Arial"/>
                <w:lang w:eastAsia="pt-BR"/>
              </w:rPr>
              <w:t>História do Brasil Contemporâneo</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História do Brasil Monárquico</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História do Brasil Republicano</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História Indígena nas Américas</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t>História Medieval</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História Moderna</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Cs/>
                <w:lang w:eastAsia="pt-BR"/>
              </w:rPr>
            </w:pPr>
            <w:r>
              <w:rPr>
                <w:rFonts w:eastAsia="Times New Roman" w:cs="Arial" w:ascii="Arial" w:hAnsi="Arial"/>
                <w:lang w:eastAsia="pt-BR"/>
              </w:rPr>
              <w:t>História, Meio Ambiente e Educação Ambiental</w:t>
            </w:r>
            <w:r>
              <w:rPr>
                <w:rFonts w:eastAsia="Times New Roman" w:cs="Arial" w:ascii="Arial" w:hAnsi="Arial"/>
                <w:sz w:val="16"/>
                <w:szCs w:val="16"/>
                <w:lang w:eastAsia="pt-BR"/>
              </w:rPr>
              <w:t>*</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45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Historiografia Contemporânea</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rPr>
                <w:rFonts w:ascii="Arial" w:hAnsi="Arial" w:eastAsia="Times New Roman" w:cs="Arial"/>
                <w:lang w:eastAsia="pt-BR"/>
              </w:rPr>
            </w:pPr>
            <w:r>
              <w:rPr>
                <w:rFonts w:eastAsia="Times New Roman" w:cs="Arial" w:ascii="Arial" w:hAnsi="Arial"/>
                <w:lang w:eastAsia="pt-BR"/>
              </w:rPr>
              <w:t>Introdução aos Estudos Históricos</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Cs/>
                <w:lang w:eastAsia="pt-BR"/>
              </w:rPr>
            </w:pPr>
            <w:r>
              <w:rPr>
                <w:rFonts w:eastAsia="Times New Roman" w:cs="Arial" w:ascii="Arial" w:hAnsi="Arial"/>
                <w:bCs/>
                <w:lang w:eastAsia="pt-BR"/>
              </w:rPr>
              <w:t>LEH</w:t>
            </w:r>
            <w:r>
              <w:rPr>
                <w:rStyle w:val="Ncoradanotaderodap"/>
                <w:rFonts w:eastAsia="Times New Roman" w:cs="Arial" w:ascii="Arial" w:hAnsi="Arial"/>
                <w:bCs/>
                <w:lang w:eastAsia="pt-BR"/>
              </w:rPr>
              <w:footnoteReference w:id="5"/>
            </w:r>
            <w:r>
              <w:rPr>
                <w:rFonts w:eastAsia="Times New Roman" w:cs="Arial" w:ascii="Arial" w:hAnsi="Arial"/>
                <w:lang w:eastAsia="pt-BR"/>
              </w:rPr>
              <w:t>: Memória, Patrimônio e Educação Histórica</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1</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15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60 h/a</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75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t xml:space="preserve">LEH: </w:t>
            </w:r>
            <w:r>
              <w:rPr>
                <w:rFonts w:eastAsia="Times New Roman" w:cs="Arial" w:ascii="Arial" w:hAnsi="Arial"/>
                <w:sz w:val="21"/>
                <w:szCs w:val="21"/>
                <w:lang w:eastAsia="pt-BR"/>
              </w:rPr>
              <w:t>Metodologias e tecnologias do ensino de História</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1</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15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60 h/a</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75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Cs/>
                <w:lang w:eastAsia="pt-BR"/>
              </w:rPr>
            </w:pPr>
            <w:r>
              <w:rPr>
                <w:rFonts w:eastAsia="Times New Roman" w:cs="Arial" w:ascii="Arial" w:hAnsi="Arial"/>
                <w:lang w:eastAsia="pt-BR"/>
              </w:rPr>
              <w:t>LEH: Produção de Material Didático</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1</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15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60 h/a</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Cs/>
                <w:lang w:eastAsia="pt-BR"/>
              </w:rPr>
            </w:pPr>
            <w:r>
              <w:rPr>
                <w:rFonts w:eastAsia="Times New Roman" w:cs="Arial" w:ascii="Arial" w:hAnsi="Arial"/>
                <w:bCs/>
                <w:lang w:eastAsia="pt-BR"/>
              </w:rPr>
              <w:t>75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Língua Brasileira de Sinais*</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rPr>
                <w:rFonts w:ascii="Arial" w:hAnsi="Arial" w:eastAsia="Times New Roman" w:cs="Arial"/>
                <w:b/>
                <w:b/>
                <w:bCs/>
                <w:lang w:eastAsia="pt-BR"/>
              </w:rPr>
            </w:pPr>
            <w:r>
              <w:rPr>
                <w:rFonts w:eastAsia="Times New Roman" w:cs="Arial" w:ascii="Arial" w:hAnsi="Arial"/>
                <w:lang w:eastAsia="pt-BR"/>
              </w:rPr>
              <w:t>Metodologia da pesquisa em História</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lang w:eastAsia="pt-BR"/>
              </w:rPr>
            </w:pPr>
            <w:r>
              <w:rPr>
                <w:rFonts w:cs="Arial" w:ascii="Arial" w:hAnsi="Arial"/>
              </w:rPr>
              <w:t>Política, Cidadania e Direitos Humanos no Brasil</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t>Políticas Educacionais</w:t>
            </w:r>
            <w:r>
              <w:rPr>
                <w:rFonts w:eastAsia="Times New Roman" w:cs="Arial" w:ascii="Arial" w:hAnsi="Arial"/>
                <w:sz w:val="16"/>
                <w:szCs w:val="16"/>
                <w:lang w:eastAsia="pt-BR"/>
              </w:rPr>
              <w:t>*</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Cs/>
                <w:lang w:eastAsia="pt-BR"/>
              </w:rPr>
            </w:pPr>
            <w:r>
              <w:rPr>
                <w:rFonts w:eastAsia="Times New Roman" w:cs="Arial" w:ascii="Arial" w:hAnsi="Arial"/>
                <w:lang w:eastAsia="pt-BR"/>
              </w:rPr>
              <w:t>Psicologia da Educação</w:t>
            </w:r>
            <w:r>
              <w:rPr>
                <w:rFonts w:eastAsia="Times New Roman" w:cs="Arial" w:ascii="Arial" w:hAnsi="Arial"/>
                <w:sz w:val="16"/>
                <w:szCs w:val="16"/>
                <w:lang w:eastAsia="pt-BR"/>
              </w:rPr>
              <w:t>*</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15</w:t>
            </w:r>
            <w:r>
              <w:rPr>
                <w:rFonts w:eastAsia="Times New Roman" w:cs="Arial" w:ascii="Arial" w:hAnsi="Arial"/>
                <w:bCs/>
                <w:lang w:eastAsia="pt-BR"/>
              </w:rPr>
              <w:t xml:space="preserve"> h/a</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Cs/>
                <w:lang w:eastAsia="pt-BR"/>
              </w:rPr>
            </w:pPr>
            <w:r>
              <w:rPr>
                <w:rFonts w:eastAsia="Times New Roman" w:cs="Arial" w:ascii="Arial" w:hAnsi="Arial"/>
                <w:lang w:eastAsia="pt-BR"/>
              </w:rPr>
              <w:t>Sociologia da Educação</w:t>
            </w:r>
            <w:r>
              <w:rPr>
                <w:rFonts w:eastAsia="Times New Roman" w:cs="Arial" w:ascii="Arial" w:hAnsi="Arial"/>
                <w:sz w:val="16"/>
                <w:szCs w:val="16"/>
                <w:lang w:eastAsia="pt-BR"/>
              </w:rPr>
              <w:t>*</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30</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eastAsia="Times New Roman" w:cs="Arial" w:ascii="Arial" w:hAnsi="Arial"/>
                <w:lang w:eastAsia="pt-BR"/>
              </w:rPr>
              <w:t>Teoria da História</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rPr>
                <w:rFonts w:ascii="Arial" w:hAnsi="Arial" w:eastAsia="Times New Roman" w:cs="Arial"/>
                <w:lang w:eastAsia="pt-BR"/>
              </w:rPr>
            </w:pPr>
            <w:r>
              <w:rPr>
                <w:rFonts w:eastAsia="Times New Roman" w:cs="Arial" w:ascii="Arial" w:hAnsi="Arial"/>
                <w:lang w:eastAsia="pt-BR"/>
              </w:rPr>
              <w:t>Trabalho de Conclusão de Curso</w:t>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c>
          <w:tcPr>
            <w:tcW w:w="85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8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eastAsia="Times New Roman" w:cs="Arial" w:ascii="Arial" w:hAnsi="Arial"/>
                <w:bCs/>
                <w:lang w:eastAsia="pt-BR"/>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vAlign w:val="center"/>
          </w:tcPr>
          <w:p>
            <w:pPr>
              <w:pStyle w:val="Normal"/>
              <w:spacing w:lineRule="auto" w:line="240" w:before="0" w:after="0"/>
              <w:rPr>
                <w:rFonts w:ascii="Arial" w:hAnsi="Arial" w:eastAsia="Times New Roman" w:cs="Arial"/>
                <w:b/>
                <w:b/>
                <w:lang w:eastAsia="pt-BR"/>
              </w:rPr>
            </w:pPr>
            <w:r>
              <w:rPr>
                <w:rFonts w:eastAsia="Times New Roman" w:cs="Arial" w:ascii="Arial" w:hAnsi="Arial"/>
                <w:b/>
                <w:lang w:eastAsia="pt-BR"/>
              </w:rPr>
            </w:r>
          </w:p>
        </w:tc>
        <w:tc>
          <w:tcPr>
            <w:tcW w:w="605" w:type="dxa"/>
            <w:tcBorders>
              <w:top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Pr>
          <w:p>
            <w:pPr>
              <w:pStyle w:val="Normal"/>
              <w:spacing w:lineRule="auto" w:line="240" w:before="0" w:after="0"/>
              <w:jc w:val="center"/>
              <w:rPr>
                <w:rFonts w:ascii="Arial" w:hAnsi="Arial" w:eastAsia="Times New Roman" w:cs="Arial"/>
                <w:b/>
                <w:b/>
                <w:lang w:eastAsia="pt-BR"/>
              </w:rPr>
            </w:pPr>
            <w:r>
              <w:rPr>
                <w:rFonts w:eastAsia="Times New Roman" w:cs="Arial" w:ascii="Arial" w:hAnsi="Arial"/>
                <w:b/>
                <w:lang w:eastAsia="pt-BR"/>
              </w:rPr>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vAlign w:val="bottom"/>
          </w:tcPr>
          <w:p>
            <w:pPr>
              <w:pStyle w:val="Normal"/>
              <w:spacing w:lineRule="auto" w:line="240" w:before="0" w:after="0"/>
              <w:jc w:val="center"/>
              <w:rPr>
                <w:rFonts w:ascii="Arial" w:hAnsi="Arial" w:eastAsia="Times New Roman" w:cs="Arial"/>
                <w:b/>
                <w:b/>
                <w:lang w:eastAsia="pt-BR"/>
              </w:rPr>
            </w:pPr>
            <w:r>
              <w:rPr>
                <w:rFonts w:eastAsia="Times New Roman" w:cs="Arial" w:ascii="Arial" w:hAnsi="Arial"/>
                <w:b/>
                <w:lang w:eastAsia="pt-BR"/>
              </w:rPr>
              <w:t>1785</w:t>
            </w:r>
          </w:p>
        </w:tc>
        <w:tc>
          <w:tcPr>
            <w:tcW w:w="850" w:type="dxa"/>
            <w:tcBorders>
              <w:bottom w:val="single" w:sz="4" w:space="0" w:color="00000A"/>
              <w:right w:val="single" w:sz="4" w:space="0" w:color="00000A"/>
              <w:insideH w:val="single" w:sz="4" w:space="0" w:color="00000A"/>
              <w:insideV w:val="single" w:sz="4" w:space="0" w:color="00000A"/>
            </w:tcBorders>
            <w:shd w:color="auto" w:fill="D9D9D9" w:themeFill="background1" w:themeFillShade="d9" w:val="clear"/>
            <w:vAlign w:val="bottom"/>
          </w:tcPr>
          <w:p>
            <w:pPr>
              <w:pStyle w:val="Normal"/>
              <w:spacing w:lineRule="auto" w:line="240" w:before="0" w:after="0"/>
              <w:jc w:val="center"/>
              <w:rPr>
                <w:rFonts w:ascii="Arial" w:hAnsi="Arial" w:eastAsia="Times New Roman" w:cs="Arial"/>
                <w:b/>
                <w:b/>
                <w:lang w:eastAsia="pt-BR"/>
              </w:rPr>
            </w:pPr>
            <w:r>
              <w:rPr>
                <w:rFonts w:eastAsia="Times New Roman" w:cs="Arial" w:ascii="Arial" w:hAnsi="Arial"/>
                <w:b/>
                <w:lang w:eastAsia="pt-BR"/>
              </w:rPr>
              <w:t>420</w:t>
            </w:r>
          </w:p>
        </w:tc>
        <w:tc>
          <w:tcPr>
            <w:tcW w:w="888" w:type="dxa"/>
            <w:tcBorders>
              <w:bottom w:val="single" w:sz="4" w:space="0" w:color="00000A"/>
              <w:right w:val="single" w:sz="4" w:space="0" w:color="00000A"/>
              <w:insideH w:val="single" w:sz="4" w:space="0" w:color="00000A"/>
              <w:insideV w:val="single" w:sz="4" w:space="0" w:color="00000A"/>
            </w:tcBorders>
            <w:shd w:color="auto" w:fill="D9D9D9" w:themeFill="background1" w:themeFillShade="d9" w:val="clear"/>
            <w:vAlign w:val="bottom"/>
          </w:tcPr>
          <w:p>
            <w:pPr>
              <w:pStyle w:val="Normal"/>
              <w:spacing w:lineRule="auto" w:line="240" w:before="0" w:after="0"/>
              <w:jc w:val="center"/>
              <w:rPr>
                <w:rFonts w:ascii="Arial" w:hAnsi="Arial" w:eastAsia="Times New Roman" w:cs="Arial"/>
                <w:b/>
                <w:b/>
                <w:lang w:eastAsia="pt-BR"/>
              </w:rPr>
            </w:pPr>
            <w:r>
              <w:rPr>
                <w:rFonts w:eastAsia="Times New Roman" w:cs="Arial" w:ascii="Arial" w:hAnsi="Arial"/>
                <w:b/>
                <w:lang w:eastAsia="pt-BR"/>
              </w:rPr>
              <w:t>2205</w:t>
            </w:r>
          </w:p>
        </w:tc>
      </w:tr>
    </w:tbl>
    <w:p>
      <w:pPr>
        <w:pStyle w:val="Texto"/>
        <w:tabs>
          <w:tab w:val="left" w:pos="567" w:leader="none"/>
        </w:tabs>
        <w:spacing w:before="0" w:after="200"/>
        <w:ind w:firstLine="567"/>
        <w:jc w:val="center"/>
        <w:rPr>
          <w:rFonts w:eastAsia="Times New Roman"/>
          <w:b/>
          <w:b/>
          <w:lang w:eastAsia="ar-SA"/>
        </w:rPr>
      </w:pPr>
      <w:r>
        <w:rPr>
          <w:rFonts w:eastAsia="Times New Roman"/>
          <w:b/>
          <w:lang w:eastAsia="ar-SA"/>
        </w:rPr>
      </w:r>
    </w:p>
    <w:p>
      <w:pPr>
        <w:pStyle w:val="Texto"/>
        <w:tabs>
          <w:tab w:val="left" w:pos="567" w:leader="none"/>
        </w:tabs>
        <w:spacing w:before="0" w:after="200"/>
        <w:ind w:firstLine="567"/>
        <w:jc w:val="center"/>
        <w:rPr>
          <w:rFonts w:eastAsia="Times New Roman"/>
          <w:b/>
          <w:b/>
          <w:sz w:val="22"/>
          <w:lang w:eastAsia="ar-SA"/>
        </w:rPr>
      </w:pPr>
      <w:r>
        <w:rPr>
          <w:rFonts w:eastAsia="Times New Roman"/>
          <w:b/>
          <w:sz w:val="22"/>
          <w:lang w:eastAsia="ar-SA"/>
        </w:rPr>
        <w:t xml:space="preserve">Tabela 03: Unidades Curriculares Eletivas </w:t>
      </w:r>
    </w:p>
    <w:tbl>
      <w:tblPr>
        <w:tblW w:w="8548"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5" w:type="dxa"/>
          <w:bottom w:w="0" w:type="dxa"/>
          <w:right w:w="70" w:type="dxa"/>
        </w:tblCellMar>
        <w:tblLook w:firstRow="1" w:noVBand="1" w:lastRow="0" w:firstColumn="1" w:lastColumn="0" w:noHBand="0" w:val="04a0"/>
      </w:tblPr>
      <w:tblGrid>
        <w:gridCol w:w="5239"/>
        <w:gridCol w:w="606"/>
        <w:gridCol w:w="923"/>
        <w:gridCol w:w="788"/>
        <w:gridCol w:w="992"/>
      </w:tblGrid>
      <w:tr>
        <w:trPr>
          <w:trHeight w:val="424" w:hRule="atLeast"/>
        </w:trPr>
        <w:tc>
          <w:tcPr>
            <w:tcW w:w="52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Unidades Curriculares</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Eixo</w:t>
            </w:r>
          </w:p>
        </w:tc>
        <w:tc>
          <w:tcPr>
            <w:tcW w:w="9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CH</w:t>
            </w:r>
          </w:p>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Teórica</w:t>
            </w:r>
          </w:p>
        </w:tc>
        <w:tc>
          <w:tcPr>
            <w:tcW w:w="788"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CH</w:t>
            </w:r>
          </w:p>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PCC’s</w:t>
            </w:r>
          </w:p>
        </w:tc>
        <w:tc>
          <w:tcPr>
            <w:tcW w:w="992"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CH</w:t>
            </w:r>
          </w:p>
          <w:p>
            <w:pPr>
              <w:pStyle w:val="Normal"/>
              <w:spacing w:lineRule="auto" w:line="240" w:before="0" w:after="0"/>
              <w:jc w:val="center"/>
              <w:rPr>
                <w:rFonts w:ascii="Arial" w:hAnsi="Arial" w:eastAsia="Times New Roman" w:cs="Arial"/>
                <w:b/>
                <w:b/>
                <w:bCs/>
                <w:lang w:eastAsia="pt-BR"/>
              </w:rPr>
            </w:pPr>
            <w:r>
              <w:rPr>
                <w:rFonts w:eastAsia="Times New Roman" w:cs="Arial" w:ascii="Arial" w:hAnsi="Arial"/>
                <w:b/>
                <w:bCs/>
                <w:lang w:eastAsia="pt-BR"/>
              </w:rPr>
              <w:t>Total</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center"/>
              <w:rPr>
                <w:rFonts w:ascii="Arial" w:hAnsi="Arial" w:cs="Arial"/>
                <w:b/>
                <w:b/>
              </w:rPr>
            </w:pPr>
            <w:r>
              <w:rPr>
                <w:rFonts w:cs="Arial" w:ascii="Arial" w:hAnsi="Arial"/>
                <w:b/>
              </w:rPr>
              <w:t>GRUPO A</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rPr>
            </w:pPr>
            <w:r>
              <w:rPr>
                <w:rFonts w:cs="Arial" w:ascii="Arial" w:hAnsi="Arial"/>
              </w:rPr>
              <w:t>Direitos Humanos e Cidadania</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Cs/>
                <w:lang w:eastAsia="pt-BR"/>
              </w:rPr>
            </w:pPr>
            <w:r>
              <w:rPr>
                <w:rFonts w:cs="Arial" w:ascii="Arial" w:hAnsi="Arial"/>
              </w:rPr>
              <w:t>Formadores do Brasil</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Cs/>
                <w:lang w:eastAsia="pt-BR"/>
              </w:rPr>
            </w:pPr>
            <w:r>
              <w:rPr>
                <w:rFonts w:cs="Arial" w:ascii="Arial" w:hAnsi="Arial"/>
              </w:rPr>
              <w:t>História, Arte e Cultura</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rPr>
            </w:pPr>
            <w:r>
              <w:rPr>
                <w:rFonts w:cs="Arial" w:ascii="Arial" w:hAnsi="Arial"/>
              </w:rPr>
              <w:t>História, Memória e Patrimônio</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b/>
                <w:b/>
                <w:bCs/>
                <w:lang w:eastAsia="pt-BR"/>
              </w:rPr>
            </w:pPr>
            <w:r>
              <w:rPr>
                <w:rFonts w:cs="Arial" w:ascii="Arial" w:hAnsi="Arial"/>
              </w:rPr>
              <w:t>Política e o Estado Brasileiro</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rPr>
            </w:pPr>
            <w:r>
              <w:rPr>
                <w:rFonts w:cs="Arial" w:ascii="Arial" w:hAnsi="Arial"/>
              </w:rPr>
              <w:t>Sociedade e Economia</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rPr>
            </w:pPr>
            <w:r>
              <w:rPr>
                <w:rFonts w:cs="Arial" w:ascii="Arial" w:hAnsi="Arial"/>
                <w:lang w:eastAsia="pt-BR"/>
              </w:rPr>
              <w:t>Tópicos de História da Arte</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eastAsia="Times New Roman" w:cs="Arial"/>
                <w:lang w:eastAsia="pt-BR"/>
              </w:rPr>
            </w:pPr>
            <w:r>
              <w:rPr>
                <w:rFonts w:cs="Arial" w:ascii="Arial" w:hAnsi="Arial"/>
                <w:lang w:eastAsia="pt-BR"/>
              </w:rPr>
              <w:t>Tópicos de História Econômica</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lang w:eastAsia="pt-BR"/>
              </w:rPr>
            </w:pPr>
            <w:r>
              <w:rPr>
                <w:rFonts w:cs="Arial" w:ascii="Arial" w:hAnsi="Arial"/>
                <w:lang w:eastAsia="pt-BR"/>
              </w:rPr>
              <w:t>Tópicos de História Política</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bCs/>
              </w:rPr>
            </w:pPr>
            <w:r>
              <w:rPr>
                <w:rFonts w:cs="Arial" w:ascii="Arial" w:hAnsi="Arial"/>
                <w:lang w:eastAsia="pt-BR"/>
              </w:rPr>
              <w:t>Tópicos em Educação Histórica</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bCs/>
              </w:rPr>
            </w:pPr>
            <w:r>
              <w:rPr>
                <w:rFonts w:cs="Arial" w:ascii="Arial" w:hAnsi="Arial"/>
                <w:lang w:eastAsia="pt-BR"/>
              </w:rPr>
              <w:t>Tópicos em Ensino de História</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bCs/>
              </w:rPr>
            </w:pPr>
            <w:r>
              <w:rPr>
                <w:rFonts w:cs="Arial" w:ascii="Arial" w:hAnsi="Arial"/>
                <w:lang w:eastAsia="pt-BR"/>
              </w:rPr>
              <w:t>Tópicos em História da África</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lang w:eastAsia="pt-BR"/>
              </w:rPr>
            </w:pPr>
            <w:r>
              <w:rPr>
                <w:rFonts w:cs="Arial" w:ascii="Arial" w:hAnsi="Arial"/>
                <w:lang w:eastAsia="pt-BR"/>
              </w:rPr>
              <w:t>Tópicos em História da Educação</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1</w:t>
            </w:r>
          </w:p>
        </w:tc>
        <w:tc>
          <w:tcPr>
            <w:tcW w:w="9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cs="Arial"/>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lang w:eastAsia="pt-BR"/>
              </w:rPr>
            </w:pPr>
            <w:r>
              <w:rPr>
                <w:rFonts w:cs="Arial" w:ascii="Arial" w:hAnsi="Arial"/>
                <w:lang w:eastAsia="pt-BR"/>
              </w:rPr>
              <w:t>Tópicos Especiais em História Antiga</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lang w:eastAsia="pt-BR"/>
              </w:rPr>
            </w:pPr>
            <w:r>
              <w:rPr>
                <w:rFonts w:cs="Arial" w:ascii="Arial" w:hAnsi="Arial"/>
                <w:lang w:eastAsia="pt-BR"/>
              </w:rPr>
              <w:t>Tópicos Especiais em História Contemporânea</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lang w:eastAsia="pt-BR"/>
              </w:rPr>
            </w:pPr>
            <w:r>
              <w:rPr>
                <w:rFonts w:cs="Arial" w:ascii="Arial" w:hAnsi="Arial"/>
                <w:lang w:eastAsia="pt-BR"/>
              </w:rPr>
              <w:t>Tópicos Especiais em História da América</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
              <w:spacing w:lineRule="auto" w:line="240" w:before="0" w:after="0"/>
              <w:jc w:val="both"/>
              <w:rPr>
                <w:rFonts w:ascii="Arial" w:hAnsi="Arial" w:cs="Arial"/>
                <w:lang w:eastAsia="pt-BR"/>
              </w:rPr>
            </w:pPr>
            <w:r>
              <w:rPr>
                <w:rFonts w:cs="Arial" w:ascii="Arial" w:hAnsi="Arial"/>
                <w:lang w:eastAsia="pt-BR"/>
              </w:rPr>
              <w:t>Tópicos Especiais em História do Brasil</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
              <w:spacing w:lineRule="auto" w:line="240" w:before="0" w:after="0"/>
              <w:jc w:val="both"/>
              <w:rPr>
                <w:rFonts w:ascii="Arial" w:hAnsi="Arial" w:cs="Arial"/>
                <w:lang w:eastAsia="pt-BR"/>
              </w:rPr>
            </w:pPr>
            <w:r>
              <w:rPr>
                <w:rFonts w:cs="Arial" w:ascii="Arial" w:hAnsi="Arial"/>
                <w:lang w:eastAsia="pt-BR"/>
              </w:rPr>
              <w:t>Tópicos Especiais em História Medieval</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tcPr>
          <w:p>
            <w:pPr>
              <w:pStyle w:val="Normal"/>
              <w:spacing w:lineRule="auto" w:line="240" w:before="0" w:after="0"/>
              <w:jc w:val="both"/>
              <w:rPr>
                <w:rFonts w:ascii="Arial" w:hAnsi="Arial" w:cs="Arial"/>
                <w:lang w:eastAsia="pt-BR"/>
              </w:rPr>
            </w:pPr>
            <w:r>
              <w:rPr>
                <w:rFonts w:cs="Arial" w:ascii="Arial" w:hAnsi="Arial"/>
                <w:lang w:eastAsia="pt-BR"/>
              </w:rPr>
              <w:t>Tópicos Especiais em História Moderna</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lang w:eastAsia="pt-BR"/>
              </w:rPr>
            </w:pPr>
            <w:r>
              <w:rPr>
                <w:rFonts w:cs="Arial" w:ascii="Arial" w:hAnsi="Arial"/>
                <w:lang w:eastAsia="pt-BR"/>
              </w:rPr>
              <w:t>Tópicos Especiais em Teoria da História</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c>
          <w:tcPr>
            <w:tcW w:w="788"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75</w:t>
            </w:r>
            <w:r>
              <w:rPr>
                <w:rFonts w:cs="Arial" w:ascii="Arial" w:hAnsi="Arial"/>
              </w:rPr>
              <w:t xml:space="preserve"> h/a</w:t>
            </w:r>
          </w:p>
        </w:tc>
      </w:tr>
      <w:tr>
        <w:trPr>
          <w:trHeight w:val="227" w:hRule="atLeast"/>
        </w:trPr>
        <w:tc>
          <w:tcPr>
            <w:tcW w:w="52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center"/>
              <w:rPr>
                <w:rFonts w:ascii="Arial" w:hAnsi="Arial" w:cs="Arial"/>
                <w:b/>
                <w:b/>
                <w:lang w:eastAsia="pt-BR"/>
              </w:rPr>
            </w:pPr>
            <w:r>
              <w:rPr>
                <w:rFonts w:cs="Arial" w:ascii="Arial" w:hAnsi="Arial"/>
                <w:b/>
                <w:lang w:eastAsia="pt-BR"/>
              </w:rPr>
              <w:t>GRUPO B</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r>
          </w:p>
        </w:tc>
        <w:tc>
          <w:tcPr>
            <w:tcW w:w="9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r>
          </w:p>
        </w:tc>
        <w:tc>
          <w:tcPr>
            <w:tcW w:w="788"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r>
          </w:p>
        </w:tc>
        <w:tc>
          <w:tcPr>
            <w:tcW w:w="992"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lang w:eastAsia="pt-BR"/>
              </w:rPr>
            </w:pPr>
            <w:r>
              <w:rPr>
                <w:rFonts w:cs="Arial" w:ascii="Arial" w:hAnsi="Arial"/>
                <w:lang w:eastAsia="pt-BR"/>
              </w:rPr>
              <w:t>Cultura e Identidade no Mundo Pós-Colonial</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lang w:eastAsia="pt-BR"/>
              </w:rPr>
            </w:pPr>
            <w:r>
              <w:rPr>
                <w:rFonts w:cs="Arial" w:ascii="Arial" w:hAnsi="Arial"/>
                <w:lang w:eastAsia="pt-BR"/>
              </w:rPr>
              <w:t>Fotografia e História</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lang w:eastAsia="pt-BR"/>
              </w:rPr>
            </w:pPr>
            <w:r>
              <w:rPr>
                <w:rFonts w:cs="Arial" w:ascii="Arial" w:hAnsi="Arial"/>
                <w:lang w:eastAsia="pt-BR"/>
              </w:rPr>
              <w:t>História da Ciência</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lang w:eastAsia="pt-BR"/>
              </w:rPr>
            </w:pPr>
            <w:r>
              <w:rPr>
                <w:rFonts w:cs="Arial" w:ascii="Arial" w:hAnsi="Arial"/>
                <w:lang w:eastAsia="pt-BR"/>
              </w:rPr>
              <w:t>História e Ciências Sociais</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lang w:eastAsia="pt-BR"/>
              </w:rPr>
            </w:pPr>
            <w:r>
              <w:rPr>
                <w:rFonts w:cs="Arial" w:ascii="Arial" w:hAnsi="Arial"/>
                <w:lang w:eastAsia="pt-BR"/>
              </w:rPr>
              <w:t>História Ibérica</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lang w:eastAsia="pt-BR"/>
              </w:rPr>
            </w:pPr>
            <w:r>
              <w:rPr>
                <w:rFonts w:cs="Arial" w:ascii="Arial" w:hAnsi="Arial"/>
                <w:lang w:eastAsia="pt-BR"/>
              </w:rPr>
              <w:t>História, Memória e Fontes Orais</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lang w:eastAsia="pt-BR"/>
              </w:rPr>
            </w:pPr>
            <w:r>
              <w:rPr>
                <w:rFonts w:cs="Arial" w:ascii="Arial" w:hAnsi="Arial"/>
                <w:lang w:eastAsia="pt-BR"/>
              </w:rPr>
              <w:t>Historiografia, História e Nação</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lang w:eastAsia="pt-BR"/>
              </w:rPr>
            </w:pPr>
            <w:r>
              <w:rPr>
                <w:rFonts w:cs="Arial" w:ascii="Arial" w:hAnsi="Arial"/>
                <w:lang w:eastAsia="pt-BR"/>
              </w:rPr>
              <w:t>História dos Estados Unidos</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2</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lang w:eastAsia="pt-BR"/>
              </w:rPr>
            </w:pPr>
            <w:r>
              <w:rPr>
                <w:rFonts w:cs="Arial" w:ascii="Arial" w:hAnsi="Arial"/>
                <w:lang w:eastAsia="pt-BR"/>
              </w:rPr>
              <w:t>Literatura Medieval</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r>
      <w:tr>
        <w:trPr>
          <w:trHeight w:val="227" w:hRule="atLeast"/>
        </w:trPr>
        <w:tc>
          <w:tcPr>
            <w:tcW w:w="5239"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rPr>
            </w:pPr>
            <w:r>
              <w:rPr>
                <w:rFonts w:cs="Arial" w:ascii="Arial" w:hAnsi="Arial"/>
              </w:rPr>
              <w:t>Oficina de Texto Acadêmico</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w:t>
            </w:r>
          </w:p>
        </w:tc>
        <w:tc>
          <w:tcPr>
            <w:tcW w:w="923"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cs="Arial" w:ascii="Arial" w:hAnsi="Arial"/>
              </w:rPr>
              <w:t>60 h/a</w:t>
            </w:r>
          </w:p>
        </w:tc>
        <w:tc>
          <w:tcPr>
            <w:tcW w:w="788"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cs="Arial" w:ascii="Arial" w:hAnsi="Arial"/>
              </w:rPr>
              <w:t>60 h/a</w:t>
            </w:r>
          </w:p>
        </w:tc>
      </w:tr>
      <w:tr>
        <w:trPr>
          <w:trHeight w:val="227" w:hRule="atLeast"/>
        </w:trPr>
        <w:tc>
          <w:tcPr>
            <w:tcW w:w="52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center"/>
          </w:tcPr>
          <w:p>
            <w:pPr>
              <w:pStyle w:val="Normal"/>
              <w:spacing w:lineRule="auto" w:line="240" w:before="0" w:after="0"/>
              <w:jc w:val="both"/>
              <w:rPr>
                <w:rFonts w:ascii="Arial" w:hAnsi="Arial" w:cs="Arial"/>
                <w:lang w:eastAsia="pt-BR"/>
              </w:rPr>
            </w:pPr>
            <w:r>
              <w:rPr>
                <w:rFonts w:cs="Arial" w:ascii="Arial" w:hAnsi="Arial"/>
                <w:lang w:eastAsia="pt-BR"/>
              </w:rPr>
              <w:t>Paleografia e História da Cultura Escrita</w:t>
            </w:r>
          </w:p>
        </w:tc>
        <w:tc>
          <w:tcPr>
            <w:tcW w:w="60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3</w:t>
            </w:r>
          </w:p>
        </w:tc>
        <w:tc>
          <w:tcPr>
            <w:tcW w:w="9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5" w:type="dxa"/>
            </w:tcM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c>
          <w:tcPr>
            <w:tcW w:w="788"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w:t>
            </w:r>
          </w:p>
        </w:tc>
        <w:tc>
          <w:tcPr>
            <w:tcW w:w="992"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spacing w:lineRule="auto" w:line="240" w:before="0" w:after="0"/>
              <w:jc w:val="center"/>
              <w:rPr>
                <w:rFonts w:ascii="Arial" w:hAnsi="Arial" w:eastAsia="Times New Roman" w:cs="Arial"/>
                <w:lang w:eastAsia="pt-BR"/>
              </w:rPr>
            </w:pPr>
            <w:r>
              <w:rPr>
                <w:rFonts w:eastAsia="Times New Roman" w:cs="Arial" w:ascii="Arial" w:hAnsi="Arial"/>
                <w:lang w:eastAsia="pt-BR"/>
              </w:rPr>
              <w:t>60</w:t>
            </w:r>
            <w:r>
              <w:rPr>
                <w:rFonts w:cs="Arial" w:ascii="Arial" w:hAnsi="Arial"/>
              </w:rPr>
              <w:t xml:space="preserve"> h/a</w:t>
            </w:r>
          </w:p>
        </w:tc>
      </w:tr>
      <w:tr>
        <w:trPr>
          <w:trHeight w:val="227" w:hRule="atLeast"/>
        </w:trPr>
        <w:tc>
          <w:tcPr>
            <w:tcW w:w="8548"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65" w:type="dxa"/>
            </w:tcMar>
            <w:vAlign w:val="center"/>
          </w:tcPr>
          <w:p>
            <w:pPr>
              <w:pStyle w:val="Normal"/>
              <w:spacing w:lineRule="auto" w:line="240" w:before="0" w:after="0"/>
              <w:jc w:val="both"/>
              <w:rPr>
                <w:rFonts w:ascii="Arial" w:hAnsi="Arial" w:eastAsia="Times New Roman" w:cs="Arial"/>
                <w:color w:val="FF0000"/>
                <w:lang w:eastAsia="pt-BR"/>
              </w:rPr>
            </w:pPr>
            <w:r>
              <w:rPr>
                <w:rFonts w:eastAsia="Times New Roman" w:cs="Arial" w:ascii="Arial" w:hAnsi="Arial"/>
                <w:b/>
                <w:lang w:eastAsia="pt-BR"/>
              </w:rPr>
              <w:t>OBS</w:t>
            </w:r>
            <w:r>
              <w:rPr>
                <w:rFonts w:eastAsia="Times New Roman" w:cs="Arial" w:ascii="Arial" w:hAnsi="Arial"/>
                <w:lang w:eastAsia="pt-BR"/>
              </w:rPr>
              <w:t>: Os discentes devem contabilizar 420 h/a UC’S Eletiva. O mínimo para esse somatório é: 4 UC’s do Grupo A (300 h/a) e 2 do Grupo B (120 h/a).</w:t>
            </w:r>
          </w:p>
        </w:tc>
      </w:tr>
    </w:tbl>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tabs>
          <w:tab w:val="left" w:pos="2940" w:leader="none"/>
        </w:tabs>
        <w:spacing w:lineRule="auto" w:line="240" w:before="0" w:after="0"/>
        <w:ind w:left="-567" w:right="-425" w:hanging="0"/>
        <w:jc w:val="center"/>
        <w:rPr>
          <w:rFonts w:ascii="Arial" w:hAnsi="Arial" w:eastAsia="Times New Roman" w:cs="Arial"/>
          <w:b/>
          <w:b/>
          <w:szCs w:val="24"/>
          <w:lang w:eastAsia="ar-SA"/>
        </w:rPr>
      </w:pPr>
      <w:r>
        <w:rPr>
          <w:rFonts w:cs="Arial" w:ascii="Arial" w:hAnsi="Arial"/>
          <w:b/>
          <w:szCs w:val="24"/>
        </w:rPr>
        <w:t xml:space="preserve">Tabela 04: </w:t>
      </w:r>
      <w:r>
        <w:rPr>
          <w:rFonts w:eastAsia="Times New Roman" w:cs="Arial" w:ascii="Arial" w:hAnsi="Arial"/>
          <w:b/>
          <w:szCs w:val="24"/>
          <w:lang w:eastAsia="ar-SA"/>
        </w:rPr>
        <w:t>Unidades curriculares por semestre letivo</w:t>
      </w:r>
    </w:p>
    <w:p>
      <w:pPr>
        <w:pStyle w:val="Normal"/>
        <w:tabs>
          <w:tab w:val="left" w:pos="2940" w:leader="none"/>
        </w:tabs>
        <w:spacing w:lineRule="auto" w:line="240" w:before="0" w:after="0"/>
        <w:ind w:left="-567" w:right="-425" w:hanging="0"/>
        <w:jc w:val="center"/>
        <w:rPr>
          <w:rFonts w:ascii="Arial" w:hAnsi="Arial" w:eastAsia="Times New Roman" w:cs="Arial"/>
          <w:b/>
          <w:b/>
          <w:color w:val="FF0000"/>
          <w:sz w:val="20"/>
          <w:szCs w:val="20"/>
          <w:lang w:eastAsia="ar-SA"/>
        </w:rPr>
      </w:pPr>
      <w:r>
        <w:rPr>
          <w:rFonts w:eastAsia="Times New Roman" w:cs="Arial" w:ascii="Arial" w:hAnsi="Arial"/>
          <w:b/>
          <w:color w:val="FF0000"/>
          <w:sz w:val="20"/>
          <w:szCs w:val="20"/>
          <w:lang w:eastAsia="ar-SA"/>
        </w:rPr>
      </w:r>
    </w:p>
    <w:tbl>
      <w:tblPr>
        <w:tblW w:w="8505"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567"/>
        <w:gridCol w:w="4678"/>
        <w:gridCol w:w="709"/>
        <w:gridCol w:w="90"/>
        <w:gridCol w:w="618"/>
        <w:gridCol w:w="1"/>
        <w:gridCol w:w="992"/>
        <w:gridCol w:w="1"/>
        <w:gridCol w:w="848"/>
      </w:tblGrid>
      <w:tr>
        <w:trPr>
          <w:trHeight w:val="365" w:hRule="exact"/>
          <w:cantSplit w:val="true"/>
        </w:trPr>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360" w:right="113" w:hanging="0"/>
              <w:jc w:val="both"/>
              <w:rPr>
                <w:rFonts w:ascii="Arial" w:hAnsi="Arial" w:cs="Arial"/>
                <w:sz w:val="20"/>
                <w:szCs w:val="20"/>
              </w:rPr>
            </w:pPr>
            <w:r>
              <w:rPr>
                <w:rFonts w:cs="Arial" w:ascii="Arial" w:hAnsi="Arial"/>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Unidades Curriculares</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vAlign w:val="center"/>
          </w:tcPr>
          <w:p>
            <w:pPr>
              <w:pStyle w:val="Normal"/>
              <w:spacing w:lineRule="auto" w:line="240" w:before="0" w:after="0"/>
              <w:jc w:val="center"/>
              <w:rPr>
                <w:rFonts w:ascii="Arial" w:hAnsi="Arial" w:cs="Arial"/>
                <w:b/>
                <w:b/>
                <w:sz w:val="18"/>
                <w:szCs w:val="18"/>
              </w:rPr>
            </w:pPr>
            <w:r>
              <w:rPr>
                <w:rFonts w:cs="Arial" w:ascii="Arial" w:hAnsi="Arial"/>
                <w:b/>
                <w:sz w:val="18"/>
                <w:szCs w:val="18"/>
              </w:rPr>
              <w:t>Eixo</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vAlign w:val="center"/>
          </w:tcPr>
          <w:p>
            <w:pPr>
              <w:pStyle w:val="Normal"/>
              <w:spacing w:lineRule="auto" w:line="240" w:before="0" w:after="0"/>
              <w:jc w:val="center"/>
              <w:rPr>
                <w:rFonts w:ascii="Arial" w:hAnsi="Arial" w:cs="Arial"/>
                <w:b/>
                <w:b/>
                <w:sz w:val="18"/>
                <w:szCs w:val="18"/>
              </w:rPr>
            </w:pPr>
            <w:r>
              <w:rPr>
                <w:rFonts w:cs="Arial" w:ascii="Arial" w:hAnsi="Arial"/>
                <w:b/>
                <w:sz w:val="18"/>
                <w:szCs w:val="18"/>
              </w:rPr>
              <w:t>Cate-goria</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CH Teórica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CH PCC</w:t>
            </w:r>
          </w:p>
        </w:tc>
      </w:tr>
      <w:tr>
        <w:trPr>
          <w:trHeight w:val="284" w:hRule="exact"/>
          <w:cantSplit w:val="true"/>
        </w:trPr>
        <w:tc>
          <w:tcPr>
            <w:tcW w:w="56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jc w:val="center"/>
              <w:rPr>
                <w:rFonts w:ascii="Arial" w:hAnsi="Arial" w:cs="Arial"/>
                <w:b/>
                <w:b/>
                <w:sz w:val="20"/>
                <w:szCs w:val="20"/>
              </w:rPr>
            </w:pPr>
            <w:r>
              <w:rPr>
                <w:rFonts w:cs="Arial" w:ascii="Arial" w:hAnsi="Arial"/>
                <w:b/>
                <w:sz w:val="20"/>
                <w:szCs w:val="20"/>
              </w:rPr>
              <w:t>1º Período</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both"/>
              <w:rPr>
                <w:rFonts w:ascii="Arial" w:hAnsi="Arial" w:cs="Arial"/>
                <w:sz w:val="20"/>
                <w:szCs w:val="20"/>
              </w:rPr>
            </w:pPr>
            <w:r>
              <w:rPr>
                <w:rFonts w:cs="Arial" w:ascii="Arial" w:hAnsi="Arial"/>
                <w:sz w:val="20"/>
                <w:szCs w:val="20"/>
              </w:rPr>
              <w:t xml:space="preserve">Políticas Educacionais </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30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b/>
                <w:b/>
                <w:sz w:val="20"/>
                <w:szCs w:val="20"/>
              </w:rPr>
            </w:pPr>
            <w:r>
              <w:rPr>
                <w:rFonts w:eastAsia="Times New Roman" w:cs="Arial" w:ascii="Arial" w:hAnsi="Arial"/>
                <w:lang w:eastAsia="pt-BR"/>
              </w:rPr>
              <w:t>----</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jc w:val="both"/>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both"/>
              <w:rPr>
                <w:rFonts w:ascii="Arial" w:hAnsi="Arial" w:cs="Arial"/>
                <w:sz w:val="20"/>
                <w:szCs w:val="20"/>
              </w:rPr>
            </w:pPr>
            <w:r>
              <w:rPr>
                <w:rFonts w:cs="Arial" w:ascii="Arial" w:hAnsi="Arial"/>
                <w:sz w:val="20"/>
                <w:szCs w:val="20"/>
              </w:rPr>
              <w:t xml:space="preserve">História da Educação </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30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15 h/a</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jc w:val="both"/>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both"/>
              <w:rPr>
                <w:rFonts w:ascii="Arial" w:hAnsi="Arial" w:cs="Arial"/>
                <w:b/>
                <w:b/>
                <w:sz w:val="20"/>
                <w:szCs w:val="20"/>
              </w:rPr>
            </w:pPr>
            <w:r>
              <w:rPr>
                <w:rFonts w:cs="Arial" w:ascii="Arial" w:hAnsi="Arial"/>
                <w:sz w:val="20"/>
                <w:szCs w:val="20"/>
              </w:rPr>
              <w:t>História Antiga</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2</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sz w:val="20"/>
                <w:szCs w:val="20"/>
              </w:rPr>
              <w:t>75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b/>
                <w:b/>
                <w:sz w:val="20"/>
                <w:szCs w:val="20"/>
              </w:rPr>
            </w:pPr>
            <w:r>
              <w:rPr>
                <w:rFonts w:eastAsia="Times New Roman" w:cs="Arial" w:ascii="Arial" w:hAnsi="Arial"/>
                <w:lang w:eastAsia="pt-BR"/>
              </w:rPr>
              <w:t>----</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jc w:val="both"/>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both"/>
              <w:rPr>
                <w:rFonts w:ascii="Arial" w:hAnsi="Arial" w:cs="Arial"/>
                <w:sz w:val="20"/>
                <w:szCs w:val="20"/>
              </w:rPr>
            </w:pPr>
            <w:r>
              <w:rPr>
                <w:rFonts w:cs="Arial" w:ascii="Arial" w:hAnsi="Arial"/>
                <w:sz w:val="20"/>
                <w:szCs w:val="20"/>
              </w:rPr>
              <w:t>Introdução aos Estudos Históricos</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3</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75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Política, Cidadania e Direitos Humanos no Brasil</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3</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Unidade Curricular Eletiva – Grupo A</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75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316" w:hRule="exact"/>
          <w:cantSplit w:val="true"/>
        </w:trPr>
        <w:tc>
          <w:tcPr>
            <w:tcW w:w="6662"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right"/>
              <w:rPr>
                <w:rFonts w:ascii="Arial" w:hAnsi="Arial" w:cs="Arial"/>
                <w:b/>
                <w:b/>
                <w:sz w:val="20"/>
                <w:szCs w:val="20"/>
              </w:rPr>
            </w:pPr>
            <w:r>
              <w:rPr>
                <w:rFonts w:cs="Arial" w:ascii="Arial" w:hAnsi="Arial"/>
                <w:b/>
                <w:sz w:val="20"/>
                <w:szCs w:val="20"/>
              </w:rPr>
              <w:t>CH Parcial</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345 h/a</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15 h/a</w:t>
            </w:r>
          </w:p>
        </w:tc>
      </w:tr>
      <w:tr>
        <w:trPr>
          <w:trHeight w:val="284" w:hRule="exact"/>
          <w:cantSplit w:val="true"/>
        </w:trPr>
        <w:tc>
          <w:tcPr>
            <w:tcW w:w="56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2º Período</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highlight w:val="yellow"/>
              </w:rPr>
            </w:pPr>
            <w:r>
              <w:rPr>
                <w:rFonts w:cs="Arial" w:ascii="Arial" w:hAnsi="Arial"/>
                <w:sz w:val="20"/>
                <w:szCs w:val="20"/>
              </w:rPr>
              <w:t xml:space="preserve">Filosofia da Educação </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30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15 h/a</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 xml:space="preserve">Didática </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15 h/a</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Educação e Diversidade</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30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b/>
                <w:b/>
                <w:sz w:val="20"/>
                <w:szCs w:val="20"/>
              </w:rPr>
            </w:pPr>
            <w:r>
              <w:rPr>
                <w:rFonts w:cs="Arial" w:ascii="Arial" w:hAnsi="Arial"/>
                <w:sz w:val="20"/>
                <w:szCs w:val="20"/>
              </w:rPr>
              <w:t>História da África</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2</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75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História Indígena nas Américas</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2</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História Medieval</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2</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75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292" w:hRule="exact"/>
          <w:cantSplit w:val="true"/>
        </w:trPr>
        <w:tc>
          <w:tcPr>
            <w:tcW w:w="6662"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right"/>
              <w:rPr>
                <w:rFonts w:ascii="Arial" w:hAnsi="Arial" w:cs="Arial"/>
                <w:b/>
                <w:b/>
                <w:sz w:val="20"/>
                <w:szCs w:val="20"/>
              </w:rPr>
            </w:pPr>
            <w:r>
              <w:rPr>
                <w:rFonts w:cs="Arial" w:ascii="Arial" w:hAnsi="Arial"/>
                <w:b/>
                <w:sz w:val="20"/>
                <w:szCs w:val="20"/>
              </w:rPr>
              <w:t>CH Parcial</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330 h/a</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30 h/a</w:t>
            </w:r>
          </w:p>
        </w:tc>
      </w:tr>
      <w:tr>
        <w:trPr>
          <w:trHeight w:val="284" w:hRule="exact"/>
          <w:cantSplit w:val="true"/>
        </w:trPr>
        <w:tc>
          <w:tcPr>
            <w:tcW w:w="56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3º Período</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highlight w:val="yellow"/>
              </w:rPr>
            </w:pPr>
            <w:r>
              <w:rPr>
                <w:rFonts w:cs="Arial" w:ascii="Arial" w:hAnsi="Arial"/>
                <w:sz w:val="20"/>
                <w:szCs w:val="20"/>
              </w:rPr>
              <w:t>Psicologia da Educação</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15 h/a</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LEH: Memória, Patrimônio e Educação Histórica</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15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60 h/a</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História Moderna</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2</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15 h/a</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b/>
                <w:b/>
                <w:sz w:val="20"/>
                <w:szCs w:val="20"/>
              </w:rPr>
            </w:pPr>
            <w:r>
              <w:rPr>
                <w:rFonts w:cs="Arial" w:ascii="Arial" w:hAnsi="Arial"/>
                <w:sz w:val="20"/>
                <w:szCs w:val="20"/>
              </w:rPr>
              <w:t>Metodologia da Pesquisa Histórica</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2</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75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Teoria da História</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2</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75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310" w:hRule="exact"/>
          <w:cantSplit w:val="true"/>
        </w:trPr>
        <w:tc>
          <w:tcPr>
            <w:tcW w:w="6662"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right"/>
              <w:rPr>
                <w:rFonts w:ascii="Arial" w:hAnsi="Arial" w:cs="Arial"/>
                <w:b/>
                <w:b/>
                <w:sz w:val="20"/>
                <w:szCs w:val="20"/>
              </w:rPr>
            </w:pPr>
            <w:r>
              <w:rPr>
                <w:rFonts w:cs="Arial" w:ascii="Arial" w:hAnsi="Arial"/>
                <w:b/>
                <w:sz w:val="20"/>
                <w:szCs w:val="20"/>
              </w:rPr>
              <w:t>CH Parcial</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285 h/a</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90 h/a</w:t>
            </w:r>
          </w:p>
        </w:tc>
      </w:tr>
      <w:tr>
        <w:trPr>
          <w:trHeight w:val="223" w:hRule="exact"/>
          <w:cantSplit w:val="true"/>
        </w:trPr>
        <w:tc>
          <w:tcPr>
            <w:tcW w:w="56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4º Período</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História, Meio Ambiente e Educação Ambiental</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30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15 h/a</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 xml:space="preserve">Sociologia da Educação </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30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428"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both"/>
              <w:rPr>
                <w:rFonts w:ascii="Arial" w:hAnsi="Arial" w:cs="Arial"/>
                <w:sz w:val="20"/>
                <w:szCs w:val="20"/>
              </w:rPr>
            </w:pPr>
            <w:r>
              <w:rPr>
                <w:rFonts w:cs="Arial" w:ascii="Arial" w:hAnsi="Arial"/>
                <w:sz w:val="20"/>
                <w:szCs w:val="20"/>
              </w:rPr>
              <w:t>LEH: Metodologias e tecnologias do ensino de História</w:t>
            </w:r>
          </w:p>
          <w:p>
            <w:pPr>
              <w:pStyle w:val="Normal"/>
              <w:spacing w:lineRule="auto" w:line="240" w:before="0" w:after="0"/>
              <w:rPr>
                <w:rFonts w:ascii="Arial" w:hAnsi="Arial" w:cs="Arial"/>
                <w:sz w:val="20"/>
                <w:szCs w:val="20"/>
              </w:rPr>
            </w:pPr>
            <w:r>
              <w:rPr>
                <w:rFonts w:cs="Arial" w:ascii="Arial" w:hAnsi="Arial"/>
                <w:sz w:val="20"/>
                <w:szCs w:val="20"/>
              </w:rPr>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15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60 h/a</w:t>
            </w:r>
          </w:p>
        </w:tc>
      </w:tr>
      <w:tr>
        <w:trPr>
          <w:trHeight w:val="279"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b/>
                <w:b/>
                <w:sz w:val="20"/>
                <w:szCs w:val="20"/>
              </w:rPr>
            </w:pPr>
            <w:r>
              <w:rPr>
                <w:rFonts w:cs="Arial" w:ascii="Arial" w:hAnsi="Arial"/>
                <w:sz w:val="20"/>
                <w:szCs w:val="20"/>
              </w:rPr>
              <w:t>História da América Colonial</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2</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15 h/a</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História da América Portuguesa</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2</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15 h/a</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Unidade Curricular Eletiva – Grupo A</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75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284" w:hRule="exact"/>
          <w:cantSplit w:val="true"/>
        </w:trPr>
        <w:tc>
          <w:tcPr>
            <w:tcW w:w="6662"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right"/>
              <w:rPr>
                <w:rFonts w:ascii="Arial" w:hAnsi="Arial" w:cs="Arial"/>
                <w:b/>
                <w:b/>
                <w:sz w:val="20"/>
                <w:szCs w:val="20"/>
              </w:rPr>
            </w:pPr>
            <w:r>
              <w:rPr>
                <w:rFonts w:cs="Arial" w:ascii="Arial" w:hAnsi="Arial"/>
                <w:b/>
                <w:sz w:val="20"/>
                <w:szCs w:val="20"/>
              </w:rPr>
              <w:t>CH Parcial</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270 h/a</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center"/>
              <w:rPr>
                <w:rFonts w:ascii="Arial" w:hAnsi="Arial" w:cs="Arial"/>
                <w:b/>
                <w:b/>
                <w:sz w:val="18"/>
                <w:szCs w:val="18"/>
              </w:rPr>
            </w:pPr>
            <w:r>
              <w:rPr>
                <w:rFonts w:cs="Arial" w:ascii="Arial" w:hAnsi="Arial"/>
                <w:b/>
                <w:sz w:val="18"/>
                <w:szCs w:val="18"/>
              </w:rPr>
              <w:t>105 h/a</w:t>
            </w:r>
          </w:p>
        </w:tc>
      </w:tr>
      <w:tr>
        <w:trPr>
          <w:trHeight w:val="284" w:hRule="exact"/>
          <w:cantSplit w:val="true"/>
        </w:trPr>
        <w:tc>
          <w:tcPr>
            <w:tcW w:w="56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jc w:val="center"/>
              <w:rPr>
                <w:rFonts w:ascii="Arial" w:hAnsi="Arial" w:cs="Arial"/>
                <w:b/>
                <w:b/>
                <w:sz w:val="20"/>
                <w:szCs w:val="20"/>
              </w:rPr>
            </w:pPr>
            <w:r>
              <w:rPr>
                <w:rFonts w:cs="Arial" w:ascii="Arial" w:hAnsi="Arial"/>
                <w:b/>
                <w:sz w:val="20"/>
                <w:szCs w:val="20"/>
              </w:rPr>
              <w:t>5º Período</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LEH: Produção de Material Didático</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15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60 h/a</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História da América Independente</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2</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sz w:val="20"/>
                <w:szCs w:val="20"/>
              </w:rPr>
              <w:t>15 h/a</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História do Brasil Monárquico</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2</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15 h/a</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b/>
                <w:b/>
                <w:sz w:val="20"/>
                <w:szCs w:val="20"/>
              </w:rPr>
            </w:pPr>
            <w:r>
              <w:rPr>
                <w:rFonts w:cs="Arial" w:ascii="Arial" w:hAnsi="Arial"/>
                <w:sz w:val="20"/>
                <w:szCs w:val="20"/>
              </w:rPr>
              <w:t>Historiografia Contemporânea</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2</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Unidade Curricular Eletiva – Grupo A</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75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320" w:hRule="exact"/>
          <w:cantSplit w:val="true"/>
        </w:trPr>
        <w:tc>
          <w:tcPr>
            <w:tcW w:w="6662"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right"/>
              <w:rPr>
                <w:rFonts w:ascii="Arial" w:hAnsi="Arial" w:cs="Arial"/>
                <w:sz w:val="20"/>
                <w:szCs w:val="20"/>
              </w:rPr>
            </w:pPr>
            <w:r>
              <w:rPr>
                <w:rFonts w:cs="Arial" w:ascii="Arial" w:hAnsi="Arial"/>
                <w:b/>
                <w:sz w:val="20"/>
                <w:szCs w:val="20"/>
              </w:rPr>
              <w:t>CH Parcial</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b/>
                <w:sz w:val="20"/>
                <w:szCs w:val="20"/>
              </w:rPr>
              <w:t>270 h/a</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b/>
                <w:sz w:val="20"/>
                <w:szCs w:val="20"/>
              </w:rPr>
              <w:t>90 h/a</w:t>
            </w:r>
          </w:p>
        </w:tc>
      </w:tr>
      <w:tr>
        <w:trPr>
          <w:trHeight w:val="284" w:hRule="exact"/>
          <w:cantSplit w:val="true"/>
        </w:trPr>
        <w:tc>
          <w:tcPr>
            <w:tcW w:w="56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6º. Período</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Estágio Supervisionado: Gestão e Cultura Escolar</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História Contemporânea no século XIX</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2</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15 h/a</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b/>
                <w:b/>
                <w:sz w:val="20"/>
                <w:szCs w:val="20"/>
              </w:rPr>
            </w:pPr>
            <w:r>
              <w:rPr>
                <w:rFonts w:cs="Arial" w:ascii="Arial" w:hAnsi="Arial"/>
                <w:sz w:val="20"/>
                <w:szCs w:val="20"/>
              </w:rPr>
              <w:t>História da América Contemporânea</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2</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sz w:val="20"/>
                <w:szCs w:val="20"/>
              </w:rPr>
              <w:t>15 h/a</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jc w:val="center"/>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História do Brasil Republicano</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2</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15 h/a</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jc w:val="center"/>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Unidade Curricular Eletiva – Grupo A</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75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r>
          </w:p>
        </w:tc>
      </w:tr>
      <w:tr>
        <w:trPr>
          <w:trHeight w:val="299" w:hRule="exact"/>
          <w:cantSplit w:val="true"/>
        </w:trPr>
        <w:tc>
          <w:tcPr>
            <w:tcW w:w="6662"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right"/>
              <w:rPr>
                <w:rFonts w:ascii="Arial" w:hAnsi="Arial" w:cs="Arial"/>
                <w:b/>
                <w:b/>
                <w:sz w:val="20"/>
                <w:szCs w:val="20"/>
              </w:rPr>
            </w:pPr>
            <w:r>
              <w:rPr>
                <w:rFonts w:cs="Arial" w:ascii="Arial" w:hAnsi="Arial"/>
                <w:b/>
                <w:sz w:val="20"/>
                <w:szCs w:val="20"/>
              </w:rPr>
              <w:t>CH Parcial</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255 h/a</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45 h/a</w:t>
            </w:r>
          </w:p>
        </w:tc>
      </w:tr>
      <w:tr>
        <w:trPr>
          <w:trHeight w:val="515" w:hRule="exact"/>
          <w:cantSplit w:val="true"/>
        </w:trPr>
        <w:tc>
          <w:tcPr>
            <w:tcW w:w="56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jc w:val="center"/>
              <w:rPr>
                <w:rFonts w:ascii="Arial" w:hAnsi="Arial" w:cs="Arial"/>
                <w:b/>
                <w:b/>
                <w:sz w:val="20"/>
                <w:szCs w:val="20"/>
              </w:rPr>
            </w:pPr>
            <w:r>
              <w:rPr>
                <w:rFonts w:cs="Arial" w:ascii="Arial" w:hAnsi="Arial"/>
                <w:b/>
                <w:sz w:val="20"/>
                <w:szCs w:val="20"/>
              </w:rPr>
              <w:t>7º. Período</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both"/>
              <w:rPr>
                <w:rFonts w:ascii="Arial" w:hAnsi="Arial" w:cs="Arial"/>
                <w:sz w:val="20"/>
                <w:szCs w:val="20"/>
              </w:rPr>
            </w:pPr>
            <w:r>
              <w:rPr>
                <w:rFonts w:cs="Arial" w:ascii="Arial" w:hAnsi="Arial"/>
                <w:sz w:val="20"/>
                <w:szCs w:val="20"/>
              </w:rPr>
              <w:t>Estágio Supervisionado: Ensino Fundamental (Séries finais)</w:t>
            </w:r>
          </w:p>
        </w:tc>
        <w:tc>
          <w:tcPr>
            <w:tcW w:w="79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w:t>
            </w:r>
          </w:p>
        </w:tc>
        <w:tc>
          <w:tcPr>
            <w:tcW w:w="61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jc w:val="center"/>
              <w:rPr>
                <w:rFonts w:ascii="Arial" w:hAnsi="Arial" w:cs="Arial"/>
                <w:sz w:val="20"/>
                <w:szCs w:val="20"/>
              </w:rPr>
            </w:pPr>
            <w:r>
              <w:rPr>
                <w:rFonts w:cs="Arial" w:ascii="Arial" w:hAnsi="Arial"/>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História Contemporânea nos séculos XX e XXI</w:t>
            </w:r>
          </w:p>
        </w:tc>
        <w:tc>
          <w:tcPr>
            <w:tcW w:w="79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2</w:t>
            </w:r>
          </w:p>
        </w:tc>
        <w:tc>
          <w:tcPr>
            <w:tcW w:w="61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15 h/a</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jc w:val="center"/>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História do Brasil Contemporâneo</w:t>
            </w:r>
          </w:p>
        </w:tc>
        <w:tc>
          <w:tcPr>
            <w:tcW w:w="79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2</w:t>
            </w:r>
          </w:p>
        </w:tc>
        <w:tc>
          <w:tcPr>
            <w:tcW w:w="61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15 h/a</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jc w:val="center"/>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Língua Brasileira de Sinais</w:t>
            </w:r>
          </w:p>
        </w:tc>
        <w:tc>
          <w:tcPr>
            <w:tcW w:w="79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3</w:t>
            </w:r>
          </w:p>
        </w:tc>
        <w:tc>
          <w:tcPr>
            <w:tcW w:w="61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jc w:val="center"/>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Unidade Curricular Eletiva – Grupo B</w:t>
            </w:r>
          </w:p>
        </w:tc>
        <w:tc>
          <w:tcPr>
            <w:tcW w:w="79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r>
          </w:p>
        </w:tc>
        <w:tc>
          <w:tcPr>
            <w:tcW w:w="61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283" w:hRule="exact"/>
          <w:cantSplit w:val="true"/>
        </w:trPr>
        <w:tc>
          <w:tcPr>
            <w:tcW w:w="6662"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CH Parcial</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240 h/a</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30 h/a</w:t>
            </w:r>
          </w:p>
        </w:tc>
      </w:tr>
      <w:tr>
        <w:trPr>
          <w:trHeight w:val="284" w:hRule="exact"/>
          <w:cantSplit w:val="true"/>
        </w:trPr>
        <w:tc>
          <w:tcPr>
            <w:tcW w:w="56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8º. Período</w:t>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Gestão de Sistema Escolar</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30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15 h/a</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Estágio Supervisionado: Ensino Médio</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1</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jc w:val="center"/>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b/>
                <w:b/>
                <w:sz w:val="20"/>
                <w:szCs w:val="20"/>
              </w:rPr>
            </w:pPr>
            <w:r>
              <w:rPr>
                <w:rFonts w:cs="Arial" w:ascii="Arial" w:hAnsi="Arial"/>
                <w:sz w:val="20"/>
                <w:szCs w:val="20"/>
              </w:rPr>
              <w:t>História de Minas Gerais</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2</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b/>
                <w:b/>
                <w:sz w:val="20"/>
                <w:szCs w:val="20"/>
              </w:rPr>
            </w:pPr>
            <w:r>
              <w:rPr>
                <w:rFonts w:eastAsia="Times New Roman" w:cs="Arial" w:ascii="Arial" w:hAnsi="Arial"/>
                <w:lang w:eastAsia="pt-BR"/>
              </w:rPr>
              <w:t>----</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jc w:val="center"/>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Trabalho de Conclusão de Curso</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2</w:t>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284" w:hRule="exact"/>
          <w:cantSplit w:val="true"/>
        </w:trPr>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extDirection w:val="btLr"/>
            <w:vAlign w:val="center"/>
          </w:tcPr>
          <w:p>
            <w:pPr>
              <w:pStyle w:val="Normal"/>
              <w:spacing w:lineRule="auto" w:line="240" w:before="0" w:after="0"/>
              <w:ind w:left="113" w:right="113" w:hanging="0"/>
              <w:jc w:val="center"/>
              <w:rPr>
                <w:rFonts w:ascii="Arial" w:hAnsi="Arial" w:cs="Arial"/>
                <w:b/>
                <w:b/>
                <w:sz w:val="20"/>
                <w:szCs w:val="20"/>
              </w:rPr>
            </w:pPr>
            <w:r>
              <w:rPr>
                <w:rFonts w:cs="Arial" w:ascii="Arial" w:hAnsi="Arial"/>
                <w:b/>
                <w:sz w:val="20"/>
                <w:szCs w:val="20"/>
              </w:rPr>
            </w:r>
          </w:p>
        </w:tc>
        <w:tc>
          <w:tcPr>
            <w:tcW w:w="46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rPr>
                <w:rFonts w:ascii="Arial" w:hAnsi="Arial" w:cs="Arial"/>
                <w:sz w:val="20"/>
                <w:szCs w:val="20"/>
              </w:rPr>
            </w:pPr>
            <w:r>
              <w:rPr>
                <w:rFonts w:cs="Arial" w:ascii="Arial" w:hAnsi="Arial"/>
                <w:sz w:val="20"/>
                <w:szCs w:val="20"/>
              </w:rPr>
              <w:t>Unidade Curricular Eletiva – Grupo B</w:t>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r>
          </w:p>
        </w:tc>
        <w:tc>
          <w:tcPr>
            <w:tcW w:w="70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cs="Arial" w:ascii="Arial" w:hAnsi="Arial"/>
                <w:sz w:val="20"/>
                <w:szCs w:val="20"/>
              </w:rPr>
              <w:t>60 h/a</w:t>
            </w:r>
          </w:p>
        </w:tc>
        <w:tc>
          <w:tcPr>
            <w:tcW w:w="8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240" w:before="0" w:after="0"/>
              <w:jc w:val="center"/>
              <w:rPr>
                <w:rFonts w:ascii="Arial" w:hAnsi="Arial" w:cs="Arial"/>
                <w:sz w:val="20"/>
                <w:szCs w:val="20"/>
              </w:rPr>
            </w:pPr>
            <w:r>
              <w:rPr>
                <w:rFonts w:eastAsia="Times New Roman" w:cs="Arial" w:ascii="Arial" w:hAnsi="Arial"/>
                <w:lang w:eastAsia="pt-BR"/>
              </w:rPr>
              <w:t>----</w:t>
            </w:r>
          </w:p>
        </w:tc>
      </w:tr>
      <w:tr>
        <w:trPr>
          <w:trHeight w:val="278" w:hRule="exact"/>
          <w:cantSplit w:val="true"/>
        </w:trPr>
        <w:tc>
          <w:tcPr>
            <w:tcW w:w="6662"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108" w:type="dxa"/>
            </w:tcMar>
            <w:vAlign w:val="center"/>
          </w:tcPr>
          <w:p>
            <w:pPr>
              <w:pStyle w:val="Normal"/>
              <w:spacing w:lineRule="auto" w:line="240" w:before="0" w:after="0"/>
              <w:jc w:val="right"/>
              <w:rPr>
                <w:rFonts w:ascii="Arial" w:hAnsi="Arial" w:cs="Arial"/>
                <w:b/>
                <w:b/>
                <w:sz w:val="20"/>
                <w:szCs w:val="20"/>
              </w:rPr>
            </w:pPr>
            <w:r>
              <w:rPr>
                <w:rFonts w:cs="Arial" w:ascii="Arial" w:hAnsi="Arial"/>
                <w:b/>
                <w:sz w:val="20"/>
                <w:szCs w:val="20"/>
              </w:rPr>
              <w:t>CH Parcial</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210 h/a</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15 h/a</w:t>
            </w:r>
          </w:p>
        </w:tc>
      </w:tr>
      <w:tr>
        <w:trPr>
          <w:trHeight w:val="278" w:hRule="exact"/>
          <w:cantSplit w:val="true"/>
        </w:trPr>
        <w:tc>
          <w:tcPr>
            <w:tcW w:w="6662"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right"/>
              <w:rPr>
                <w:rFonts w:ascii="Arial" w:hAnsi="Arial" w:cs="Arial"/>
                <w:b/>
                <w:b/>
                <w:sz w:val="20"/>
                <w:szCs w:val="20"/>
              </w:rPr>
            </w:pPr>
            <w:r>
              <w:rPr>
                <w:rFonts w:cs="Arial" w:ascii="Arial" w:hAnsi="Arial"/>
                <w:b/>
                <w:sz w:val="20"/>
                <w:szCs w:val="20"/>
              </w:rPr>
              <w:t>CH Total</w:t>
            </w:r>
          </w:p>
        </w:tc>
        <w:tc>
          <w:tcPr>
            <w:tcW w:w="9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 xml:space="preserve">2205 </w:t>
            </w:r>
            <w:r>
              <w:rPr>
                <w:rFonts w:cs="Arial" w:ascii="Arial" w:hAnsi="Arial"/>
                <w:b/>
                <w:sz w:val="18"/>
                <w:szCs w:val="18"/>
              </w:rPr>
              <w:t>h/a</w:t>
            </w:r>
          </w:p>
        </w:tc>
        <w:tc>
          <w:tcPr>
            <w:tcW w:w="84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5"/>
            <w:tcMar>
              <w:left w:w="108" w:type="dxa"/>
            </w:tcMar>
            <w:vAlign w:val="center"/>
          </w:tcPr>
          <w:p>
            <w:pPr>
              <w:pStyle w:val="Normal"/>
              <w:spacing w:lineRule="auto" w:line="240" w:before="0" w:after="0"/>
              <w:jc w:val="center"/>
              <w:rPr>
                <w:rFonts w:ascii="Arial" w:hAnsi="Arial" w:cs="Arial"/>
                <w:b/>
                <w:b/>
                <w:sz w:val="20"/>
                <w:szCs w:val="20"/>
              </w:rPr>
            </w:pPr>
            <w:r>
              <w:rPr>
                <w:rFonts w:cs="Arial" w:ascii="Arial" w:hAnsi="Arial"/>
                <w:b/>
                <w:sz w:val="20"/>
                <w:szCs w:val="20"/>
              </w:rPr>
              <w:t>420</w:t>
            </w:r>
            <w:r>
              <w:rPr>
                <w:rFonts w:cs="Arial" w:ascii="Arial" w:hAnsi="Arial"/>
                <w:b/>
                <w:sz w:val="16"/>
                <w:szCs w:val="16"/>
              </w:rPr>
              <w:t xml:space="preserve"> h/a</w:t>
            </w:r>
          </w:p>
        </w:tc>
      </w:tr>
    </w:tbl>
    <w:p>
      <w:pPr>
        <w:pStyle w:val="Normal"/>
        <w:rPr>
          <w:rFonts w:ascii="Arial" w:hAnsi="Arial" w:cs="Arial"/>
        </w:rPr>
      </w:pPr>
      <w:r>
        <w:rPr>
          <w:rFonts w:cs="Arial" w:ascii="Arial" w:hAnsi="Arial"/>
        </w:rPr>
      </w:r>
    </w:p>
    <w:p>
      <w:pPr>
        <w:pStyle w:val="Normal"/>
        <w:pBdr>
          <w:top w:val="single" w:sz="4" w:space="1" w:color="00000A"/>
          <w:bottom w:val="single" w:sz="4" w:space="1" w:color="00000A"/>
        </w:pBdr>
        <w:jc w:val="both"/>
        <w:rPr/>
      </w:pPr>
      <w:r>
        <w:rPr>
          <w:rFonts w:cs="Arial" w:ascii="Arial" w:hAnsi="Arial"/>
          <w:b/>
          <w:bCs/>
        </w:rPr>
        <w:t xml:space="preserve">OBS: </w:t>
      </w:r>
      <w:r>
        <w:rPr>
          <w:rFonts w:cs="Arial" w:ascii="Arial" w:hAnsi="Arial"/>
          <w:bCs/>
        </w:rPr>
        <w:t>A Estrutura Curricular do Curso de</w:t>
      </w:r>
      <w:r>
        <w:rPr>
          <w:rFonts w:cs="Arial" w:ascii="Arial" w:hAnsi="Arial"/>
          <w:b/>
          <w:bCs/>
        </w:rPr>
        <w:t xml:space="preserve"> Graduação em História </w:t>
      </w:r>
      <w:r>
        <w:rPr>
          <w:rFonts w:cs="Arial" w:ascii="Arial" w:hAnsi="Arial"/>
          <w:bCs/>
        </w:rPr>
        <w:t>da UFVJM possui um link específico na página da PROGRAD</w:t>
      </w:r>
      <w:hyperlink r:id="rId3">
        <w:r>
          <w:rPr>
            <w:rStyle w:val="LinkdaInternet"/>
            <w:rFonts w:cs="Arial" w:ascii="Arial" w:hAnsi="Arial"/>
            <w:color w:val="00000A"/>
          </w:rPr>
          <w:t>: http://www.ufvjm.edu.br/prograd/estruturas-curriculares.html</w:t>
        </w:r>
      </w:hyperlink>
      <w:r>
        <w:rPr>
          <w:rFonts w:cs="Arial" w:ascii="Arial" w:hAnsi="Arial"/>
          <w:bCs/>
        </w:rPr>
        <w:t>, para atualizações constantes conforme prerrogativas do Colegiado de Curso, com posteriores apreciações e aprovações dos órgãos consultivos e deliberativos desta instituição.</w:t>
      </w:r>
    </w:p>
    <w:p>
      <w:pPr>
        <w:pStyle w:val="Normal"/>
        <w:rPr>
          <w:rFonts w:ascii="Arial" w:hAnsi="Arial" w:cs="Arial"/>
        </w:rPr>
      </w:pPr>
      <w:r>
        <w:rPr>
          <w:rFonts w:cs="Arial" w:ascii="Arial" w:hAnsi="Arial"/>
        </w:rPr>
      </w:r>
    </w:p>
    <w:p>
      <w:pPr>
        <w:sectPr>
          <w:headerReference w:type="default" r:id="rId4"/>
          <w:footerReference w:type="default" r:id="rId5"/>
          <w:footnotePr>
            <w:numFmt w:val="decimal"/>
          </w:footnotePr>
          <w:type w:val="nextPage"/>
          <w:pgSz w:w="11906" w:h="16838"/>
          <w:pgMar w:left="1701" w:right="1701" w:header="709" w:top="1418" w:footer="709" w:bottom="1418" w:gutter="0"/>
          <w:pgNumType w:fmt="decimal"/>
          <w:formProt w:val="false"/>
          <w:titlePg/>
          <w:textDirection w:val="lrTb"/>
          <w:docGrid w:type="default" w:linePitch="360" w:charSpace="4294965247"/>
        </w:sectPr>
        <w:pStyle w:val="Normal"/>
        <w:spacing w:lineRule="auto" w:line="360" w:before="144" w:after="144"/>
        <w:jc w:val="center"/>
        <w:rPr>
          <w:rFonts w:ascii="Arial" w:hAnsi="Arial" w:cs="Arial"/>
          <w:color w:val="FF0000"/>
        </w:rPr>
      </w:pPr>
      <w:r>
        <w:rPr>
          <w:rFonts w:cs="Arial" w:ascii="Arial" w:hAnsi="Arial"/>
          <w:color w:val="FF0000"/>
        </w:rPr>
      </w:r>
    </w:p>
    <w:p>
      <w:pPr>
        <w:pStyle w:val="Normal"/>
        <w:spacing w:lineRule="auto" w:line="240" w:before="144" w:after="0"/>
        <w:jc w:val="both"/>
        <w:rPr>
          <w:rFonts w:ascii="Arial" w:hAnsi="Arial" w:cs="Arial"/>
          <w:sz w:val="20"/>
          <w:szCs w:val="20"/>
        </w:rPr>
      </w:pPr>
      <w:r>
        <w:rPr>
          <w:rFonts w:cs="Arial" w:ascii="Arial" w:hAnsi="Arial"/>
          <w:sz w:val="20"/>
          <w:szCs w:val="20"/>
        </w:rPr>
      </w:r>
    </w:p>
    <w:p>
      <w:pPr>
        <w:pStyle w:val="Normal"/>
        <w:rPr>
          <w:rFonts w:ascii="Arial" w:hAnsi="Arial" w:cs="Arial"/>
          <w:b/>
          <w:b/>
          <w:sz w:val="28"/>
          <w:szCs w:val="28"/>
        </w:rPr>
      </w:pPr>
      <w:r>
        <w:rPr>
          <w:rFonts w:cs="Arial" w:ascii="Arial" w:hAnsi="Arial"/>
          <w:b/>
          <w:sz w:val="28"/>
          <w:szCs w:val="28"/>
        </w:rPr>
      </w:r>
    </w:p>
    <w:p>
      <w:pPr>
        <w:pStyle w:val="Normal"/>
        <w:spacing w:lineRule="auto" w:line="259" w:before="0" w:after="160"/>
        <w:jc w:val="center"/>
        <w:rPr>
          <w:rFonts w:ascii="Arial" w:hAnsi="Arial" w:eastAsia="Calibri" w:cs="Arial"/>
          <w:b/>
          <w:b/>
          <w:i/>
          <w:i/>
          <w:sz w:val="24"/>
          <w:szCs w:val="24"/>
        </w:rPr>
      </w:pPr>
      <w:r>
        <w:drawing>
          <wp:anchor behindDoc="1" distT="0" distB="0" distL="114300" distR="114300" simplePos="0" locked="0" layoutInCell="1" allowOverlap="1" relativeHeight="9" wp14:anchorId="316208EB">
            <wp:simplePos x="0" y="0"/>
            <wp:positionH relativeFrom="margin">
              <wp:align>center</wp:align>
            </wp:positionH>
            <wp:positionV relativeFrom="paragraph">
              <wp:posOffset>-210185</wp:posOffset>
            </wp:positionV>
            <wp:extent cx="9808845" cy="4496435"/>
            <wp:effectExtent l="38100" t="0" r="59690" b="0"/>
            <wp:wrapNone/>
            <wp:docPr id="3" name="Diagram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anchor>
        </w:drawing>
        <mc:AlternateContent>
          <mc:Choice Requires="wps">
            <w:drawing>
              <wp:anchor behindDoc="0" distT="45720" distB="45720" distL="114300" distR="114300" simplePos="0" locked="0" layoutInCell="1" allowOverlap="1" relativeHeight="13" wp14:anchorId="6F829C2B">
                <wp:simplePos x="0" y="0"/>
                <wp:positionH relativeFrom="page">
                  <wp:posOffset>8046720</wp:posOffset>
                </wp:positionH>
                <wp:positionV relativeFrom="paragraph">
                  <wp:posOffset>-213360</wp:posOffset>
                </wp:positionV>
                <wp:extent cx="2179955" cy="421640"/>
                <wp:effectExtent l="0" t="0" r="0" b="0"/>
                <wp:wrapSquare wrapText="bothSides"/>
                <wp:docPr id="4" name="Caixa de Texto 2"/>
                <a:graphic xmlns:a="http://schemas.openxmlformats.org/drawingml/2006/main">
                  <a:graphicData uri="http://schemas.microsoft.com/office/word/2010/wordprocessingShape">
                    <wps:wsp>
                      <wps:cNvSpPr/>
                      <wps:spPr>
                        <a:xfrm>
                          <a:off x="0" y="0"/>
                          <a:ext cx="2179440" cy="420840"/>
                        </a:xfrm>
                        <a:prstGeom prst="rect">
                          <a:avLst/>
                        </a:prstGeom>
                        <a:noFill/>
                        <a:ln w="9360">
                          <a:noFill/>
                        </a:ln>
                      </wps:spPr>
                      <wps:style>
                        <a:lnRef idx="0"/>
                        <a:fillRef idx="0"/>
                        <a:effectRef idx="0"/>
                        <a:fontRef idx="minor"/>
                      </wps:style>
                      <wps:txbx>
                        <w:txbxContent>
                          <w:p>
                            <w:pPr>
                              <w:pStyle w:val="Contedodoquadro"/>
                              <w:spacing w:lineRule="auto" w:line="240" w:before="0" w:after="0"/>
                              <w:rPr>
                                <w:rFonts w:ascii="Arial" w:hAnsi="Arial" w:cs="Arial"/>
                                <w:sz w:val="20"/>
                                <w:szCs w:val="20"/>
                              </w:rPr>
                            </w:pPr>
                            <w:r>
                              <w:rPr>
                                <w:rFonts w:cs="Arial"/>
                                <w:b/>
                                <w:color w:val="auto"/>
                                <w:sz w:val="20"/>
                                <w:szCs w:val="20"/>
                              </w:rPr>
                              <w:t>Duração do curso</w:t>
                            </w:r>
                            <w:r>
                              <w:rPr>
                                <w:rFonts w:cs="Arial"/>
                                <w:color w:val="auto"/>
                                <w:sz w:val="20"/>
                                <w:szCs w:val="20"/>
                              </w:rPr>
                              <w:t>: mínima 4 anos</w:t>
                            </w:r>
                          </w:p>
                          <w:p>
                            <w:pPr>
                              <w:pStyle w:val="Contedodoquadro"/>
                              <w:spacing w:lineRule="auto" w:line="240" w:before="0" w:after="0"/>
                              <w:rPr>
                                <w:color w:val="auto"/>
                              </w:rPr>
                            </w:pPr>
                            <w:r>
                              <w:rPr>
                                <w:rFonts w:cs="Arial"/>
                                <w:color w:val="auto"/>
                                <w:sz w:val="20"/>
                                <w:szCs w:val="20"/>
                              </w:rPr>
                              <w:tab/>
                              <w:tab/>
                              <w:t xml:space="preserve">      máxima 6 anos</w:t>
                            </w:r>
                          </w:p>
                        </w:txbxContent>
                      </wps:txbx>
                      <wps:bodyPr>
                        <a:noAutofit/>
                      </wps:bodyPr>
                    </wps:wsp>
                  </a:graphicData>
                </a:graphic>
              </wp:anchor>
            </w:drawing>
          </mc:Choice>
          <mc:Fallback>
            <w:pict>
              <v:rect id="shape_0" ID="Caixa de Texto 2" stroked="f" style="position:absolute;margin-left:633.6pt;margin-top:-16.8pt;width:171.55pt;height:33.1pt;mso-position-horizontal-relative:page" wp14:anchorId="6F829C2B">
                <w10:wrap type="square"/>
                <v:fill o:detectmouseclick="t" on="false"/>
                <v:stroke color="#3465a4" weight="9360" joinstyle="miter" endcap="flat"/>
                <v:textbox>
                  <w:txbxContent>
                    <w:p>
                      <w:pPr>
                        <w:pStyle w:val="Contedodoquadro"/>
                        <w:spacing w:lineRule="auto" w:line="240" w:before="0" w:after="0"/>
                        <w:rPr>
                          <w:rFonts w:ascii="Arial" w:hAnsi="Arial" w:cs="Arial"/>
                          <w:sz w:val="20"/>
                          <w:szCs w:val="20"/>
                        </w:rPr>
                      </w:pPr>
                      <w:r>
                        <w:rPr>
                          <w:rFonts w:cs="Arial"/>
                          <w:b/>
                          <w:color w:val="auto"/>
                          <w:sz w:val="20"/>
                          <w:szCs w:val="20"/>
                        </w:rPr>
                        <w:t>Duração do curso</w:t>
                      </w:r>
                      <w:r>
                        <w:rPr>
                          <w:rFonts w:cs="Arial"/>
                          <w:color w:val="auto"/>
                          <w:sz w:val="20"/>
                          <w:szCs w:val="20"/>
                        </w:rPr>
                        <w:t>: mínima 4 anos</w:t>
                      </w:r>
                    </w:p>
                    <w:p>
                      <w:pPr>
                        <w:pStyle w:val="Contedodoquadro"/>
                        <w:spacing w:lineRule="auto" w:line="240" w:before="0" w:after="0"/>
                        <w:rPr>
                          <w:color w:val="auto"/>
                        </w:rPr>
                      </w:pPr>
                      <w:r>
                        <w:rPr>
                          <w:rFonts w:cs="Arial"/>
                          <w:color w:val="auto"/>
                          <w:sz w:val="20"/>
                          <w:szCs w:val="20"/>
                        </w:rPr>
                        <w:tab/>
                        <w:tab/>
                        <w:t xml:space="preserve">      máxima 6 anos</w:t>
                      </w:r>
                    </w:p>
                  </w:txbxContent>
                </v:textbox>
              </v:rect>
            </w:pict>
          </mc:Fallback>
        </mc:AlternateContent>
      </w:r>
      <w:r>
        <w:rPr>
          <w:rFonts w:eastAsia="Calibri" w:cs="Arial" w:ascii="Arial" w:hAnsi="Arial"/>
          <w:b/>
          <w:i/>
          <w:sz w:val="24"/>
          <w:szCs w:val="28"/>
        </w:rPr>
        <w:t>1</w:t>
      </w:r>
      <w:r>
        <w:rPr>
          <w:rFonts w:eastAsia="Calibri" w:cs="Arial" w:ascii="Arial" w:hAnsi="Arial"/>
          <w:b/>
          <w:i/>
          <w:sz w:val="24"/>
          <w:szCs w:val="24"/>
        </w:rPr>
        <w:t>0.3.  FLUXOGRAMA DO CURSO LICENCIATURA EM HISTÓRIA</w:t>
      </w:r>
    </w:p>
    <w:p>
      <w:pPr>
        <w:pStyle w:val="Normal"/>
        <w:rPr>
          <w:rFonts w:ascii="Arial" w:hAnsi="Arial" w:cs="Arial"/>
          <w:b/>
          <w:b/>
          <w:sz w:val="28"/>
          <w:szCs w:val="28"/>
        </w:rPr>
      </w:pPr>
      <w:r>
        <w:rPr>
          <w:rFonts w:cs="Arial" w:ascii="Arial" w:hAnsi="Arial"/>
          <w:b/>
          <w:sz w:val="28"/>
          <w:szCs w:val="28"/>
        </w:rPr>
      </w:r>
    </w:p>
    <w:p>
      <w:pPr>
        <w:pStyle w:val="Normal"/>
        <w:tabs>
          <w:tab w:val="left" w:pos="3807" w:leader="none"/>
          <w:tab w:val="left" w:pos="6180" w:leader="none"/>
        </w:tabs>
        <w:rPr>
          <w:rFonts w:ascii="Arial" w:hAnsi="Arial" w:cs="Arial"/>
          <w:b/>
          <w:b/>
          <w:sz w:val="28"/>
          <w:szCs w:val="28"/>
        </w:rPr>
      </w:pPr>
      <w:r>
        <w:rPr>
          <w:rFonts w:cs="Arial" w:ascii="Arial" w:hAnsi="Arial"/>
          <w:b/>
          <w:sz w:val="28"/>
          <w:szCs w:val="28"/>
        </w:rPr>
        <w:tab/>
        <w:tab/>
      </w:r>
    </w:p>
    <w:p>
      <w:pPr>
        <w:pStyle w:val="Normal"/>
        <w:tabs>
          <w:tab w:val="left" w:pos="360" w:leader="none"/>
          <w:tab w:val="left" w:pos="5896" w:leader="none"/>
          <w:tab w:val="center" w:pos="7002" w:leader="none"/>
        </w:tabs>
        <w:rPr>
          <w:rFonts w:ascii="Arial" w:hAnsi="Arial" w:cs="Arial"/>
          <w:b/>
          <w:b/>
          <w:sz w:val="28"/>
          <w:szCs w:val="28"/>
        </w:rPr>
      </w:pPr>
      <w:r>
        <w:rPr>
          <w:rFonts w:cs="Arial" w:ascii="Arial" w:hAnsi="Arial"/>
          <w:b/>
          <w:sz w:val="28"/>
          <w:szCs w:val="28"/>
        </w:rPr>
        <w:tab/>
        <w:tab/>
        <w:tab/>
      </w:r>
    </w:p>
    <w:p>
      <w:pPr>
        <w:pStyle w:val="Normal"/>
        <w:tabs>
          <w:tab w:val="left" w:pos="6285" w:leader="none"/>
        </w:tabs>
        <w:rPr>
          <w:rFonts w:ascii="Arial" w:hAnsi="Arial" w:cs="Arial"/>
          <w:b/>
          <w:b/>
          <w:sz w:val="28"/>
          <w:szCs w:val="28"/>
        </w:rPr>
      </w:pPr>
      <w:r>
        <w:rPr>
          <w:rFonts w:cs="Arial" w:ascii="Arial" w:hAnsi="Arial"/>
          <w:b/>
          <w:sz w:val="28"/>
          <w:szCs w:val="28"/>
        </w:rPr>
        <w:tab/>
      </w:r>
    </w:p>
    <w:p>
      <w:pPr>
        <w:pStyle w:val="Normal"/>
        <w:tabs>
          <w:tab w:val="left" w:pos="2216" w:leader="none"/>
        </w:tabs>
        <w:rPr>
          <w:rFonts w:ascii="Arial" w:hAnsi="Arial" w:cs="Arial"/>
          <w:b/>
          <w:b/>
          <w:sz w:val="28"/>
          <w:szCs w:val="28"/>
        </w:rPr>
      </w:pPr>
      <w:r>
        <w:rPr>
          <w:rFonts w:cs="Arial" w:ascii="Arial" w:hAnsi="Arial"/>
          <w:b/>
          <w:sz w:val="28"/>
          <w:szCs w:val="28"/>
        </w:rPr>
        <w:tab/>
      </w:r>
    </w:p>
    <w:p>
      <w:pPr>
        <w:sectPr>
          <w:headerReference w:type="default" r:id="rId11"/>
          <w:footerReference w:type="default" r:id="rId12"/>
          <w:footnotePr>
            <w:numFmt w:val="decimal"/>
          </w:footnotePr>
          <w:type w:val="nextPage"/>
          <w:pgSz w:orient="landscape" w:w="16838" w:h="11906"/>
          <w:pgMar w:left="1417" w:right="1417" w:header="708" w:top="1701" w:footer="708" w:bottom="1701" w:gutter="0"/>
          <w:pgNumType w:fmt="decimal"/>
          <w:formProt w:val="false"/>
          <w:textDirection w:val="lrTb"/>
          <w:docGrid w:type="default" w:linePitch="360" w:charSpace="4294965247"/>
        </w:sectPr>
        <w:pStyle w:val="Normal"/>
        <w:rPr>
          <w:rFonts w:ascii="Arial" w:hAnsi="Arial" w:cs="Arial"/>
          <w:b/>
          <w:b/>
          <w:sz w:val="28"/>
          <w:szCs w:val="28"/>
        </w:rPr>
      </w:pPr>
      <w:r>
        <w:rPr>
          <w:rFonts w:cs="Arial" w:ascii="Arial" w:hAnsi="Arial"/>
          <w:b/>
          <w:sz w:val="28"/>
          <w:szCs w:val="28"/>
        </w:rPr>
        <mc:AlternateContent>
          <mc:Choice Requires="wps">
            <w:drawing>
              <wp:anchor behindDoc="0" distT="0" distB="0" distL="114300" distR="114300" simplePos="0" locked="0" layoutInCell="1" allowOverlap="1" relativeHeight="2" wp14:anchorId="1133957E">
                <wp:simplePos x="0" y="0"/>
                <wp:positionH relativeFrom="column">
                  <wp:posOffset>6755765</wp:posOffset>
                </wp:positionH>
                <wp:positionV relativeFrom="paragraph">
                  <wp:posOffset>795655</wp:posOffset>
                </wp:positionV>
                <wp:extent cx="307975" cy="7620"/>
                <wp:effectExtent l="0" t="57150" r="35560" b="88265"/>
                <wp:wrapNone/>
                <wp:docPr id="6" name="Conector de seta reta 3"/>
                <a:graphic xmlns:a="http://schemas.openxmlformats.org/drawingml/2006/main">
                  <a:graphicData uri="http://schemas.microsoft.com/office/word/2010/wordprocessingShape">
                    <wps:wsp>
                      <wps:cNvSpPr/>
                      <wps:spPr>
                        <a:xfrm>
                          <a:off x="0" y="0"/>
                          <a:ext cx="307440" cy="6840"/>
                        </a:xfrm>
                        <a:custGeom>
                          <a:avLst/>
                          <a:gdLst/>
                          <a:ahLst/>
                          <a:rect l="l" t="t" r="r" b="b"/>
                          <a:pathLst>
                            <a:path w="21600" h="21600">
                              <a:moveTo>
                                <a:pt x="0" y="0"/>
                              </a:moveTo>
                              <a:lnTo>
                                <a:pt x="21600" y="21600"/>
                              </a:lnTo>
                            </a:path>
                          </a:pathLst>
                        </a:custGeom>
                        <a:noFill/>
                        <a:ln w="6480">
                          <a:solidFill>
                            <a:srgbClr val="000000"/>
                          </a:solidFill>
                          <a:miter/>
                          <a:tailEnd len="med" type="triangle" w="med"/>
                        </a:ln>
                      </wps:spPr>
                      <wps:style>
                        <a:lnRef idx="0"/>
                        <a:fillRef idx="0"/>
                        <a:effectRef idx="0"/>
                        <a:fontRef idx="minor"/>
                      </wps:style>
                      <wps:bodyPr/>
                    </wps:wsp>
                  </a:graphicData>
                </a:graphic>
              </wp:anchor>
            </w:drawing>
          </mc:Choice>
          <mc:Fallback>
            <w:pict>
              <v:shapetype id="shapetype_32" coordsize="21600,21600" o:spt="32" path="m,l21600,21600nfe">
                <v:stroke joinstyle="miter"/>
                <v:path gradientshapeok="t" o:connecttype="rect" textboxrect="0,0,21600,21600"/>
              </v:shapetype>
              <v:shape id="shape_0" ID="Conector de seta reta 3" stroked="t" style="position:absolute;margin-left:531.95pt;margin-top:62.65pt;width:24.15pt;height:0.5pt" wp14:anchorId="1133957E" type="shapetype_32">
                <w10:wrap type="none"/>
                <v:fill o:detectmouseclick="t" on="false"/>
                <v:stroke color="black" weight="6480" endarrow="block" endarrowwidth="medium" endarrowlength="medium" joinstyle="miter" endcap="flat"/>
              </v:shape>
            </w:pict>
          </mc:Fallback>
        </mc:AlternateContent>
        <mc:AlternateContent>
          <mc:Choice Requires="wps">
            <w:drawing>
              <wp:anchor behindDoc="0" distT="0" distB="0" distL="114300" distR="114300" simplePos="0" locked="0" layoutInCell="1" allowOverlap="1" relativeHeight="3" wp14:anchorId="65657B7C">
                <wp:simplePos x="0" y="0"/>
                <wp:positionH relativeFrom="column">
                  <wp:posOffset>8020685</wp:posOffset>
                </wp:positionH>
                <wp:positionV relativeFrom="paragraph">
                  <wp:posOffset>909320</wp:posOffset>
                </wp:positionV>
                <wp:extent cx="287020" cy="184785"/>
                <wp:effectExtent l="0" t="0" r="75565" b="63500"/>
                <wp:wrapNone/>
                <wp:docPr id="7" name="Conector de seta reta 5"/>
                <a:graphic xmlns:a="http://schemas.openxmlformats.org/drawingml/2006/main">
                  <a:graphicData uri="http://schemas.microsoft.com/office/word/2010/wordprocessingShape">
                    <wps:wsp>
                      <wps:cNvSpPr/>
                      <wps:spPr>
                        <a:xfrm>
                          <a:off x="0" y="0"/>
                          <a:ext cx="286560" cy="184320"/>
                        </a:xfrm>
                        <a:custGeom>
                          <a:avLst/>
                          <a:gdLst/>
                          <a:ahLst/>
                          <a:rect l="l" t="t" r="r" b="b"/>
                          <a:pathLst>
                            <a:path w="21600" h="21600">
                              <a:moveTo>
                                <a:pt x="0" y="0"/>
                              </a:moveTo>
                              <a:lnTo>
                                <a:pt x="21600" y="21600"/>
                              </a:lnTo>
                            </a:path>
                          </a:pathLst>
                        </a:custGeom>
                        <a:noFill/>
                        <a:ln w="6480">
                          <a:solidFill>
                            <a:srgbClr val="000000"/>
                          </a:solidFill>
                          <a:miter/>
                          <a:tailEnd len="med" type="triangle" w="med"/>
                        </a:ln>
                      </wps:spPr>
                      <wps:style>
                        <a:lnRef idx="0"/>
                        <a:fillRef idx="0"/>
                        <a:effectRef idx="0"/>
                        <a:fontRef idx="minor"/>
                      </wps:style>
                      <wps:bodyPr/>
                    </wps:wsp>
                  </a:graphicData>
                </a:graphic>
              </wp:anchor>
            </w:drawing>
          </mc:Choice>
          <mc:Fallback>
            <w:pict>
              <v:shape id="shape_0" ID="Conector de seta reta 5" stroked="t" style="position:absolute;margin-left:631.55pt;margin-top:71.6pt;width:22.5pt;height:14.45pt" wp14:anchorId="65657B7C" type="shapetype_32">
                <w10:wrap type="none"/>
                <v:fill o:detectmouseclick="t" on="false"/>
                <v:stroke color="black" weight="6480" endarrow="block" endarrowwidth="medium" endarrowlength="medium" joinstyle="miter" endcap="flat"/>
              </v:shape>
            </w:pict>
          </mc:Fallback>
        </mc:AlternateContent>
        <mc:AlternateContent>
          <mc:Choice Requires="wps">
            <w:drawing>
              <wp:anchor behindDoc="0" distT="0" distB="0" distL="114300" distR="114300" simplePos="0" locked="0" layoutInCell="1" allowOverlap="1" relativeHeight="4" wp14:anchorId="353F985C">
                <wp:simplePos x="0" y="0"/>
                <wp:positionH relativeFrom="margin">
                  <wp:posOffset>-468630</wp:posOffset>
                </wp:positionH>
                <wp:positionV relativeFrom="paragraph">
                  <wp:posOffset>1733550</wp:posOffset>
                </wp:positionV>
                <wp:extent cx="9817735" cy="273050"/>
                <wp:effectExtent l="0" t="0" r="0" b="0"/>
                <wp:wrapNone/>
                <wp:docPr id="8" name="Retângulo 7"/>
                <a:graphic xmlns:a="http://schemas.openxmlformats.org/drawingml/2006/main">
                  <a:graphicData uri="http://schemas.microsoft.com/office/word/2010/wordprocessingShape">
                    <wps:wsp>
                      <wps:cNvSpPr/>
                      <wps:spPr>
                        <a:xfrm>
                          <a:off x="0" y="0"/>
                          <a:ext cx="9817200" cy="272520"/>
                        </a:xfrm>
                        <a:prstGeom prst="rect">
                          <a:avLst/>
                        </a:prstGeom>
                        <a:solidFill>
                          <a:srgbClr val="808080"/>
                        </a:solidFill>
                        <a:ln w="12600">
                          <a:noFill/>
                        </a:ln>
                      </wps:spPr>
                      <wps:style>
                        <a:lnRef idx="0"/>
                        <a:fillRef idx="0"/>
                        <a:effectRef idx="0"/>
                        <a:fontRef idx="minor"/>
                      </wps:style>
                      <wps:txbx>
                        <w:txbxContent>
                          <w:p>
                            <w:pPr>
                              <w:pStyle w:val="Contedodoquadro"/>
                              <w:jc w:val="center"/>
                              <w:rPr>
                                <w:color w:val="auto"/>
                              </w:rPr>
                            </w:pPr>
                            <w:r>
                              <w:rPr>
                                <w:b/>
                                <w:color w:val="auto"/>
                              </w:rPr>
                              <w:t>200 horas de Atividades complementares</w:t>
                            </w:r>
                          </w:p>
                        </w:txbxContent>
                      </wps:txbx>
                      <wps:bodyPr anchor="ctr">
                        <a:prstTxWarp prst="textNoShape"/>
                        <a:noAutofit/>
                      </wps:bodyPr>
                    </wps:wsp>
                  </a:graphicData>
                </a:graphic>
              </wp:anchor>
            </w:drawing>
          </mc:Choice>
          <mc:Fallback>
            <w:pict>
              <v:rect id="shape_0" ID="Retângulo 7" fillcolor="gray" stroked="f" style="position:absolute;margin-left:-36.9pt;margin-top:136.5pt;width:772.95pt;height:21.4pt;mso-position-horizontal-relative:margin" wp14:anchorId="353F985C">
                <w10:wrap type="square"/>
                <v:fill o:detectmouseclick="t" type="solid" color2="#7f7f7f"/>
                <v:stroke color="#3465a4" weight="12600" joinstyle="miter" endcap="flat"/>
                <v:textbox>
                  <w:txbxContent>
                    <w:p>
                      <w:pPr>
                        <w:pStyle w:val="Contedodoquadro"/>
                        <w:jc w:val="center"/>
                        <w:rPr>
                          <w:color w:val="auto"/>
                        </w:rPr>
                      </w:pPr>
                      <w:r>
                        <w:rPr>
                          <w:b/>
                          <w:color w:val="auto"/>
                        </w:rPr>
                        <w:t>200 horas de Atividades complementares</w:t>
                      </w:r>
                    </w:p>
                  </w:txbxContent>
                </v:textbox>
              </v:rect>
            </w:pict>
          </mc:Fallback>
        </mc:AlternateContent>
        <mc:AlternateContent>
          <mc:Choice Requires="wps">
            <w:drawing>
              <wp:anchor behindDoc="0" distT="0" distB="0" distL="114300" distR="114300" simplePos="0" locked="0" layoutInCell="1" allowOverlap="1" relativeHeight="5" wp14:anchorId="75D61809">
                <wp:simplePos x="0" y="0"/>
                <wp:positionH relativeFrom="margin">
                  <wp:posOffset>1052830</wp:posOffset>
                </wp:positionH>
                <wp:positionV relativeFrom="paragraph">
                  <wp:posOffset>2129790</wp:posOffset>
                </wp:positionV>
                <wp:extent cx="210185" cy="166370"/>
                <wp:effectExtent l="0" t="0" r="0" b="5715"/>
                <wp:wrapNone/>
                <wp:docPr id="10" name="Retângulo 8"/>
                <a:graphic xmlns:a="http://schemas.openxmlformats.org/drawingml/2006/main">
                  <a:graphicData uri="http://schemas.microsoft.com/office/word/2010/wordprocessingShape">
                    <wps:wsp>
                      <wps:cNvSpPr/>
                      <wps:spPr>
                        <a:xfrm>
                          <a:off x="0" y="0"/>
                          <a:ext cx="209520" cy="165600"/>
                        </a:xfrm>
                        <a:prstGeom prst="rect">
                          <a:avLst/>
                        </a:prstGeom>
                        <a:solidFill>
                          <a:srgbClr val="c55a11"/>
                        </a:solidFill>
                        <a:ln w="12600">
                          <a:noFill/>
                        </a:ln>
                      </wps:spPr>
                      <wps:style>
                        <a:lnRef idx="0"/>
                        <a:fillRef idx="0"/>
                        <a:effectRef idx="0"/>
                        <a:fontRef idx="minor"/>
                      </wps:style>
                      <wps:bodyPr/>
                    </wps:wsp>
                  </a:graphicData>
                </a:graphic>
              </wp:anchor>
            </w:drawing>
          </mc:Choice>
          <mc:Fallback>
            <w:pict>
              <v:rect id="shape_0" ID="Retângulo 8" fillcolor="#c55a11" stroked="f" style="position:absolute;margin-left:82.9pt;margin-top:167.7pt;width:16.45pt;height:13pt;mso-position-horizontal-relative:margin" wp14:anchorId="75D61809">
                <w10:wrap type="none"/>
                <v:fill o:detectmouseclick="t" type="solid" color2="#3aa5ee"/>
                <v:stroke color="#3465a4" weight="12600" joinstyle="miter" endcap="flat"/>
              </v:rect>
            </w:pict>
          </mc:Fallback>
        </mc:AlternateContent>
        <mc:AlternateContent>
          <mc:Choice Requires="wps">
            <w:drawing>
              <wp:anchor behindDoc="0" distT="0" distB="0" distL="114300" distR="114300" simplePos="0" locked="0" layoutInCell="1" allowOverlap="1" relativeHeight="6" wp14:anchorId="0D873ED8">
                <wp:simplePos x="0" y="0"/>
                <wp:positionH relativeFrom="column">
                  <wp:posOffset>-290195</wp:posOffset>
                </wp:positionH>
                <wp:positionV relativeFrom="paragraph">
                  <wp:posOffset>2129790</wp:posOffset>
                </wp:positionV>
                <wp:extent cx="229235" cy="166370"/>
                <wp:effectExtent l="0" t="0" r="0" b="5715"/>
                <wp:wrapNone/>
                <wp:docPr id="11" name="Retângulo 9"/>
                <a:graphic xmlns:a="http://schemas.openxmlformats.org/drawingml/2006/main">
                  <a:graphicData uri="http://schemas.microsoft.com/office/word/2010/wordprocessingShape">
                    <wps:wsp>
                      <wps:cNvSpPr/>
                      <wps:spPr>
                        <a:xfrm>
                          <a:off x="0" y="0"/>
                          <a:ext cx="228600" cy="165600"/>
                        </a:xfrm>
                        <a:prstGeom prst="rect">
                          <a:avLst/>
                        </a:prstGeom>
                        <a:solidFill>
                          <a:srgbClr val="00b050"/>
                        </a:solidFill>
                        <a:ln w="12600">
                          <a:noFill/>
                        </a:ln>
                      </wps:spPr>
                      <wps:style>
                        <a:lnRef idx="0"/>
                        <a:fillRef idx="0"/>
                        <a:effectRef idx="0"/>
                        <a:fontRef idx="minor"/>
                      </wps:style>
                      <wps:bodyPr/>
                    </wps:wsp>
                  </a:graphicData>
                </a:graphic>
              </wp:anchor>
            </w:drawing>
          </mc:Choice>
          <mc:Fallback>
            <w:pict>
              <v:rect id="shape_0" ID="Retângulo 9" fillcolor="#00b050" stroked="f" style="position:absolute;margin-left:-22.85pt;margin-top:167.7pt;width:17.95pt;height:13pt" wp14:anchorId="0D873ED8">
                <w10:wrap type="none"/>
                <v:fill o:detectmouseclick="t" type="solid" color2="#ff4faf"/>
                <v:stroke color="#3465a4" weight="12600" joinstyle="miter" endcap="flat"/>
              </v:rect>
            </w:pict>
          </mc:Fallback>
        </mc:AlternateContent>
        <mc:AlternateContent>
          <mc:Choice Requires="wps">
            <w:drawing>
              <wp:anchor behindDoc="0" distT="0" distB="0" distL="114300" distR="113665" simplePos="0" locked="0" layoutInCell="1" allowOverlap="1" relativeHeight="7" wp14:anchorId="07656F5F">
                <wp:simplePos x="0" y="0"/>
                <wp:positionH relativeFrom="column">
                  <wp:posOffset>2280920</wp:posOffset>
                </wp:positionH>
                <wp:positionV relativeFrom="paragraph">
                  <wp:posOffset>2129790</wp:posOffset>
                </wp:positionV>
                <wp:extent cx="219710" cy="162560"/>
                <wp:effectExtent l="0" t="0" r="9525" b="9525"/>
                <wp:wrapNone/>
                <wp:docPr id="12" name="Retângulo 10"/>
                <a:graphic xmlns:a="http://schemas.openxmlformats.org/drawingml/2006/main">
                  <a:graphicData uri="http://schemas.microsoft.com/office/word/2010/wordprocessingShape">
                    <wps:wsp>
                      <wps:cNvSpPr/>
                      <wps:spPr>
                        <a:xfrm>
                          <a:off x="0" y="0"/>
                          <a:ext cx="219240" cy="162000"/>
                        </a:xfrm>
                        <a:prstGeom prst="rect">
                          <a:avLst/>
                        </a:prstGeom>
                        <a:solidFill>
                          <a:srgbClr val="00b0f0"/>
                        </a:solidFill>
                        <a:ln w="12600">
                          <a:noFill/>
                        </a:ln>
                      </wps:spPr>
                      <wps:style>
                        <a:lnRef idx="0"/>
                        <a:fillRef idx="0"/>
                        <a:effectRef idx="0"/>
                        <a:fontRef idx="minor"/>
                      </wps:style>
                      <wps:bodyPr/>
                    </wps:wsp>
                  </a:graphicData>
                </a:graphic>
              </wp:anchor>
            </w:drawing>
          </mc:Choice>
          <mc:Fallback>
            <w:pict>
              <v:rect id="shape_0" ID="Retângulo 10" fillcolor="#00b0f0" stroked="f" style="position:absolute;margin-left:179.6pt;margin-top:167.7pt;width:17.2pt;height:12.7pt" wp14:anchorId="07656F5F">
                <w10:wrap type="none"/>
                <v:fill o:detectmouseclick="t" type="solid" color2="#ff4f0f"/>
                <v:stroke color="#3465a4" weight="12600" joinstyle="miter" endcap="flat"/>
              </v:rect>
            </w:pict>
          </mc:Fallback>
        </mc:AlternateContent>
        <mc:AlternateContent>
          <mc:Choice Requires="wps">
            <w:drawing>
              <wp:anchor behindDoc="1" distT="45720" distB="45720" distL="114300" distR="114300" simplePos="0" locked="0" layoutInCell="1" allowOverlap="1" relativeHeight="8" wp14:anchorId="6AC87E1E">
                <wp:simplePos x="0" y="0"/>
                <wp:positionH relativeFrom="column">
                  <wp:posOffset>1271905</wp:posOffset>
                </wp:positionH>
                <wp:positionV relativeFrom="paragraph">
                  <wp:posOffset>2072640</wp:posOffset>
                </wp:positionV>
                <wp:extent cx="600710" cy="238760"/>
                <wp:effectExtent l="0" t="0" r="0" b="0"/>
                <wp:wrapTight wrapText="bothSides">
                  <wp:wrapPolygon edited="0">
                    <wp:start x="2057" y="0"/>
                    <wp:lineTo x="2057" y="19008"/>
                    <wp:lineTo x="19200" y="19008"/>
                    <wp:lineTo x="19200" y="0"/>
                    <wp:lineTo x="2057" y="0"/>
                  </wp:wrapPolygon>
                </wp:wrapTight>
                <wp:docPr id="13" name="Caixa de Texto 2"/>
                <a:graphic xmlns:a="http://schemas.openxmlformats.org/drawingml/2006/main">
                  <a:graphicData uri="http://schemas.microsoft.com/office/word/2010/wordprocessingShape">
                    <wps:wsp>
                      <wps:cNvSpPr/>
                      <wps:spPr>
                        <a:xfrm>
                          <a:off x="0" y="0"/>
                          <a:ext cx="600120" cy="237960"/>
                        </a:xfrm>
                        <a:prstGeom prst="rect">
                          <a:avLst/>
                        </a:prstGeom>
                        <a:noFill/>
                        <a:ln w="9360">
                          <a:noFill/>
                        </a:ln>
                      </wps:spPr>
                      <wps:style>
                        <a:lnRef idx="0"/>
                        <a:fillRef idx="0"/>
                        <a:effectRef idx="0"/>
                        <a:fontRef idx="minor"/>
                      </wps:style>
                      <wps:txbx>
                        <w:txbxContent>
                          <w:p>
                            <w:pPr>
                              <w:pStyle w:val="Contedodoquadro"/>
                              <w:rPr>
                                <w:color w:val="auto"/>
                              </w:rPr>
                            </w:pPr>
                            <w:r>
                              <w:rPr>
                                <w:color w:val="auto"/>
                              </w:rPr>
                              <w:t>Eixo 2</w:t>
                            </w:r>
                          </w:p>
                        </w:txbxContent>
                      </wps:txbx>
                      <wps:bodyPr>
                        <a:noAutofit/>
                      </wps:bodyPr>
                    </wps:wsp>
                  </a:graphicData>
                </a:graphic>
              </wp:anchor>
            </w:drawing>
          </mc:Choice>
          <mc:Fallback>
            <w:pict>
              <v:rect id="shape_0" ID="Caixa de Texto 2" stroked="f" style="position:absolute;margin-left:100.15pt;margin-top:163.2pt;width:47.2pt;height:18.7pt" wp14:anchorId="6AC87E1E">
                <w10:wrap type="square"/>
                <v:fill o:detectmouseclick="t" on="false"/>
                <v:stroke color="#3465a4" weight="9360" joinstyle="miter" endcap="flat"/>
                <v:textbox>
                  <w:txbxContent>
                    <w:p>
                      <w:pPr>
                        <w:pStyle w:val="Contedodoquadro"/>
                        <w:rPr>
                          <w:color w:val="auto"/>
                        </w:rPr>
                      </w:pPr>
                      <w:r>
                        <w:rPr>
                          <w:color w:val="auto"/>
                        </w:rPr>
                        <w:t>Eixo 2</w:t>
                      </w:r>
                    </w:p>
                  </w:txbxContent>
                </v:textbox>
              </v:rect>
            </w:pict>
          </mc:Fallback>
        </mc:AlternateContent>
        <mc:AlternateContent>
          <mc:Choice Requires="wps">
            <w:drawing>
              <wp:anchor behindDoc="1" distT="45720" distB="45720" distL="114300" distR="114300" simplePos="0" locked="0" layoutInCell="1" allowOverlap="1" relativeHeight="10" wp14:anchorId="65F65C5D">
                <wp:simplePos x="0" y="0"/>
                <wp:positionH relativeFrom="margin">
                  <wp:posOffset>-52070</wp:posOffset>
                </wp:positionH>
                <wp:positionV relativeFrom="paragraph">
                  <wp:posOffset>2063115</wp:posOffset>
                </wp:positionV>
                <wp:extent cx="629285" cy="238760"/>
                <wp:effectExtent l="0" t="0" r="0" b="9525"/>
                <wp:wrapTight wrapText="bothSides">
                  <wp:wrapPolygon edited="0">
                    <wp:start x="0" y="0"/>
                    <wp:lineTo x="0" y="20736"/>
                    <wp:lineTo x="20945" y="20736"/>
                    <wp:lineTo x="20945" y="0"/>
                    <wp:lineTo x="0" y="0"/>
                  </wp:wrapPolygon>
                </wp:wrapTight>
                <wp:docPr id="15" name="Caixa de Texto 2"/>
                <a:graphic xmlns:a="http://schemas.openxmlformats.org/drawingml/2006/main">
                  <a:graphicData uri="http://schemas.microsoft.com/office/word/2010/wordprocessingShape">
                    <wps:wsp>
                      <wps:cNvSpPr/>
                      <wps:spPr>
                        <a:xfrm>
                          <a:off x="0" y="0"/>
                          <a:ext cx="628560" cy="237960"/>
                        </a:xfrm>
                        <a:prstGeom prst="rect">
                          <a:avLst/>
                        </a:prstGeom>
                        <a:solidFill>
                          <a:srgbClr val="ffffff"/>
                        </a:solidFill>
                        <a:ln w="9360">
                          <a:noFill/>
                        </a:ln>
                      </wps:spPr>
                      <wps:style>
                        <a:lnRef idx="0"/>
                        <a:fillRef idx="0"/>
                        <a:effectRef idx="0"/>
                        <a:fontRef idx="minor"/>
                      </wps:style>
                      <wps:txbx>
                        <w:txbxContent>
                          <w:p>
                            <w:pPr>
                              <w:pStyle w:val="Contedodoquadro"/>
                              <w:rPr>
                                <w:color w:val="auto"/>
                              </w:rPr>
                            </w:pPr>
                            <w:r>
                              <w:rPr>
                                <w:color w:val="auto"/>
                              </w:rPr>
                              <w:t>Eixo 1</w:t>
                            </w:r>
                          </w:p>
                        </w:txbxContent>
                      </wps:txbx>
                      <wps:bodyPr>
                        <a:noAutofit/>
                      </wps:bodyPr>
                    </wps:wsp>
                  </a:graphicData>
                </a:graphic>
              </wp:anchor>
            </w:drawing>
          </mc:Choice>
          <mc:Fallback>
            <w:pict>
              <v:rect id="shape_0" ID="Caixa de Texto 2" fillcolor="white" stroked="f" style="position:absolute;margin-left:-4.1pt;margin-top:162.45pt;width:49.45pt;height:18.7pt;mso-position-horizontal-relative:margin" wp14:anchorId="65F65C5D">
                <w10:wrap type="square"/>
                <v:fill o:detectmouseclick="t" type="solid" color2="black"/>
                <v:stroke color="#3465a4" weight="9360" joinstyle="miter" endcap="flat"/>
                <v:textbox>
                  <w:txbxContent>
                    <w:p>
                      <w:pPr>
                        <w:pStyle w:val="Contedodoquadro"/>
                        <w:rPr>
                          <w:color w:val="auto"/>
                        </w:rPr>
                      </w:pPr>
                      <w:r>
                        <w:rPr>
                          <w:color w:val="auto"/>
                        </w:rPr>
                        <w:t>Eixo 1</w:t>
                      </w:r>
                    </w:p>
                  </w:txbxContent>
                </v:textbox>
              </v:rect>
            </w:pict>
          </mc:Fallback>
        </mc:AlternateContent>
        <mc:AlternateContent>
          <mc:Choice Requires="wps">
            <w:drawing>
              <wp:anchor behindDoc="1" distT="45720" distB="45720" distL="114300" distR="113665" simplePos="0" locked="0" layoutInCell="1" allowOverlap="1" relativeHeight="11" wp14:anchorId="3C4A85C8">
                <wp:simplePos x="0" y="0"/>
                <wp:positionH relativeFrom="margin">
                  <wp:posOffset>2529205</wp:posOffset>
                </wp:positionH>
                <wp:positionV relativeFrom="paragraph">
                  <wp:posOffset>2063115</wp:posOffset>
                </wp:positionV>
                <wp:extent cx="600710" cy="238760"/>
                <wp:effectExtent l="0" t="0" r="9525" b="9525"/>
                <wp:wrapTight wrapText="bothSides">
                  <wp:wrapPolygon edited="0">
                    <wp:start x="0" y="0"/>
                    <wp:lineTo x="0" y="20736"/>
                    <wp:lineTo x="21257" y="20736"/>
                    <wp:lineTo x="21257" y="0"/>
                    <wp:lineTo x="0" y="0"/>
                  </wp:wrapPolygon>
                </wp:wrapTight>
                <wp:docPr id="17" name="Caixa de Texto 2"/>
                <a:graphic xmlns:a="http://schemas.openxmlformats.org/drawingml/2006/main">
                  <a:graphicData uri="http://schemas.microsoft.com/office/word/2010/wordprocessingShape">
                    <wps:wsp>
                      <wps:cNvSpPr/>
                      <wps:spPr>
                        <a:xfrm>
                          <a:off x="0" y="0"/>
                          <a:ext cx="600120" cy="237960"/>
                        </a:xfrm>
                        <a:prstGeom prst="rect">
                          <a:avLst/>
                        </a:prstGeom>
                        <a:solidFill>
                          <a:srgbClr val="ffffff"/>
                        </a:solidFill>
                        <a:ln w="9360">
                          <a:noFill/>
                        </a:ln>
                      </wps:spPr>
                      <wps:style>
                        <a:lnRef idx="0"/>
                        <a:fillRef idx="0"/>
                        <a:effectRef idx="0"/>
                        <a:fontRef idx="minor"/>
                      </wps:style>
                      <wps:txbx>
                        <w:txbxContent>
                          <w:p>
                            <w:pPr>
                              <w:pStyle w:val="Contedodoquadro"/>
                              <w:rPr>
                                <w:color w:val="auto"/>
                              </w:rPr>
                            </w:pPr>
                            <w:r>
                              <w:rPr>
                                <w:color w:val="auto"/>
                              </w:rPr>
                              <w:t>Eixo 3</w:t>
                            </w:r>
                          </w:p>
                        </w:txbxContent>
                      </wps:txbx>
                      <wps:bodyPr>
                        <a:noAutofit/>
                      </wps:bodyPr>
                    </wps:wsp>
                  </a:graphicData>
                </a:graphic>
              </wp:anchor>
            </w:drawing>
          </mc:Choice>
          <mc:Fallback>
            <w:pict>
              <v:rect id="shape_0" ID="Caixa de Texto 2" fillcolor="white" stroked="f" style="position:absolute;margin-left:199.15pt;margin-top:162.45pt;width:47.2pt;height:18.7pt;mso-position-horizontal-relative:margin" wp14:anchorId="3C4A85C8">
                <w10:wrap type="square"/>
                <v:fill o:detectmouseclick="t" type="solid" color2="black"/>
                <v:stroke color="#3465a4" weight="9360" joinstyle="miter" endcap="flat"/>
                <v:textbox>
                  <w:txbxContent>
                    <w:p>
                      <w:pPr>
                        <w:pStyle w:val="Contedodoquadro"/>
                        <w:rPr>
                          <w:color w:val="auto"/>
                        </w:rPr>
                      </w:pPr>
                      <w:r>
                        <w:rPr>
                          <w:color w:val="auto"/>
                        </w:rPr>
                        <w:t>Eixo 3</w:t>
                      </w:r>
                    </w:p>
                  </w:txbxContent>
                </v:textbox>
              </v:rect>
            </w:pict>
          </mc:Fallback>
        </mc:AlternateContent>
        <mc:AlternateContent>
          <mc:Choice Requires="wps">
            <w:drawing>
              <wp:anchor behindDoc="1" distT="45720" distB="45720" distL="114300" distR="114300" simplePos="0" locked="0" layoutInCell="1" allowOverlap="1" relativeHeight="12" wp14:anchorId="638DA1C9">
                <wp:simplePos x="0" y="0"/>
                <wp:positionH relativeFrom="column">
                  <wp:posOffset>6901180</wp:posOffset>
                </wp:positionH>
                <wp:positionV relativeFrom="paragraph">
                  <wp:posOffset>2178050</wp:posOffset>
                </wp:positionV>
                <wp:extent cx="2457450" cy="462280"/>
                <wp:effectExtent l="0" t="0" r="635" b="0"/>
                <wp:wrapTight wrapText="bothSides">
                  <wp:wrapPolygon edited="0">
                    <wp:start x="0" y="0"/>
                    <wp:lineTo x="0" y="20501"/>
                    <wp:lineTo x="21438" y="20501"/>
                    <wp:lineTo x="21438" y="0"/>
                    <wp:lineTo x="0" y="0"/>
                  </wp:wrapPolygon>
                </wp:wrapTight>
                <wp:docPr id="19" name="Caixa de Texto 2"/>
                <a:graphic xmlns:a="http://schemas.openxmlformats.org/drawingml/2006/main">
                  <a:graphicData uri="http://schemas.microsoft.com/office/word/2010/wordprocessingShape">
                    <wps:wsp>
                      <wps:cNvSpPr/>
                      <wps:spPr>
                        <a:xfrm>
                          <a:off x="0" y="0"/>
                          <a:ext cx="2456640" cy="461520"/>
                        </a:xfrm>
                        <a:prstGeom prst="rect">
                          <a:avLst/>
                        </a:prstGeom>
                        <a:solidFill>
                          <a:srgbClr val="ffffff"/>
                        </a:solidFill>
                        <a:ln w="9360">
                          <a:noFill/>
                        </a:ln>
                      </wps:spPr>
                      <wps:style>
                        <a:lnRef idx="0"/>
                        <a:fillRef idx="0"/>
                        <a:effectRef idx="0"/>
                        <a:fontRef idx="minor"/>
                      </wps:style>
                      <wps:txbx>
                        <w:txbxContent>
                          <w:p>
                            <w:pPr>
                              <w:pStyle w:val="Contedodoquadro"/>
                              <w:rPr>
                                <w:color w:val="auto"/>
                              </w:rPr>
                            </w:pPr>
                            <w:r>
                              <w:rPr>
                                <w:color w:val="auto"/>
                              </w:rPr>
                              <w:t>* UC compartilhada e/ou oferecida para outros cursos</w:t>
                            </w:r>
                          </w:p>
                        </w:txbxContent>
                      </wps:txbx>
                      <wps:bodyPr>
                        <a:noAutofit/>
                      </wps:bodyPr>
                    </wps:wsp>
                  </a:graphicData>
                </a:graphic>
              </wp:anchor>
            </w:drawing>
          </mc:Choice>
          <mc:Fallback>
            <w:pict>
              <v:rect id="shape_0" ID="Caixa de Texto 2" fillcolor="white" stroked="f" style="position:absolute;margin-left:543.4pt;margin-top:171.5pt;width:193.4pt;height:36.3pt" wp14:anchorId="638DA1C9">
                <w10:wrap type="square"/>
                <v:fill o:detectmouseclick="t" type="solid" color2="black"/>
                <v:stroke color="#3465a4" weight="9360" joinstyle="miter" endcap="flat"/>
                <v:textbox>
                  <w:txbxContent>
                    <w:p>
                      <w:pPr>
                        <w:pStyle w:val="Contedodoquadro"/>
                        <w:rPr>
                          <w:color w:val="auto"/>
                        </w:rPr>
                      </w:pPr>
                      <w:r>
                        <w:rPr>
                          <w:color w:val="auto"/>
                        </w:rPr>
                        <w:t>* UC compartilhada e/ou oferecida para outros cursos</w:t>
                      </w:r>
                    </w:p>
                  </w:txbxContent>
                </v:textbox>
              </v:rect>
            </w:pict>
          </mc:Fallback>
        </mc:AlternateContent>
      </w:r>
    </w:p>
    <w:p>
      <w:pPr>
        <w:pStyle w:val="Normal"/>
        <w:spacing w:lineRule="auto" w:line="360" w:before="144" w:after="144"/>
        <w:jc w:val="both"/>
        <w:rPr>
          <w:rFonts w:ascii="Arial" w:hAnsi="Arial" w:cs="Arial"/>
        </w:rPr>
      </w:pPr>
      <w:r>
        <w:rPr>
          <w:rFonts w:cs="Arial" w:ascii="Arial" w:hAnsi="Arial"/>
        </w:rPr>
      </w:r>
    </w:p>
    <w:p>
      <w:pPr>
        <w:pStyle w:val="Normal"/>
        <w:jc w:val="both"/>
        <w:rPr>
          <w:rFonts w:ascii="Arial" w:hAnsi="Arial" w:cs="Arial"/>
          <w:b/>
          <w:b/>
          <w:bCs/>
          <w:i/>
          <w:i/>
          <w:sz w:val="24"/>
          <w:szCs w:val="28"/>
        </w:rPr>
      </w:pPr>
      <w:r>
        <w:rPr>
          <w:rFonts w:cs="Arial" w:ascii="Arial" w:hAnsi="Arial"/>
          <w:b/>
          <w:bCs/>
          <w:i/>
          <w:sz w:val="24"/>
          <w:szCs w:val="28"/>
        </w:rPr>
        <w:t xml:space="preserve">10.9 - Ementário e Bibliografias </w:t>
      </w:r>
    </w:p>
    <w:p>
      <w:pPr>
        <w:pStyle w:val="Normal"/>
        <w:spacing w:lineRule="auto" w:line="240" w:before="0" w:after="0"/>
        <w:jc w:val="center"/>
        <w:rPr>
          <w:rFonts w:ascii="Arial" w:hAnsi="Arial" w:cs="Arial"/>
          <w:b/>
          <w:b/>
          <w:bCs/>
          <w:sz w:val="24"/>
          <w:szCs w:val="28"/>
        </w:rPr>
      </w:pPr>
      <w:r>
        <w:rPr>
          <w:rFonts w:cs="Arial" w:ascii="Arial" w:hAnsi="Arial"/>
          <w:b/>
          <w:sz w:val="24"/>
          <w:szCs w:val="28"/>
        </w:rPr>
        <w:t>Eixo 1 – Formação Educacional</w:t>
      </w:r>
    </w:p>
    <w:tbl>
      <w:tblPr>
        <w:tblStyle w:val="Tabelacomgrade"/>
        <w:tblW w:w="8494" w:type="dxa"/>
        <w:jc w:val="left"/>
        <w:tblInd w:w="0" w:type="dxa"/>
        <w:tblCellMar>
          <w:top w:w="0" w:type="dxa"/>
          <w:left w:w="108" w:type="dxa"/>
          <w:bottom w:w="0" w:type="dxa"/>
          <w:right w:w="108" w:type="dxa"/>
        </w:tblCellMar>
        <w:tblLook w:firstRow="1" w:noVBand="1" w:lastRow="0" w:firstColumn="1" w:lastColumn="0" w:noHBand="0" w:val="04a0"/>
      </w:tblPr>
      <w:tblGrid>
        <w:gridCol w:w="8494"/>
      </w:tblGrid>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Unidade Curricular:</w:t>
            </w:r>
            <w:r>
              <w:rPr>
                <w:rFonts w:cs="Arial" w:ascii="Arial" w:hAnsi="Arial"/>
              </w:rPr>
              <w:t xml:space="preserve"> </w:t>
            </w:r>
            <w:r>
              <w:rPr>
                <w:rFonts w:cs="Arial" w:ascii="Arial" w:hAnsi="Arial"/>
                <w:b/>
                <w:u w:val="single"/>
              </w:rPr>
              <w:t>História da Educação</w:t>
            </w:r>
          </w:p>
          <w:p>
            <w:pPr>
              <w:pStyle w:val="Normal"/>
              <w:spacing w:lineRule="auto" w:line="240" w:before="0" w:after="0"/>
              <w:jc w:val="both"/>
              <w:rPr>
                <w:rFonts w:ascii="Arial" w:hAnsi="Arial" w:cs="Arial"/>
                <w:bCs/>
              </w:rPr>
            </w:pPr>
            <w:r>
              <w:rPr>
                <w:rFonts w:cs="Arial" w:ascii="Arial" w:hAnsi="Arial"/>
                <w:b/>
                <w:bCs/>
              </w:rPr>
              <w:t>Período:</w:t>
            </w:r>
            <w:r>
              <w:rPr>
                <w:rFonts w:cs="Arial" w:ascii="Arial" w:hAnsi="Arial"/>
                <w:bCs/>
              </w:rPr>
              <w:t xml:space="preserve"> 1º</w:t>
            </w:r>
          </w:p>
          <w:p>
            <w:pPr>
              <w:pStyle w:val="Normal"/>
              <w:spacing w:lineRule="auto" w:line="240" w:before="0" w:after="0"/>
              <w:jc w:val="both"/>
              <w:rPr>
                <w:rFonts w:ascii="Arial" w:hAnsi="Arial" w:cs="Arial"/>
                <w:b/>
                <w:b/>
                <w:bCs/>
              </w:rPr>
            </w:pPr>
            <w:r>
              <w:rPr>
                <w:rFonts w:cs="Arial" w:ascii="Arial" w:hAnsi="Arial"/>
                <w:b/>
                <w:bCs/>
              </w:rPr>
              <w:t>Carga Horária:</w:t>
            </w:r>
            <w:r>
              <w:rPr>
                <w:rFonts w:cs="Arial" w:ascii="Arial" w:hAnsi="Arial"/>
              </w:rPr>
              <w:t xml:space="preserve"> 30 h/a teóricas e 15 h/a práticas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Ementa:</w:t>
            </w:r>
            <w:r>
              <w:rPr>
                <w:rFonts w:cs="Arial" w:ascii="Arial" w:hAnsi="Arial"/>
              </w:rPr>
              <w:t xml:space="preserve"> História e historiografia da educação brasileira.</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Bibliografia Básica:</w:t>
            </w:r>
          </w:p>
          <w:p>
            <w:pPr>
              <w:pStyle w:val="ListParagraph"/>
              <w:spacing w:lineRule="auto" w:line="240" w:before="0" w:after="0"/>
              <w:ind w:left="0" w:hanging="0"/>
              <w:contextualSpacing/>
              <w:jc w:val="both"/>
              <w:rPr>
                <w:rFonts w:ascii="Arial" w:hAnsi="Arial" w:cs="Arial"/>
                <w:sz w:val="20"/>
                <w:szCs w:val="20"/>
              </w:rPr>
            </w:pPr>
            <w:r>
              <w:rPr>
                <w:rFonts w:cs="Arial" w:ascii="Arial" w:hAnsi="Arial"/>
                <w:sz w:val="20"/>
                <w:szCs w:val="20"/>
              </w:rPr>
              <w:t xml:space="preserve">FARIA FILHO, Luciano; LOPES, Eliana Marta; VEIGA, Cynthia (Orgs.). </w:t>
            </w:r>
            <w:r>
              <w:rPr>
                <w:rFonts w:cs="Arial" w:ascii="Arial" w:hAnsi="Arial"/>
                <w:i/>
                <w:sz w:val="20"/>
                <w:szCs w:val="20"/>
              </w:rPr>
              <w:t>500 anos de educação no Brasil</w:t>
            </w:r>
            <w:r>
              <w:rPr>
                <w:rFonts w:cs="Arial" w:ascii="Arial" w:hAnsi="Arial"/>
                <w:sz w:val="20"/>
                <w:szCs w:val="20"/>
              </w:rPr>
              <w:t xml:space="preserve">. 3. ed. Belo Horizonte: Autêntica, 2003. </w:t>
            </w:r>
          </w:p>
          <w:p>
            <w:pPr>
              <w:pStyle w:val="ListParagraph"/>
              <w:spacing w:lineRule="auto" w:line="240" w:before="0" w:after="0"/>
              <w:ind w:left="0" w:hanging="0"/>
              <w:contextualSpacing/>
              <w:jc w:val="both"/>
              <w:rPr>
                <w:rFonts w:ascii="Arial" w:hAnsi="Arial" w:cs="Arial"/>
                <w:sz w:val="20"/>
                <w:szCs w:val="20"/>
              </w:rPr>
            </w:pPr>
            <w:r>
              <w:rPr>
                <w:rFonts w:cs="Arial" w:ascii="Arial" w:hAnsi="Arial"/>
                <w:sz w:val="20"/>
                <w:szCs w:val="20"/>
              </w:rPr>
              <w:t xml:space="preserve">MIGUEL, Maria Elisabeth Blank; CORREA, Rosa Lydia (Orgs.). </w:t>
            </w:r>
            <w:r>
              <w:rPr>
                <w:rFonts w:cs="Arial" w:ascii="Arial" w:hAnsi="Arial"/>
                <w:i/>
                <w:sz w:val="20"/>
                <w:szCs w:val="20"/>
              </w:rPr>
              <w:t>A educação escolar em perspectiva histórica.</w:t>
            </w:r>
            <w:r>
              <w:rPr>
                <w:rFonts w:cs="Arial" w:ascii="Arial" w:hAnsi="Arial"/>
                <w:sz w:val="20"/>
                <w:szCs w:val="20"/>
              </w:rPr>
              <w:t xml:space="preserve"> Campinas: Autores Associados, 2005.</w:t>
            </w:r>
          </w:p>
          <w:p>
            <w:pPr>
              <w:pStyle w:val="Normal"/>
              <w:spacing w:lineRule="auto" w:line="240" w:before="0" w:after="0"/>
              <w:jc w:val="both"/>
              <w:rPr>
                <w:rFonts w:ascii="Arial" w:hAnsi="Arial" w:cs="Arial"/>
                <w:b/>
                <w:b/>
                <w:bCs/>
              </w:rPr>
            </w:pPr>
            <w:r>
              <w:rPr>
                <w:rFonts w:cs="Arial" w:ascii="Arial" w:hAnsi="Arial"/>
                <w:sz w:val="20"/>
                <w:szCs w:val="20"/>
              </w:rPr>
              <w:t xml:space="preserve">STEPHANOU, Maria; BASTOS, Maria Helena (Orgs). </w:t>
            </w:r>
            <w:r>
              <w:rPr>
                <w:rFonts w:cs="Arial" w:ascii="Arial" w:hAnsi="Arial"/>
                <w:i/>
                <w:sz w:val="20"/>
                <w:szCs w:val="20"/>
              </w:rPr>
              <w:t>Histórias e Memórias da Educação no Brasil</w:t>
            </w:r>
            <w:r>
              <w:rPr>
                <w:rFonts w:cs="Arial" w:ascii="Arial" w:hAnsi="Arial"/>
                <w:sz w:val="20"/>
                <w:szCs w:val="20"/>
              </w:rPr>
              <w:t>. Petrópolis, RJ: Vozes, 2005.</w:t>
            </w:r>
          </w:p>
        </w:tc>
      </w:tr>
      <w:tr>
        <w:trPr/>
        <w:tc>
          <w:tcPr>
            <w:tcW w:w="8494" w:type="dxa"/>
            <w:tcBorders>
              <w:top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Bibliografia Complementar:</w:t>
            </w:r>
          </w:p>
          <w:p>
            <w:pPr>
              <w:pStyle w:val="ListParagraph"/>
              <w:spacing w:lineRule="auto" w:line="240" w:before="0" w:after="0"/>
              <w:ind w:left="0" w:hanging="0"/>
              <w:contextualSpacing/>
              <w:jc w:val="both"/>
              <w:rPr>
                <w:rFonts w:ascii="Arial" w:hAnsi="Arial" w:cs="Arial"/>
                <w:sz w:val="20"/>
                <w:szCs w:val="20"/>
              </w:rPr>
            </w:pPr>
            <w:r>
              <w:rPr>
                <w:rFonts w:cs="Arial" w:ascii="Arial" w:hAnsi="Arial"/>
                <w:sz w:val="20"/>
                <w:szCs w:val="20"/>
              </w:rPr>
              <w:t xml:space="preserve">ANDREOTTI, Azilde; LOMBARDI, José Claudinei e MINTO, Lalo Watanabe (Orgs.). </w:t>
            </w:r>
            <w:r>
              <w:rPr>
                <w:rFonts w:cs="Arial" w:ascii="Arial" w:hAnsi="Arial"/>
                <w:i/>
                <w:sz w:val="20"/>
                <w:szCs w:val="20"/>
              </w:rPr>
              <w:t>História da administração escolar no Brasil</w:t>
            </w:r>
            <w:r>
              <w:rPr>
                <w:rFonts w:cs="Arial" w:ascii="Arial" w:hAnsi="Arial"/>
                <w:sz w:val="20"/>
                <w:szCs w:val="20"/>
              </w:rPr>
              <w:t>. Campinas, SP: Alínea, 2010.</w:t>
            </w:r>
          </w:p>
          <w:p>
            <w:pPr>
              <w:pStyle w:val="ListParagraph"/>
              <w:spacing w:lineRule="auto" w:line="240" w:before="0" w:after="0"/>
              <w:ind w:left="0" w:hanging="0"/>
              <w:contextualSpacing/>
              <w:jc w:val="both"/>
              <w:rPr>
                <w:rFonts w:ascii="Arial" w:hAnsi="Arial" w:cs="Arial"/>
                <w:sz w:val="20"/>
                <w:szCs w:val="20"/>
              </w:rPr>
            </w:pPr>
            <w:r>
              <w:rPr>
                <w:rFonts w:cs="Arial" w:ascii="Arial" w:hAnsi="Arial"/>
                <w:sz w:val="20"/>
                <w:szCs w:val="20"/>
              </w:rPr>
              <w:t xml:space="preserve">EBY, Frederic. </w:t>
            </w:r>
            <w:r>
              <w:rPr>
                <w:rFonts w:cs="Arial" w:ascii="Arial" w:hAnsi="Arial"/>
                <w:i/>
                <w:sz w:val="20"/>
                <w:szCs w:val="20"/>
              </w:rPr>
              <w:t>História da educação moderna</w:t>
            </w:r>
            <w:r>
              <w:rPr>
                <w:rFonts w:cs="Arial" w:ascii="Arial" w:hAnsi="Arial"/>
                <w:sz w:val="20"/>
                <w:szCs w:val="20"/>
              </w:rPr>
              <w:t>. São Paulo: Globo, 1978.</w:t>
            </w:r>
          </w:p>
          <w:p>
            <w:pPr>
              <w:pStyle w:val="ListParagraph"/>
              <w:spacing w:lineRule="auto" w:line="240" w:before="0" w:after="0"/>
              <w:ind w:left="0" w:hanging="0"/>
              <w:contextualSpacing/>
              <w:jc w:val="both"/>
              <w:rPr>
                <w:rFonts w:ascii="Arial" w:hAnsi="Arial" w:cs="Arial"/>
                <w:sz w:val="20"/>
                <w:szCs w:val="20"/>
              </w:rPr>
            </w:pPr>
            <w:r>
              <w:rPr>
                <w:rFonts w:cs="Arial" w:ascii="Arial" w:hAnsi="Arial"/>
                <w:sz w:val="20"/>
                <w:szCs w:val="20"/>
              </w:rPr>
              <w:t xml:space="preserve">LARROYO, Francisco. </w:t>
            </w:r>
            <w:r>
              <w:rPr>
                <w:rFonts w:cs="Arial" w:ascii="Arial" w:hAnsi="Arial"/>
                <w:i/>
                <w:sz w:val="20"/>
                <w:szCs w:val="20"/>
              </w:rPr>
              <w:t>História geral da pedagogia</w:t>
            </w:r>
            <w:r>
              <w:rPr>
                <w:rFonts w:cs="Arial" w:ascii="Arial" w:hAnsi="Arial"/>
                <w:sz w:val="20"/>
                <w:szCs w:val="20"/>
              </w:rPr>
              <w:t>. Tomo II. São Paulo: Mestre Jou, 1974.</w:t>
            </w:r>
          </w:p>
          <w:p>
            <w:pPr>
              <w:pStyle w:val="ListParagraph"/>
              <w:spacing w:lineRule="auto" w:line="240" w:before="0" w:after="0"/>
              <w:ind w:left="0" w:hanging="0"/>
              <w:contextualSpacing/>
              <w:jc w:val="both"/>
              <w:rPr>
                <w:rFonts w:ascii="Arial" w:hAnsi="Arial" w:cs="Arial"/>
                <w:sz w:val="20"/>
                <w:szCs w:val="20"/>
              </w:rPr>
            </w:pPr>
            <w:r>
              <w:rPr>
                <w:rFonts w:cs="Arial" w:ascii="Arial" w:hAnsi="Arial"/>
                <w:sz w:val="20"/>
                <w:szCs w:val="20"/>
              </w:rPr>
              <w:t xml:space="preserve">MONROE, Paul. </w:t>
            </w:r>
            <w:r>
              <w:rPr>
                <w:rFonts w:cs="Arial" w:ascii="Arial" w:hAnsi="Arial"/>
                <w:i/>
                <w:sz w:val="20"/>
                <w:szCs w:val="20"/>
              </w:rPr>
              <w:t>História da educação</w:t>
            </w:r>
            <w:r>
              <w:rPr>
                <w:rFonts w:cs="Arial" w:ascii="Arial" w:hAnsi="Arial"/>
                <w:sz w:val="20"/>
                <w:szCs w:val="20"/>
              </w:rPr>
              <w:t>. São Paulo: Nacional, 1970.</w:t>
            </w:r>
          </w:p>
          <w:p>
            <w:pPr>
              <w:pStyle w:val="Normal"/>
              <w:spacing w:lineRule="auto" w:line="240" w:before="0" w:after="0"/>
              <w:jc w:val="both"/>
              <w:rPr>
                <w:rFonts w:ascii="Arial" w:hAnsi="Arial" w:cs="Arial"/>
                <w:b/>
                <w:b/>
                <w:bCs/>
              </w:rPr>
            </w:pPr>
            <w:r>
              <w:rPr>
                <w:rFonts w:cs="Arial" w:ascii="Arial" w:hAnsi="Arial"/>
                <w:sz w:val="20"/>
                <w:szCs w:val="20"/>
              </w:rPr>
              <w:t xml:space="preserve">VEIGA, Cynthia e FONSECA, Thais (Orgs.). </w:t>
            </w:r>
            <w:r>
              <w:rPr>
                <w:rFonts w:cs="Arial" w:ascii="Arial" w:hAnsi="Arial"/>
                <w:i/>
                <w:sz w:val="20"/>
                <w:szCs w:val="20"/>
              </w:rPr>
              <w:t>História e historiografia da educação no Brasil</w:t>
            </w:r>
            <w:r>
              <w:rPr>
                <w:rFonts w:cs="Arial" w:ascii="Arial" w:hAnsi="Arial"/>
                <w:sz w:val="20"/>
                <w:szCs w:val="20"/>
              </w:rPr>
              <w:t>. Belo Horizonte: Autêntica, 2003.</w:t>
            </w:r>
          </w:p>
        </w:tc>
      </w:tr>
      <w:tr>
        <w:trPr/>
        <w:tc>
          <w:tcPr>
            <w:tcW w:w="8494" w:type="dxa"/>
            <w:tcBorders>
              <w:top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r>
          </w:p>
        </w:tc>
      </w:tr>
      <w:tr>
        <w:trPr/>
        <w:tc>
          <w:tcPr>
            <w:tcW w:w="8494" w:type="dxa"/>
            <w:tcBorders>
              <w:top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Unidade Curricular:</w:t>
            </w:r>
            <w:r>
              <w:rPr>
                <w:rFonts w:cs="Arial" w:ascii="Arial" w:hAnsi="Arial"/>
              </w:rPr>
              <w:t xml:space="preserve"> </w:t>
            </w:r>
            <w:r>
              <w:rPr>
                <w:rFonts w:cs="Arial" w:ascii="Arial" w:hAnsi="Arial"/>
                <w:b/>
                <w:u w:val="single"/>
              </w:rPr>
              <w:t>Políticas Educacionais</w:t>
            </w:r>
          </w:p>
          <w:p>
            <w:pPr>
              <w:pStyle w:val="Normal"/>
              <w:spacing w:lineRule="auto" w:line="240" w:before="0" w:after="0"/>
              <w:jc w:val="both"/>
              <w:rPr>
                <w:rFonts w:ascii="Arial" w:hAnsi="Arial" w:cs="Arial"/>
                <w:b/>
                <w:b/>
                <w:bCs/>
              </w:rPr>
            </w:pPr>
            <w:r>
              <w:rPr>
                <w:rFonts w:cs="Arial" w:ascii="Arial" w:hAnsi="Arial"/>
                <w:b/>
                <w:bCs/>
              </w:rPr>
              <w:t>Período:</w:t>
            </w:r>
            <w:r>
              <w:rPr>
                <w:rFonts w:cs="Arial" w:ascii="Arial" w:hAnsi="Arial"/>
              </w:rPr>
              <w:t xml:space="preserve"> 1º</w:t>
            </w:r>
          </w:p>
          <w:p>
            <w:pPr>
              <w:pStyle w:val="Normal"/>
              <w:spacing w:lineRule="auto" w:line="240" w:before="0" w:after="0"/>
              <w:jc w:val="both"/>
              <w:rPr>
                <w:rFonts w:ascii="Arial" w:hAnsi="Arial" w:cs="Arial"/>
                <w:b/>
                <w:b/>
                <w:bCs/>
              </w:rPr>
            </w:pPr>
            <w:r>
              <w:rPr>
                <w:rFonts w:cs="Arial" w:ascii="Arial" w:hAnsi="Arial"/>
                <w:b/>
                <w:bCs/>
              </w:rPr>
              <w:t>Carga Horária:</w:t>
            </w:r>
            <w:r>
              <w:rPr>
                <w:rFonts w:cs="Arial" w:ascii="Arial" w:hAnsi="Arial"/>
              </w:rPr>
              <w:t xml:space="preserve"> 30 h/a teóricas</w:t>
            </w:r>
          </w:p>
        </w:tc>
      </w:tr>
      <w:tr>
        <w:trPr/>
        <w:tc>
          <w:tcPr>
            <w:tcW w:w="8494" w:type="dxa"/>
            <w:tcBorders>
              <w:top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Ementa:</w:t>
            </w:r>
            <w:r>
              <w:rPr>
                <w:rFonts w:cs="Arial" w:ascii="Arial" w:hAnsi="Arial"/>
              </w:rPr>
              <w:t xml:space="preserve"> Políticas educacionais e legislação de ensino.</w:t>
            </w:r>
          </w:p>
        </w:tc>
      </w:tr>
      <w:tr>
        <w:trPr/>
        <w:tc>
          <w:tcPr>
            <w:tcW w:w="8494" w:type="dxa"/>
            <w:tcBorders/>
            <w:shd w:fill="auto" w:val="clear"/>
            <w:tcMar>
              <w:left w:w="108" w:type="dxa"/>
            </w:tcMar>
          </w:tcPr>
          <w:p>
            <w:pPr>
              <w:pStyle w:val="Normal"/>
              <w:spacing w:before="0" w:after="0"/>
              <w:jc w:val="both"/>
              <w:rPr>
                <w:rFonts w:ascii="Arial" w:hAnsi="Arial" w:cs="Arial"/>
                <w:b/>
                <w:b/>
                <w:bCs/>
              </w:rPr>
            </w:pPr>
            <w:r>
              <w:rPr>
                <w:rFonts w:cs="Arial" w:ascii="Arial" w:hAnsi="Arial"/>
                <w:b/>
                <w:bCs/>
              </w:rPr>
              <w:t>Bibliografia Básica:</w:t>
            </w:r>
          </w:p>
          <w:p>
            <w:pPr>
              <w:pStyle w:val="Padro"/>
              <w:spacing w:lineRule="auto" w:line="240" w:before="0" w:after="0"/>
              <w:jc w:val="both"/>
              <w:rPr>
                <w:rFonts w:ascii="Arial" w:hAnsi="Arial" w:cs="Arial"/>
                <w:color w:val="00000A"/>
                <w:sz w:val="20"/>
                <w:szCs w:val="20"/>
              </w:rPr>
            </w:pPr>
            <w:r>
              <w:rPr>
                <w:rFonts w:cs="Arial" w:ascii="Arial" w:hAnsi="Arial"/>
                <w:color w:val="00000A"/>
                <w:sz w:val="20"/>
                <w:szCs w:val="20"/>
              </w:rPr>
              <w:t xml:space="preserve">CURY, Carlos Roberto Jamil. </w:t>
            </w:r>
            <w:r>
              <w:rPr>
                <w:rFonts w:cs="Arial" w:ascii="Arial" w:hAnsi="Arial"/>
                <w:i/>
                <w:color w:val="00000A"/>
                <w:sz w:val="20"/>
                <w:szCs w:val="20"/>
              </w:rPr>
              <w:t>Legislação educacional brasileira</w:t>
            </w:r>
            <w:r>
              <w:rPr>
                <w:rFonts w:cs="Arial" w:ascii="Arial" w:hAnsi="Arial"/>
                <w:color w:val="00000A"/>
                <w:sz w:val="20"/>
                <w:szCs w:val="20"/>
              </w:rPr>
              <w:t>. Rio de Janeiro:DP&amp;A, 2000.</w:t>
            </w:r>
          </w:p>
          <w:p>
            <w:pPr>
              <w:pStyle w:val="Padro"/>
              <w:spacing w:lineRule="auto" w:line="240" w:before="0" w:after="0"/>
              <w:jc w:val="both"/>
              <w:rPr>
                <w:rFonts w:ascii="Arial" w:hAnsi="Arial" w:cs="Arial"/>
                <w:color w:val="00000A"/>
                <w:sz w:val="20"/>
                <w:szCs w:val="20"/>
              </w:rPr>
            </w:pPr>
            <w:r>
              <w:rPr>
                <w:rFonts w:cs="Arial" w:ascii="Arial" w:hAnsi="Arial"/>
                <w:color w:val="00000A"/>
                <w:sz w:val="20"/>
                <w:szCs w:val="20"/>
              </w:rPr>
              <w:t xml:space="preserve">OLIVEIRA, Dalila Andrade e ROSAR, Maria de Fátima (Orgs). </w:t>
            </w:r>
            <w:r>
              <w:rPr>
                <w:rFonts w:cs="Arial" w:ascii="Arial" w:hAnsi="Arial"/>
                <w:i/>
                <w:color w:val="00000A"/>
                <w:sz w:val="20"/>
                <w:szCs w:val="20"/>
              </w:rPr>
              <w:t>Política e gestão da educação.</w:t>
            </w:r>
            <w:r>
              <w:rPr>
                <w:rFonts w:cs="Arial" w:ascii="Arial" w:hAnsi="Arial"/>
                <w:color w:val="00000A"/>
                <w:sz w:val="20"/>
                <w:szCs w:val="20"/>
              </w:rPr>
              <w:t xml:space="preserve"> Belo Horizonte: Autêntica, 2008.</w:t>
            </w:r>
          </w:p>
          <w:p>
            <w:pPr>
              <w:pStyle w:val="Normal"/>
              <w:spacing w:before="0" w:after="0"/>
              <w:jc w:val="both"/>
              <w:rPr>
                <w:rFonts w:ascii="Arial" w:hAnsi="Arial" w:cs="Arial"/>
                <w:b/>
                <w:b/>
                <w:bCs/>
              </w:rPr>
            </w:pPr>
            <w:r>
              <w:rPr>
                <w:rFonts w:cs="Arial" w:ascii="Arial" w:hAnsi="Arial"/>
                <w:sz w:val="20"/>
                <w:szCs w:val="20"/>
              </w:rPr>
              <w:t xml:space="preserve">SAVIANI, Dermeval. </w:t>
            </w:r>
            <w:r>
              <w:rPr>
                <w:rFonts w:cs="Arial" w:ascii="Arial" w:hAnsi="Arial"/>
                <w:i/>
                <w:sz w:val="20"/>
                <w:szCs w:val="20"/>
              </w:rPr>
              <w:t>A Nova Lei da Educação</w:t>
            </w:r>
            <w:r>
              <w:rPr>
                <w:rFonts w:cs="Arial" w:ascii="Arial" w:hAnsi="Arial"/>
                <w:sz w:val="20"/>
                <w:szCs w:val="20"/>
              </w:rPr>
              <w:t xml:space="preserve"> (LDB): trajetórias, limites e perspectivas. 6. ed. Campinas, SP: Autores Associados, 2000.</w:t>
            </w:r>
          </w:p>
        </w:tc>
      </w:tr>
      <w:tr>
        <w:trPr/>
        <w:tc>
          <w:tcPr>
            <w:tcW w:w="8494" w:type="dxa"/>
            <w:tcBorders>
              <w:bottom w:val="nil"/>
              <w:insideH w:val="nil"/>
            </w:tcBorders>
            <w:shd w:fill="auto" w:val="clear"/>
            <w:tcMar>
              <w:left w:w="108" w:type="dxa"/>
            </w:tcMar>
          </w:tcPr>
          <w:p>
            <w:pPr>
              <w:pStyle w:val="Normal"/>
              <w:spacing w:before="0" w:after="0"/>
              <w:jc w:val="both"/>
              <w:rPr>
                <w:rFonts w:ascii="Arial" w:hAnsi="Arial" w:cs="Arial"/>
                <w:b/>
                <w:b/>
                <w:bCs/>
              </w:rPr>
            </w:pPr>
            <w:r>
              <w:rPr>
                <w:rFonts w:cs="Arial" w:ascii="Arial" w:hAnsi="Arial"/>
                <w:b/>
                <w:bCs/>
              </w:rPr>
              <w:t>Bibliografia Complementar:</w:t>
            </w:r>
          </w:p>
          <w:p>
            <w:pPr>
              <w:pStyle w:val="Padro"/>
              <w:spacing w:lineRule="auto" w:line="240" w:before="0" w:after="0"/>
              <w:jc w:val="both"/>
              <w:rPr>
                <w:rFonts w:ascii="Arial" w:hAnsi="Arial" w:cs="Arial"/>
                <w:color w:val="00000A"/>
                <w:sz w:val="20"/>
                <w:szCs w:val="20"/>
              </w:rPr>
            </w:pPr>
            <w:r>
              <w:rPr>
                <w:rFonts w:cs="Arial" w:ascii="Arial" w:hAnsi="Arial"/>
                <w:color w:val="00000A"/>
                <w:sz w:val="20"/>
                <w:szCs w:val="20"/>
              </w:rPr>
              <w:t xml:space="preserve">DEMO, Pedro. </w:t>
            </w:r>
            <w:r>
              <w:rPr>
                <w:rFonts w:cs="Arial" w:ascii="Arial" w:hAnsi="Arial"/>
                <w:i/>
                <w:color w:val="00000A"/>
                <w:sz w:val="20"/>
                <w:szCs w:val="20"/>
              </w:rPr>
              <w:t>A nova LDB</w:t>
            </w:r>
            <w:r>
              <w:rPr>
                <w:rFonts w:cs="Arial" w:ascii="Arial" w:hAnsi="Arial"/>
                <w:color w:val="00000A"/>
                <w:sz w:val="20"/>
                <w:szCs w:val="20"/>
              </w:rPr>
              <w:t>: ranços e avanços. São Paulo: Papirus, 1997.</w:t>
            </w:r>
          </w:p>
          <w:p>
            <w:pPr>
              <w:pStyle w:val="Padro"/>
              <w:spacing w:lineRule="auto" w:line="240" w:before="0" w:after="0"/>
              <w:jc w:val="both"/>
              <w:rPr>
                <w:rFonts w:ascii="Arial" w:hAnsi="Arial" w:cs="Arial"/>
                <w:color w:val="00000A"/>
                <w:sz w:val="20"/>
                <w:szCs w:val="20"/>
              </w:rPr>
            </w:pPr>
            <w:r>
              <w:rPr>
                <w:rFonts w:cs="Arial" w:ascii="Arial" w:hAnsi="Arial"/>
                <w:color w:val="00000A"/>
                <w:sz w:val="20"/>
                <w:szCs w:val="20"/>
              </w:rPr>
              <w:t xml:space="preserve">FÁVERO, Osmar (org). </w:t>
            </w:r>
            <w:r>
              <w:rPr>
                <w:rFonts w:cs="Arial" w:ascii="Arial" w:hAnsi="Arial"/>
                <w:i/>
                <w:color w:val="00000A"/>
                <w:sz w:val="20"/>
                <w:szCs w:val="20"/>
              </w:rPr>
              <w:t>A educação nas constituintes brasileiras</w:t>
            </w:r>
            <w:r>
              <w:rPr>
                <w:rFonts w:cs="Arial" w:ascii="Arial" w:hAnsi="Arial"/>
                <w:color w:val="00000A"/>
                <w:sz w:val="20"/>
                <w:szCs w:val="20"/>
              </w:rPr>
              <w:t xml:space="preserve"> (1823-1988). 2.ed. Campinas: Autores Associados, 2001.</w:t>
            </w:r>
          </w:p>
          <w:p>
            <w:pPr>
              <w:pStyle w:val="Padro"/>
              <w:spacing w:lineRule="auto" w:line="240" w:before="0" w:after="0"/>
              <w:jc w:val="both"/>
              <w:rPr>
                <w:rFonts w:ascii="Arial" w:hAnsi="Arial" w:cs="Arial"/>
                <w:color w:val="00000A"/>
                <w:sz w:val="20"/>
                <w:szCs w:val="20"/>
              </w:rPr>
            </w:pPr>
            <w:r>
              <w:rPr>
                <w:rFonts w:cs="Arial" w:ascii="Arial" w:hAnsi="Arial"/>
                <w:color w:val="00000A"/>
                <w:sz w:val="20"/>
                <w:szCs w:val="20"/>
              </w:rPr>
              <w:t xml:space="preserve">FERREIRA, Eliza Bartolozzi; OLIVEIRA, Dalila Andrade. </w:t>
            </w:r>
            <w:r>
              <w:rPr>
                <w:rFonts w:cs="Arial" w:ascii="Arial" w:hAnsi="Arial"/>
                <w:i/>
                <w:color w:val="00000A"/>
                <w:sz w:val="20"/>
                <w:szCs w:val="20"/>
              </w:rPr>
              <w:t>Crise da escola e políticas educativas.</w:t>
            </w:r>
            <w:r>
              <w:rPr>
                <w:rFonts w:cs="Arial" w:ascii="Arial" w:hAnsi="Arial"/>
                <w:color w:val="00000A"/>
                <w:sz w:val="20"/>
                <w:szCs w:val="20"/>
              </w:rPr>
              <w:t xml:space="preserve"> Belo Horizonte: Autêntica, 2009. </w:t>
            </w:r>
          </w:p>
          <w:p>
            <w:pPr>
              <w:pStyle w:val="Padro"/>
              <w:spacing w:lineRule="auto" w:line="240" w:before="0" w:after="0"/>
              <w:jc w:val="both"/>
              <w:rPr>
                <w:rFonts w:ascii="Arial" w:hAnsi="Arial" w:cs="Arial"/>
                <w:color w:val="00000A"/>
                <w:sz w:val="20"/>
                <w:szCs w:val="20"/>
              </w:rPr>
            </w:pPr>
            <w:r>
              <w:rPr>
                <w:rFonts w:cs="Arial" w:ascii="Arial" w:hAnsi="Arial"/>
                <w:color w:val="00000A"/>
                <w:sz w:val="20"/>
                <w:szCs w:val="20"/>
              </w:rPr>
              <w:t xml:space="preserve">SOUZA, Donaldo Bello; MARTINS, Ângela Maria (Orgs.). </w:t>
            </w:r>
            <w:r>
              <w:rPr>
                <w:rFonts w:cs="Arial" w:ascii="Arial" w:hAnsi="Arial"/>
                <w:i/>
                <w:color w:val="00000A"/>
                <w:sz w:val="20"/>
                <w:szCs w:val="20"/>
              </w:rPr>
              <w:t>Planos de educação no Brasil:</w:t>
            </w:r>
            <w:r>
              <w:rPr>
                <w:rFonts w:cs="Arial" w:ascii="Arial" w:hAnsi="Arial"/>
                <w:color w:val="00000A"/>
                <w:sz w:val="20"/>
                <w:szCs w:val="20"/>
              </w:rPr>
              <w:t xml:space="preserve"> planejamento, políticas, práticas. São Paulo: Edições Loyola, 2014.</w:t>
            </w:r>
          </w:p>
          <w:p>
            <w:pPr>
              <w:pStyle w:val="Normal"/>
              <w:spacing w:before="0" w:after="0"/>
              <w:jc w:val="both"/>
              <w:rPr>
                <w:rFonts w:ascii="Arial" w:hAnsi="Arial" w:cs="Arial"/>
                <w:b/>
                <w:b/>
                <w:bCs/>
              </w:rPr>
            </w:pPr>
            <w:r>
              <w:rPr>
                <w:rFonts w:eastAsia="Calibri" w:cs="Arial" w:ascii="Arial" w:hAnsi="Arial"/>
                <w:sz w:val="20"/>
                <w:szCs w:val="20"/>
              </w:rPr>
              <w:t xml:space="preserve">BRASIL. </w:t>
            </w:r>
            <w:r>
              <w:rPr>
                <w:rFonts w:eastAsia="Calibri" w:cs="Arial" w:ascii="Arial" w:hAnsi="Arial"/>
                <w:i/>
                <w:sz w:val="20"/>
                <w:szCs w:val="20"/>
              </w:rPr>
              <w:t>Lei n. 9.394, de 20 de dezembro de 1996</w:t>
            </w:r>
            <w:r>
              <w:rPr>
                <w:rFonts w:eastAsia="Calibri" w:cs="Arial" w:ascii="Arial" w:hAnsi="Arial"/>
                <w:sz w:val="20"/>
                <w:szCs w:val="20"/>
              </w:rPr>
              <w:t>. Estabelece as diretrizes e bases da educação nacional. Diário Oficial da União, Brasília, 23 dez. 1996.</w:t>
            </w:r>
          </w:p>
        </w:tc>
      </w:tr>
      <w:tr>
        <w:trPr/>
        <w:tc>
          <w:tcPr>
            <w:tcW w:w="8494" w:type="dxa"/>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 xml:space="preserve">Unidade Curricular: </w:t>
            </w:r>
            <w:r>
              <w:rPr>
                <w:rFonts w:cs="Arial" w:ascii="Arial" w:hAnsi="Arial"/>
                <w:b/>
                <w:u w:val="single"/>
              </w:rPr>
              <w:t>Filosofia da Educação</w:t>
            </w:r>
          </w:p>
          <w:p>
            <w:pPr>
              <w:pStyle w:val="Normal"/>
              <w:spacing w:lineRule="auto" w:line="240" w:before="0" w:after="0"/>
              <w:jc w:val="both"/>
              <w:rPr>
                <w:rFonts w:ascii="Arial" w:hAnsi="Arial" w:cs="Arial"/>
                <w:bCs/>
              </w:rPr>
            </w:pPr>
            <w:r>
              <w:rPr>
                <w:rFonts w:cs="Arial" w:ascii="Arial" w:hAnsi="Arial"/>
                <w:b/>
                <w:bCs/>
              </w:rPr>
              <w:t>Período:</w:t>
            </w:r>
            <w:r>
              <w:rPr>
                <w:rFonts w:cs="Arial" w:ascii="Arial" w:hAnsi="Arial"/>
                <w:bCs/>
              </w:rPr>
              <w:t xml:space="preserve"> 2º</w:t>
            </w:r>
          </w:p>
          <w:p>
            <w:pPr>
              <w:pStyle w:val="Normal"/>
              <w:spacing w:lineRule="auto" w:line="240" w:before="0" w:after="0"/>
              <w:jc w:val="both"/>
              <w:rPr>
                <w:rFonts w:ascii="Arial" w:hAnsi="Arial" w:cs="Arial"/>
                <w:b/>
                <w:b/>
                <w:bCs/>
              </w:rPr>
            </w:pPr>
            <w:r>
              <w:rPr>
                <w:rFonts w:cs="Arial" w:ascii="Arial" w:hAnsi="Arial"/>
                <w:b/>
                <w:bCs/>
              </w:rPr>
              <w:t xml:space="preserve">Carga Horária: </w:t>
            </w:r>
            <w:r>
              <w:rPr>
                <w:rFonts w:cs="Arial" w:ascii="Arial" w:hAnsi="Arial"/>
              </w:rPr>
              <w:t>30 h/a teóricas e 15 h/a práticas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Ementa:</w:t>
            </w:r>
            <w:r>
              <w:rPr>
                <w:rFonts w:cs="Arial" w:ascii="Arial" w:hAnsi="Arial"/>
              </w:rPr>
              <w:t xml:space="preserve"> O pensamento filosófico e as práticas educacionais. Relações entre linguagem, conhecimento, educação, pedagogia, ideologia e emancipação. Saber-poder e educação ética.</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Bibliografia Básica:</w:t>
            </w:r>
          </w:p>
          <w:p>
            <w:pPr>
              <w:pStyle w:val="Normal"/>
              <w:spacing w:lineRule="auto" w:line="240" w:before="0" w:after="0"/>
              <w:jc w:val="both"/>
              <w:rPr>
                <w:rFonts w:ascii="Arial" w:hAnsi="Arial" w:cs="Arial"/>
                <w:sz w:val="20"/>
                <w:szCs w:val="20"/>
              </w:rPr>
            </w:pPr>
            <w:r>
              <w:rPr>
                <w:rFonts w:cs="Arial" w:ascii="Arial" w:hAnsi="Arial"/>
                <w:sz w:val="20"/>
                <w:szCs w:val="20"/>
              </w:rPr>
              <w:t xml:space="preserve">CORREIA, Wilson (org.). Filosofia da educação: ética e estilística existencial. Rio de Janeiro, RJ: Ciência Moderna, 2012. </w:t>
            </w:r>
          </w:p>
          <w:p>
            <w:pPr>
              <w:pStyle w:val="Normal"/>
              <w:spacing w:lineRule="auto" w:line="240" w:before="0" w:after="0"/>
              <w:jc w:val="both"/>
              <w:rPr>
                <w:rFonts w:ascii="Arial" w:hAnsi="Arial" w:cs="Arial"/>
                <w:sz w:val="20"/>
                <w:szCs w:val="20"/>
              </w:rPr>
            </w:pPr>
            <w:r>
              <w:rPr>
                <w:rFonts w:cs="Arial" w:ascii="Arial" w:hAnsi="Arial"/>
                <w:sz w:val="20"/>
                <w:szCs w:val="20"/>
              </w:rPr>
              <w:t>LUCKESI, Cipriano Carlos. Filosofia da educação. São Paulo: Cortez, 2011.</w:t>
            </w:r>
          </w:p>
          <w:p>
            <w:pPr>
              <w:pStyle w:val="Normal"/>
              <w:spacing w:lineRule="auto" w:line="240" w:before="0" w:after="0"/>
              <w:jc w:val="both"/>
              <w:rPr>
                <w:rFonts w:ascii="Arial" w:hAnsi="Arial" w:cs="Arial"/>
                <w:b/>
                <w:b/>
                <w:bCs/>
              </w:rPr>
            </w:pPr>
            <w:r>
              <w:rPr>
                <w:rFonts w:cs="Arial" w:ascii="Arial" w:hAnsi="Arial"/>
                <w:sz w:val="20"/>
                <w:szCs w:val="20"/>
              </w:rPr>
              <w:t>MARCONDES, Danilo; JAPIASSÚ, Hilton. Dicionário básico de Filosofia. Rio de Janeiro: Jorge Zahar Editor, 2006.</w:t>
            </w:r>
          </w:p>
        </w:tc>
      </w:tr>
      <w:tr>
        <w:trPr/>
        <w:tc>
          <w:tcPr>
            <w:tcW w:w="8494" w:type="dxa"/>
            <w:tcBorders>
              <w:top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Bibliografia Complementar:</w:t>
            </w:r>
          </w:p>
          <w:p>
            <w:pPr>
              <w:pStyle w:val="Normal"/>
              <w:spacing w:lineRule="auto" w:line="240" w:before="0" w:after="0"/>
              <w:jc w:val="both"/>
              <w:rPr>
                <w:rFonts w:ascii="Arial" w:hAnsi="Arial" w:cs="Arial"/>
                <w:sz w:val="20"/>
                <w:szCs w:val="20"/>
              </w:rPr>
            </w:pPr>
            <w:r>
              <w:rPr>
                <w:rFonts w:cs="Arial" w:ascii="Arial" w:hAnsi="Arial"/>
                <w:sz w:val="20"/>
                <w:szCs w:val="20"/>
              </w:rPr>
              <w:t>CARUSO, Francisco; TROPER, Amós. Reflexões sobre a universidade. São Paulo: LF, 2010.</w:t>
            </w:r>
          </w:p>
          <w:p>
            <w:pPr>
              <w:pStyle w:val="Normal"/>
              <w:spacing w:lineRule="auto" w:line="240" w:before="0" w:after="0"/>
              <w:jc w:val="both"/>
              <w:rPr>
                <w:rFonts w:ascii="Arial" w:hAnsi="Arial" w:cs="Arial"/>
                <w:sz w:val="20"/>
                <w:szCs w:val="20"/>
              </w:rPr>
            </w:pPr>
            <w:r>
              <w:rPr>
                <w:rFonts w:cs="Arial" w:ascii="Arial" w:hAnsi="Arial"/>
                <w:sz w:val="20"/>
                <w:szCs w:val="20"/>
              </w:rPr>
              <w:t>CHAUÍ, Marilena. Convite à Filosofia. São Paulo: Ática, 2000.</w:t>
            </w:r>
          </w:p>
          <w:p>
            <w:pPr>
              <w:pStyle w:val="Normal"/>
              <w:spacing w:lineRule="auto" w:line="240" w:before="0" w:after="0"/>
              <w:jc w:val="both"/>
              <w:rPr>
                <w:rFonts w:ascii="Arial" w:hAnsi="Arial" w:cs="Arial"/>
                <w:sz w:val="20"/>
                <w:szCs w:val="20"/>
              </w:rPr>
            </w:pPr>
            <w:r>
              <w:rPr>
                <w:rFonts w:cs="Arial" w:ascii="Arial" w:hAnsi="Arial"/>
                <w:sz w:val="20"/>
                <w:szCs w:val="20"/>
              </w:rPr>
              <w:t xml:space="preserve">CORTELLA, Mario Sergio; LA TAILLE, Yves de. Nos labirintos da moral. Campinas: Papiros 7 Mares, 2013. </w:t>
            </w:r>
          </w:p>
          <w:p>
            <w:pPr>
              <w:pStyle w:val="Normal"/>
              <w:spacing w:lineRule="auto" w:line="240" w:before="0" w:after="0"/>
              <w:jc w:val="both"/>
              <w:rPr>
                <w:rFonts w:ascii="Arial" w:hAnsi="Arial" w:cs="Arial"/>
                <w:sz w:val="20"/>
                <w:szCs w:val="20"/>
              </w:rPr>
            </w:pPr>
            <w:r>
              <w:rPr>
                <w:rFonts w:cs="Arial" w:ascii="Arial" w:hAnsi="Arial"/>
                <w:sz w:val="20"/>
                <w:szCs w:val="20"/>
              </w:rPr>
              <w:t>MARCONDES, Danilo. Textos básicos de Filosofia. Rio de Janeiro: Jorge Zahar Editor, 2005.</w:t>
            </w:r>
          </w:p>
          <w:p>
            <w:pPr>
              <w:pStyle w:val="Normal"/>
              <w:spacing w:lineRule="auto" w:line="240" w:before="0" w:after="0"/>
              <w:jc w:val="both"/>
              <w:rPr>
                <w:rFonts w:ascii="Arial" w:hAnsi="Arial" w:cs="Arial"/>
                <w:b/>
                <w:b/>
                <w:bCs/>
              </w:rPr>
            </w:pPr>
            <w:r>
              <w:rPr>
                <w:rFonts w:cs="Arial" w:ascii="Arial" w:hAnsi="Arial"/>
                <w:sz w:val="20"/>
                <w:szCs w:val="20"/>
              </w:rPr>
              <w:t>ROUSSEAU, Jean-Jacques. Emilio, ou, Da educação. Tradução de Roberto Leal Ferreira. São Paulo: Martins Fontes, 2004.</w:t>
            </w:r>
          </w:p>
        </w:tc>
      </w:tr>
      <w:tr>
        <w:trPr/>
        <w:tc>
          <w:tcPr>
            <w:tcW w:w="8494" w:type="dxa"/>
            <w:tcBorders>
              <w:top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Unidade Curricular:</w:t>
            </w:r>
            <w:r>
              <w:rPr>
                <w:rFonts w:cs="Arial" w:ascii="Arial" w:hAnsi="Arial"/>
                <w:b/>
                <w:u w:val="single"/>
              </w:rPr>
              <w:t xml:space="preserve"> Didática</w:t>
            </w:r>
          </w:p>
          <w:p>
            <w:pPr>
              <w:pStyle w:val="Normal"/>
              <w:spacing w:lineRule="auto" w:line="240" w:before="0" w:after="0"/>
              <w:jc w:val="both"/>
              <w:rPr>
                <w:rFonts w:ascii="Arial" w:hAnsi="Arial" w:cs="Arial"/>
                <w:bCs/>
              </w:rPr>
            </w:pPr>
            <w:r>
              <w:rPr>
                <w:rFonts w:cs="Arial" w:ascii="Arial" w:hAnsi="Arial"/>
                <w:b/>
                <w:bCs/>
              </w:rPr>
              <w:t>Período:</w:t>
            </w:r>
            <w:r>
              <w:rPr>
                <w:rFonts w:cs="Arial" w:ascii="Arial" w:hAnsi="Arial"/>
                <w:bCs/>
              </w:rPr>
              <w:t xml:space="preserve"> 2º</w:t>
            </w:r>
          </w:p>
          <w:p>
            <w:pPr>
              <w:pStyle w:val="Normal"/>
              <w:spacing w:lineRule="auto" w:line="240" w:before="0" w:after="0"/>
              <w:jc w:val="both"/>
              <w:rPr>
                <w:rFonts w:ascii="Arial" w:hAnsi="Arial" w:cs="Arial"/>
                <w:b/>
                <w:b/>
                <w:bCs/>
              </w:rPr>
            </w:pPr>
            <w:r>
              <w:rPr>
                <w:rFonts w:cs="Arial" w:ascii="Arial" w:hAnsi="Arial"/>
                <w:b/>
                <w:bCs/>
              </w:rPr>
              <w:t>Carga Horária:</w:t>
            </w:r>
            <w:r>
              <w:rPr>
                <w:rFonts w:cs="Arial" w:ascii="Arial" w:hAnsi="Arial"/>
              </w:rPr>
              <w:t xml:space="preserve"> 60 h/a teóricas e 15 h/a práticas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Ementa:</w:t>
            </w:r>
            <w:r>
              <w:rPr>
                <w:rFonts w:cs="Arial" w:ascii="Arial" w:hAnsi="Arial"/>
              </w:rPr>
              <w:t xml:space="preserve"> O papel da Didática na formação do educador. Formação e identidade docente. O cotidiano escolar, a ação docente e o projeto político-pedagógico. Tendências pedagógicas da prática escolar. Currículo e conhecimento. A pesquisa como princípio educativo e formativo. O planejamento e a organização do processo ensino - aprendizagem e a avaliação escolar.</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bCs/>
              </w:rPr>
            </w:pPr>
            <w:r>
              <w:rPr>
                <w:rFonts w:cs="Arial" w:ascii="Arial" w:hAnsi="Arial"/>
                <w:b/>
                <w:bCs/>
              </w:rPr>
              <w:t>Bibliografia Básica:</w:t>
            </w:r>
          </w:p>
          <w:p>
            <w:pPr>
              <w:pStyle w:val="Padro"/>
              <w:spacing w:lineRule="auto" w:line="240" w:before="0" w:after="0"/>
              <w:jc w:val="both"/>
              <w:rPr>
                <w:rFonts w:ascii="Arial" w:hAnsi="Arial" w:cs="Arial"/>
                <w:color w:val="00000A"/>
                <w:sz w:val="20"/>
                <w:szCs w:val="20"/>
              </w:rPr>
            </w:pPr>
            <w:r>
              <w:rPr>
                <w:rFonts w:cs="Arial" w:ascii="Arial" w:hAnsi="Arial"/>
                <w:color w:val="00000A"/>
                <w:sz w:val="20"/>
                <w:szCs w:val="20"/>
              </w:rPr>
              <w:t xml:space="preserve">LONGAREZI, Andréa Maturano; PUENTES, Roberto Valdés (Orgs). </w:t>
            </w:r>
            <w:r>
              <w:rPr>
                <w:rFonts w:cs="Arial" w:ascii="Arial" w:hAnsi="Arial"/>
                <w:i/>
                <w:color w:val="00000A"/>
                <w:sz w:val="20"/>
                <w:szCs w:val="20"/>
              </w:rPr>
              <w:t>Panorama da didática.</w:t>
            </w:r>
            <w:r>
              <w:rPr>
                <w:rFonts w:cs="Arial" w:ascii="Arial" w:hAnsi="Arial"/>
                <w:color w:val="00000A"/>
                <w:sz w:val="20"/>
                <w:szCs w:val="20"/>
              </w:rPr>
              <w:t xml:space="preserve"> Ensino, prática e pesquisa. Campinas, SP: Papirus, 2011. </w:t>
            </w:r>
          </w:p>
          <w:p>
            <w:pPr>
              <w:pStyle w:val="Padro"/>
              <w:spacing w:lineRule="auto" w:line="240" w:before="0" w:after="0"/>
              <w:jc w:val="both"/>
              <w:rPr>
                <w:rFonts w:ascii="Arial" w:hAnsi="Arial" w:cs="Arial"/>
                <w:color w:val="00000A"/>
                <w:sz w:val="20"/>
                <w:szCs w:val="20"/>
              </w:rPr>
            </w:pPr>
            <w:r>
              <w:rPr>
                <w:rFonts w:cs="Arial" w:ascii="Arial" w:hAnsi="Arial"/>
                <w:color w:val="00000A"/>
                <w:sz w:val="20"/>
                <w:szCs w:val="20"/>
              </w:rPr>
              <w:t xml:space="preserve">SOARES, Valter Guimarães. </w:t>
            </w:r>
            <w:r>
              <w:rPr>
                <w:rFonts w:cs="Arial" w:ascii="Arial" w:hAnsi="Arial"/>
                <w:i/>
                <w:color w:val="00000A"/>
                <w:sz w:val="20"/>
                <w:szCs w:val="20"/>
              </w:rPr>
              <w:t xml:space="preserve">Formação de professores: </w:t>
            </w:r>
            <w:r>
              <w:rPr>
                <w:rFonts w:cs="Arial" w:ascii="Arial" w:hAnsi="Arial"/>
                <w:color w:val="00000A"/>
                <w:sz w:val="20"/>
                <w:szCs w:val="20"/>
              </w:rPr>
              <w:t>saberes, identidade e profissão. Campinas, SP: Papirus, 2004.</w:t>
            </w:r>
          </w:p>
          <w:p>
            <w:pPr>
              <w:pStyle w:val="Normal"/>
              <w:spacing w:before="0" w:after="0"/>
              <w:jc w:val="both"/>
              <w:rPr>
                <w:rFonts w:ascii="Arial" w:hAnsi="Arial" w:cs="Arial"/>
                <w:b/>
                <w:b/>
                <w:bCs/>
              </w:rPr>
            </w:pPr>
            <w:r>
              <w:rPr>
                <w:rFonts w:cs="Arial" w:ascii="Arial" w:hAnsi="Arial"/>
                <w:sz w:val="20"/>
                <w:szCs w:val="20"/>
              </w:rPr>
              <w:t xml:space="preserve">VEIGA, Ilma Passos (org). </w:t>
            </w:r>
            <w:r>
              <w:rPr>
                <w:rFonts w:cs="Arial" w:ascii="Arial" w:hAnsi="Arial"/>
                <w:i/>
                <w:sz w:val="20"/>
                <w:szCs w:val="20"/>
              </w:rPr>
              <w:t xml:space="preserve">Lições de didática. </w:t>
            </w:r>
            <w:r>
              <w:rPr>
                <w:rFonts w:cs="Arial" w:ascii="Arial" w:hAnsi="Arial"/>
                <w:sz w:val="20"/>
                <w:szCs w:val="20"/>
              </w:rPr>
              <w:t>5. ed. Campinas, SP: Papirus, 2012.</w:t>
            </w:r>
          </w:p>
        </w:tc>
      </w:tr>
      <w:tr>
        <w:trPr/>
        <w:tc>
          <w:tcPr>
            <w:tcW w:w="8494" w:type="dxa"/>
            <w:tcBorders>
              <w:top w:val="nil"/>
            </w:tcBorders>
            <w:shd w:fill="auto" w:val="clear"/>
            <w:tcMar>
              <w:left w:w="108" w:type="dxa"/>
            </w:tcMar>
          </w:tcPr>
          <w:p>
            <w:pPr>
              <w:pStyle w:val="Normal"/>
              <w:spacing w:before="0" w:after="0"/>
              <w:jc w:val="both"/>
              <w:rPr>
                <w:rFonts w:ascii="Arial" w:hAnsi="Arial" w:cs="Arial"/>
                <w:b/>
                <w:b/>
                <w:bCs/>
              </w:rPr>
            </w:pPr>
            <w:r>
              <w:rPr>
                <w:rFonts w:cs="Arial" w:ascii="Arial" w:hAnsi="Arial"/>
                <w:b/>
                <w:bCs/>
              </w:rPr>
              <w:t>Bibliografia Complementar:</w:t>
            </w:r>
          </w:p>
          <w:p>
            <w:pPr>
              <w:pStyle w:val="Padro"/>
              <w:spacing w:lineRule="auto" w:line="240" w:before="0" w:after="0"/>
              <w:jc w:val="both"/>
              <w:rPr>
                <w:rFonts w:ascii="Arial" w:hAnsi="Arial" w:cs="Arial"/>
                <w:color w:val="00000A"/>
                <w:sz w:val="20"/>
                <w:szCs w:val="20"/>
              </w:rPr>
            </w:pPr>
            <w:r>
              <w:rPr>
                <w:rFonts w:cs="Arial" w:ascii="Arial" w:hAnsi="Arial"/>
                <w:color w:val="00000A"/>
                <w:sz w:val="20"/>
                <w:szCs w:val="20"/>
              </w:rPr>
              <w:t xml:space="preserve">CANDAU, Vera Maria (org). </w:t>
            </w:r>
            <w:r>
              <w:rPr>
                <w:rFonts w:cs="Arial" w:ascii="Arial" w:hAnsi="Arial"/>
                <w:i/>
                <w:color w:val="00000A"/>
                <w:sz w:val="20"/>
                <w:szCs w:val="20"/>
              </w:rPr>
              <w:t>A didática em questão</w:t>
            </w:r>
            <w:r>
              <w:rPr>
                <w:rFonts w:cs="Arial" w:ascii="Arial" w:hAnsi="Arial"/>
                <w:color w:val="00000A"/>
                <w:sz w:val="20"/>
                <w:szCs w:val="20"/>
              </w:rPr>
              <w:t>. Petrópolis, RJ: Vozes. 33ª.ed, 2012.</w:t>
            </w:r>
          </w:p>
          <w:p>
            <w:pPr>
              <w:pStyle w:val="Padro"/>
              <w:spacing w:lineRule="auto" w:line="240" w:before="0" w:after="0"/>
              <w:jc w:val="both"/>
              <w:rPr>
                <w:rFonts w:ascii="Arial" w:hAnsi="Arial" w:cs="Arial"/>
                <w:color w:val="00000A"/>
                <w:sz w:val="20"/>
                <w:szCs w:val="20"/>
              </w:rPr>
            </w:pPr>
            <w:r>
              <w:rPr>
                <w:rFonts w:eastAsia="Calibri" w:cs="Arial" w:ascii="Arial" w:hAnsi="Arial"/>
                <w:color w:val="00000A"/>
                <w:sz w:val="20"/>
                <w:szCs w:val="20"/>
              </w:rPr>
              <w:t xml:space="preserve">FARIAS, Isabel; SALES, Josete; BRAGA, Maria Margarete; FRANÇA, Maria do Socorro.  </w:t>
            </w:r>
            <w:r>
              <w:rPr>
                <w:rFonts w:eastAsia="Calibri" w:cs="Arial" w:ascii="Arial" w:hAnsi="Arial"/>
                <w:i/>
                <w:color w:val="00000A"/>
                <w:sz w:val="20"/>
                <w:szCs w:val="20"/>
              </w:rPr>
              <w:t>Didática e docência.</w:t>
            </w:r>
            <w:r>
              <w:rPr>
                <w:rFonts w:eastAsia="Calibri" w:cs="Arial" w:ascii="Arial" w:hAnsi="Arial"/>
                <w:color w:val="00000A"/>
                <w:sz w:val="20"/>
                <w:szCs w:val="20"/>
              </w:rPr>
              <w:t xml:space="preserve"> Aprendendo a profissão. Brasília, DF: Liber Livro, 2011.</w:t>
            </w:r>
          </w:p>
          <w:p>
            <w:pPr>
              <w:pStyle w:val="Padro"/>
              <w:spacing w:lineRule="auto" w:line="240" w:before="0" w:after="0"/>
              <w:jc w:val="both"/>
              <w:rPr>
                <w:rFonts w:ascii="Arial" w:hAnsi="Arial" w:cs="Arial"/>
                <w:color w:val="00000A"/>
                <w:sz w:val="20"/>
                <w:szCs w:val="20"/>
              </w:rPr>
            </w:pPr>
            <w:r>
              <w:rPr>
                <w:rFonts w:cs="Arial" w:ascii="Arial" w:hAnsi="Arial"/>
                <w:color w:val="00000A"/>
                <w:sz w:val="20"/>
                <w:szCs w:val="20"/>
              </w:rPr>
              <w:t xml:space="preserve">FONSECA, Selva (org). </w:t>
            </w:r>
            <w:r>
              <w:rPr>
                <w:rFonts w:cs="Arial" w:ascii="Arial" w:hAnsi="Arial"/>
                <w:i/>
                <w:color w:val="00000A"/>
                <w:sz w:val="20"/>
                <w:szCs w:val="20"/>
              </w:rPr>
              <w:t>Currículos, saberes e culturas escolares.</w:t>
            </w:r>
            <w:r>
              <w:rPr>
                <w:rFonts w:cs="Arial" w:ascii="Arial" w:hAnsi="Arial"/>
                <w:b/>
                <w:color w:val="00000A"/>
                <w:sz w:val="20"/>
                <w:szCs w:val="20"/>
              </w:rPr>
              <w:t xml:space="preserve"> </w:t>
            </w:r>
            <w:r>
              <w:rPr>
                <w:rFonts w:cs="Arial" w:ascii="Arial" w:hAnsi="Arial"/>
                <w:color w:val="00000A"/>
                <w:sz w:val="20"/>
                <w:szCs w:val="20"/>
              </w:rPr>
              <w:t>Campinas: Alinea, 2011.</w:t>
            </w:r>
          </w:p>
          <w:p>
            <w:pPr>
              <w:pStyle w:val="Padro"/>
              <w:spacing w:lineRule="auto" w:line="240" w:before="0" w:after="0"/>
              <w:jc w:val="both"/>
              <w:rPr>
                <w:rFonts w:ascii="Arial" w:hAnsi="Arial" w:cs="Arial"/>
                <w:color w:val="00000A"/>
                <w:sz w:val="20"/>
                <w:szCs w:val="20"/>
              </w:rPr>
            </w:pPr>
            <w:r>
              <w:rPr>
                <w:rFonts w:cs="Arial" w:ascii="Arial" w:hAnsi="Arial"/>
                <w:color w:val="00000A"/>
                <w:sz w:val="20"/>
                <w:szCs w:val="20"/>
              </w:rPr>
              <w:t>FONSECA, Selva G.</w:t>
            </w:r>
            <w:r>
              <w:rPr>
                <w:rFonts w:cs="Arial" w:ascii="Arial" w:hAnsi="Arial"/>
                <w:i/>
                <w:iCs/>
                <w:color w:val="00000A"/>
                <w:sz w:val="20"/>
                <w:szCs w:val="20"/>
              </w:rPr>
              <w:t xml:space="preserve"> Didática e prática de ensino de História. </w:t>
            </w:r>
            <w:r>
              <w:rPr>
                <w:rFonts w:cs="Arial" w:ascii="Arial" w:hAnsi="Arial"/>
                <w:color w:val="00000A"/>
                <w:sz w:val="20"/>
                <w:szCs w:val="20"/>
              </w:rPr>
              <w:t xml:space="preserve">Campinas, SP: Papirus, 2003. </w:t>
            </w:r>
          </w:p>
          <w:p>
            <w:pPr>
              <w:pStyle w:val="Normal"/>
              <w:spacing w:before="0" w:after="0"/>
              <w:jc w:val="both"/>
              <w:rPr>
                <w:rFonts w:ascii="Arial" w:hAnsi="Arial" w:cs="Arial"/>
                <w:b/>
                <w:b/>
                <w:bCs/>
              </w:rPr>
            </w:pPr>
            <w:r>
              <w:rPr>
                <w:rFonts w:eastAsia="Calibri" w:cs="Arial" w:ascii="Arial" w:hAnsi="Arial"/>
                <w:bCs/>
                <w:sz w:val="20"/>
                <w:szCs w:val="20"/>
              </w:rPr>
              <w:t xml:space="preserve">TEIXEIRA, Adla Betsaida (org). </w:t>
            </w:r>
            <w:r>
              <w:rPr>
                <w:rFonts w:eastAsia="Calibri" w:cs="Arial" w:ascii="Arial" w:hAnsi="Arial"/>
                <w:bCs/>
                <w:i/>
                <w:sz w:val="20"/>
                <w:szCs w:val="20"/>
              </w:rPr>
              <w:t>Temas atuais em didática</w:t>
            </w:r>
            <w:r>
              <w:rPr>
                <w:rFonts w:eastAsia="Calibri" w:cs="Arial" w:ascii="Arial" w:hAnsi="Arial"/>
                <w:b/>
                <w:bCs/>
                <w:sz w:val="20"/>
                <w:szCs w:val="20"/>
              </w:rPr>
              <w:t xml:space="preserve">. </w:t>
            </w:r>
            <w:r>
              <w:rPr>
                <w:rFonts w:eastAsia="Calibri" w:cs="Arial" w:ascii="Arial" w:hAnsi="Arial"/>
                <w:bCs/>
                <w:sz w:val="20"/>
                <w:szCs w:val="20"/>
              </w:rPr>
              <w:t>Belo Horizonte: Editora UFMG, 2010.</w:t>
            </w:r>
          </w:p>
        </w:tc>
      </w:tr>
      <w:tr>
        <w:trPr/>
        <w:tc>
          <w:tcPr>
            <w:tcW w:w="8494" w:type="dxa"/>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Unidade Curricular:</w:t>
            </w:r>
            <w:r>
              <w:rPr>
                <w:rFonts w:cs="Arial" w:ascii="Arial" w:hAnsi="Arial"/>
              </w:rPr>
              <w:t xml:space="preserve"> </w:t>
            </w:r>
            <w:r>
              <w:rPr>
                <w:rFonts w:cs="Arial" w:ascii="Arial" w:hAnsi="Arial"/>
                <w:b/>
                <w:u w:val="single"/>
              </w:rPr>
              <w:t>Educação e Diversidade</w:t>
            </w:r>
          </w:p>
          <w:p>
            <w:pPr>
              <w:pStyle w:val="Normal"/>
              <w:spacing w:lineRule="auto" w:line="240" w:before="0" w:after="0"/>
              <w:jc w:val="both"/>
              <w:rPr>
                <w:rFonts w:ascii="Arial" w:hAnsi="Arial" w:cs="Arial"/>
                <w:bCs/>
              </w:rPr>
            </w:pPr>
            <w:r>
              <w:rPr>
                <w:rFonts w:cs="Arial" w:ascii="Arial" w:hAnsi="Arial"/>
                <w:b/>
                <w:bCs/>
              </w:rPr>
              <w:t>Período:</w:t>
            </w:r>
            <w:r>
              <w:rPr>
                <w:rFonts w:cs="Arial" w:ascii="Arial" w:hAnsi="Arial"/>
                <w:bCs/>
              </w:rPr>
              <w:t xml:space="preserve"> 2º</w:t>
            </w:r>
          </w:p>
          <w:p>
            <w:pPr>
              <w:pStyle w:val="Normal"/>
              <w:spacing w:lineRule="auto" w:line="240" w:before="0" w:after="0"/>
              <w:jc w:val="both"/>
              <w:rPr>
                <w:rFonts w:ascii="Arial" w:hAnsi="Arial" w:cs="Arial"/>
                <w:b/>
                <w:b/>
                <w:bCs/>
              </w:rPr>
            </w:pPr>
            <w:r>
              <w:rPr>
                <w:rFonts w:cs="Arial" w:ascii="Arial" w:hAnsi="Arial"/>
                <w:b/>
                <w:bCs/>
              </w:rPr>
              <w:t>Carga Horária:</w:t>
            </w:r>
            <w:r>
              <w:rPr>
                <w:rFonts w:cs="Arial" w:ascii="Arial" w:hAnsi="Arial"/>
              </w:rPr>
              <w:t xml:space="preserve"> 30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Ementa:</w:t>
            </w:r>
            <w:r>
              <w:rPr>
                <w:rFonts w:cs="Arial" w:ascii="Arial" w:hAnsi="Arial"/>
              </w:rPr>
              <w:t xml:space="preserve"> Reflexão histórica e historiográfica sobre os direitos fundamentais da dignidade humana, objetivando essencialmente uma reflexão sobre as desigualdades de gênero, étnicas e geracionais. Inclusão dos grupos historicamente apartados. Busca da promoção dos direitos humanos e o reconhecimento dos diversos saberes dos grupos sociais. Política nacional de atenção educacional às pessoas com necessidades especiais, minorias e demais casos de negação de direitos na sociedade.</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bCs/>
              </w:rPr>
            </w:pPr>
            <w:r>
              <w:rPr>
                <w:rFonts w:cs="Arial" w:ascii="Arial" w:hAnsi="Arial"/>
                <w:b/>
                <w:bCs/>
              </w:rPr>
              <w:t>Bibliografia Básica:</w:t>
            </w:r>
          </w:p>
          <w:p>
            <w:pPr>
              <w:pStyle w:val="Padro"/>
              <w:spacing w:lineRule="auto" w:line="240" w:before="0" w:after="0"/>
              <w:jc w:val="both"/>
              <w:rPr>
                <w:rFonts w:ascii="Arial" w:hAnsi="Arial" w:cs="Arial"/>
                <w:color w:val="00000A"/>
                <w:sz w:val="20"/>
                <w:szCs w:val="20"/>
              </w:rPr>
            </w:pPr>
            <w:r>
              <w:rPr>
                <w:rFonts w:cs="Arial" w:ascii="Arial" w:hAnsi="Arial"/>
                <w:color w:val="00000A"/>
                <w:sz w:val="20"/>
                <w:szCs w:val="20"/>
              </w:rPr>
              <w:t xml:space="preserve">BAUMAN, Zigmunt. </w:t>
            </w:r>
            <w:r>
              <w:rPr>
                <w:rFonts w:cs="Arial" w:ascii="Arial" w:hAnsi="Arial"/>
                <w:i/>
                <w:color w:val="00000A"/>
                <w:sz w:val="20"/>
                <w:szCs w:val="20"/>
              </w:rPr>
              <w:t>O Mal-Estar da Pós Modernidade</w:t>
            </w:r>
            <w:r>
              <w:rPr>
                <w:rFonts w:cs="Arial" w:ascii="Arial" w:hAnsi="Arial"/>
                <w:color w:val="00000A"/>
                <w:sz w:val="20"/>
                <w:szCs w:val="20"/>
              </w:rPr>
              <w:t>. Rio de Janeiro: Zahar.1998.</w:t>
            </w:r>
          </w:p>
          <w:p>
            <w:pPr>
              <w:pStyle w:val="Normal"/>
              <w:spacing w:before="0" w:after="0"/>
              <w:jc w:val="both"/>
              <w:rPr>
                <w:rFonts w:ascii="Arial" w:hAnsi="Arial" w:cs="Arial"/>
                <w:sz w:val="20"/>
                <w:szCs w:val="20"/>
              </w:rPr>
            </w:pPr>
            <w:r>
              <w:rPr>
                <w:rFonts w:cs="Arial" w:ascii="Arial" w:hAnsi="Arial"/>
                <w:sz w:val="20"/>
                <w:szCs w:val="20"/>
              </w:rPr>
              <w:t xml:space="preserve">DAYRELL, Juarez (org). </w:t>
            </w:r>
            <w:r>
              <w:rPr>
                <w:rFonts w:cs="Arial" w:ascii="Arial" w:hAnsi="Arial"/>
                <w:i/>
                <w:sz w:val="20"/>
                <w:szCs w:val="20"/>
              </w:rPr>
              <w:t>Múltiplos olhares sobre educação e cultura</w:t>
            </w:r>
            <w:r>
              <w:rPr>
                <w:rFonts w:cs="Arial" w:ascii="Arial" w:hAnsi="Arial"/>
                <w:sz w:val="20"/>
                <w:szCs w:val="20"/>
              </w:rPr>
              <w:t>. Belo Horizonte: Editora UFMG, 1996.</w:t>
            </w:r>
          </w:p>
          <w:p>
            <w:pPr>
              <w:pStyle w:val="Normal"/>
              <w:spacing w:before="0" w:after="0"/>
              <w:jc w:val="both"/>
              <w:rPr>
                <w:rFonts w:ascii="Arial" w:hAnsi="Arial" w:cs="Arial"/>
                <w:b/>
                <w:b/>
                <w:bCs/>
              </w:rPr>
            </w:pPr>
            <w:r>
              <w:rPr>
                <w:rFonts w:cs="Arial" w:ascii="Arial" w:hAnsi="Arial"/>
                <w:sz w:val="20"/>
                <w:szCs w:val="20"/>
              </w:rPr>
              <w:t xml:space="preserve">FREITAS, Soraia Napoleão; KREBS, Ruy Jornada; RODRIGUES, David (Orgs). </w:t>
            </w:r>
            <w:r>
              <w:rPr>
                <w:rFonts w:cs="Arial" w:ascii="Arial" w:hAnsi="Arial"/>
                <w:i/>
                <w:sz w:val="20"/>
                <w:szCs w:val="20"/>
              </w:rPr>
              <w:t>Educação Inclusiva e Necessidades Educacionais Especiais</w:t>
            </w:r>
            <w:r>
              <w:rPr>
                <w:rFonts w:cs="Arial" w:ascii="Arial" w:hAnsi="Arial"/>
                <w:sz w:val="20"/>
                <w:szCs w:val="20"/>
              </w:rPr>
              <w:t>. Santa Maria: Editora da Universidade Federal de Santa Maria, 2005.</w:t>
            </w:r>
          </w:p>
        </w:tc>
      </w:tr>
      <w:tr>
        <w:trPr/>
        <w:tc>
          <w:tcPr>
            <w:tcW w:w="8494" w:type="dxa"/>
            <w:tcBorders>
              <w:top w:val="nil"/>
            </w:tcBorders>
            <w:shd w:fill="auto" w:val="clear"/>
            <w:tcMar>
              <w:left w:w="108" w:type="dxa"/>
            </w:tcMar>
          </w:tcPr>
          <w:p>
            <w:pPr>
              <w:pStyle w:val="Normal"/>
              <w:spacing w:before="0" w:after="0"/>
              <w:jc w:val="both"/>
              <w:rPr>
                <w:rFonts w:ascii="Arial" w:hAnsi="Arial" w:cs="Arial"/>
                <w:b/>
                <w:b/>
                <w:bCs/>
              </w:rPr>
            </w:pPr>
            <w:r>
              <w:rPr>
                <w:rFonts w:cs="Arial" w:ascii="Arial" w:hAnsi="Arial"/>
                <w:b/>
                <w:bCs/>
              </w:rPr>
              <w:t>Bibliografia Complementar:</w:t>
            </w:r>
          </w:p>
          <w:p>
            <w:pPr>
              <w:pStyle w:val="Padro"/>
              <w:spacing w:lineRule="auto" w:line="240" w:before="0" w:after="0"/>
              <w:jc w:val="both"/>
              <w:rPr>
                <w:rFonts w:ascii="Arial" w:hAnsi="Arial" w:cs="Arial"/>
                <w:color w:val="00000A"/>
                <w:sz w:val="20"/>
                <w:szCs w:val="20"/>
              </w:rPr>
            </w:pPr>
            <w:r>
              <w:rPr>
                <w:rFonts w:cs="Arial" w:ascii="Arial" w:hAnsi="Arial"/>
                <w:color w:val="00000A"/>
                <w:sz w:val="20"/>
                <w:szCs w:val="20"/>
              </w:rPr>
              <w:t xml:space="preserve">HALL, Stuart. </w:t>
            </w:r>
            <w:r>
              <w:rPr>
                <w:rFonts w:cs="Arial" w:ascii="Arial" w:hAnsi="Arial"/>
                <w:i/>
                <w:color w:val="00000A"/>
                <w:sz w:val="20"/>
                <w:szCs w:val="20"/>
              </w:rPr>
              <w:t>A identidade cultural na Pós-modernidade</w:t>
            </w:r>
            <w:r>
              <w:rPr>
                <w:rFonts w:cs="Arial" w:ascii="Arial" w:hAnsi="Arial"/>
                <w:color w:val="00000A"/>
                <w:sz w:val="20"/>
                <w:szCs w:val="20"/>
              </w:rPr>
              <w:t xml:space="preserve">. Rio de Janeiro: DP&amp;A, 2003. </w:t>
            </w:r>
          </w:p>
          <w:p>
            <w:pPr>
              <w:pStyle w:val="Padro"/>
              <w:spacing w:lineRule="auto" w:line="240" w:before="0" w:after="0"/>
              <w:jc w:val="both"/>
              <w:rPr>
                <w:rFonts w:ascii="Arial" w:hAnsi="Arial" w:cs="Arial"/>
                <w:color w:val="00000A"/>
                <w:sz w:val="20"/>
                <w:szCs w:val="20"/>
              </w:rPr>
            </w:pPr>
            <w:r>
              <w:rPr>
                <w:rFonts w:cs="Arial" w:ascii="Arial" w:hAnsi="Arial"/>
                <w:color w:val="00000A"/>
                <w:sz w:val="20"/>
                <w:szCs w:val="20"/>
                <w:lang w:val="es-ES"/>
              </w:rPr>
              <w:t xml:space="preserve">MAC LAREN, Piter. </w:t>
            </w:r>
            <w:r>
              <w:rPr>
                <w:rFonts w:cs="Arial" w:ascii="Arial" w:hAnsi="Arial"/>
                <w:i/>
                <w:color w:val="00000A"/>
                <w:sz w:val="20"/>
                <w:szCs w:val="20"/>
                <w:lang w:val="es-ES"/>
              </w:rPr>
              <w:t>Multiculturalismo crítico</w:t>
            </w:r>
            <w:r>
              <w:rPr>
                <w:rFonts w:cs="Arial" w:ascii="Arial" w:hAnsi="Arial"/>
                <w:color w:val="00000A"/>
                <w:sz w:val="20"/>
                <w:szCs w:val="20"/>
                <w:lang w:val="es-ES"/>
              </w:rPr>
              <w:t xml:space="preserve">. </w:t>
            </w:r>
            <w:r>
              <w:rPr>
                <w:rFonts w:cs="Arial" w:ascii="Arial" w:hAnsi="Arial"/>
                <w:color w:val="00000A"/>
                <w:sz w:val="20"/>
                <w:szCs w:val="20"/>
              </w:rPr>
              <w:t>São Paulo: Cortez. 1997.</w:t>
            </w:r>
          </w:p>
          <w:p>
            <w:pPr>
              <w:pStyle w:val="Padro"/>
              <w:spacing w:lineRule="auto" w:line="240" w:before="0" w:after="0"/>
              <w:jc w:val="both"/>
              <w:rPr>
                <w:rFonts w:ascii="Arial" w:hAnsi="Arial" w:cs="Arial"/>
                <w:color w:val="00000A"/>
                <w:sz w:val="20"/>
                <w:szCs w:val="20"/>
              </w:rPr>
            </w:pPr>
            <w:r>
              <w:rPr>
                <w:rFonts w:cs="Arial" w:ascii="Arial" w:hAnsi="Arial"/>
                <w:color w:val="00000A"/>
                <w:sz w:val="20"/>
                <w:szCs w:val="20"/>
              </w:rPr>
              <w:t xml:space="preserve">MORI, Nerli Nonato Ribeiro. </w:t>
            </w:r>
            <w:r>
              <w:rPr>
                <w:rFonts w:cs="Arial" w:ascii="Arial" w:hAnsi="Arial"/>
                <w:i/>
                <w:color w:val="00000A"/>
                <w:sz w:val="20"/>
                <w:szCs w:val="20"/>
              </w:rPr>
              <w:t xml:space="preserve">Memória e identidade: </w:t>
            </w:r>
            <w:r>
              <w:rPr>
                <w:rFonts w:cs="Arial" w:ascii="Arial" w:hAnsi="Arial"/>
                <w:color w:val="00000A"/>
                <w:sz w:val="20"/>
                <w:szCs w:val="20"/>
              </w:rPr>
              <w:t>travessia dos velhos professores. Maringá: EDUEM, 1998.</w:t>
            </w:r>
          </w:p>
          <w:p>
            <w:pPr>
              <w:pStyle w:val="Padro"/>
              <w:spacing w:lineRule="auto" w:line="240" w:before="0" w:after="0"/>
              <w:jc w:val="both"/>
              <w:rPr>
                <w:rFonts w:ascii="Arial" w:hAnsi="Arial" w:cs="Arial"/>
                <w:color w:val="00000A"/>
                <w:sz w:val="20"/>
                <w:szCs w:val="20"/>
              </w:rPr>
            </w:pPr>
            <w:r>
              <w:rPr>
                <w:rFonts w:cs="Arial" w:ascii="Arial" w:hAnsi="Arial"/>
                <w:color w:val="00000A"/>
                <w:sz w:val="20"/>
                <w:szCs w:val="20"/>
              </w:rPr>
              <w:t xml:space="preserve">OLIVEIRA, Inês Barbosa; SGARB, Paulo (Orgs). </w:t>
            </w:r>
            <w:r>
              <w:rPr>
                <w:rFonts w:cs="Arial" w:ascii="Arial" w:hAnsi="Arial"/>
                <w:i/>
                <w:color w:val="00000A"/>
                <w:sz w:val="20"/>
                <w:szCs w:val="20"/>
              </w:rPr>
              <w:t>Redes Culturais, diversidades e educação</w:t>
            </w:r>
            <w:r>
              <w:rPr>
                <w:rFonts w:cs="Arial" w:ascii="Arial" w:hAnsi="Arial"/>
                <w:color w:val="00000A"/>
                <w:sz w:val="20"/>
                <w:szCs w:val="20"/>
              </w:rPr>
              <w:t xml:space="preserve">. Rio de Janeiro: DP&amp;A, 2002. </w:t>
            </w:r>
          </w:p>
          <w:p>
            <w:pPr>
              <w:pStyle w:val="Normal"/>
              <w:spacing w:before="0" w:after="0"/>
              <w:jc w:val="both"/>
              <w:rPr>
                <w:rFonts w:ascii="Arial" w:hAnsi="Arial" w:cs="Arial"/>
                <w:b/>
                <w:b/>
                <w:bCs/>
              </w:rPr>
            </w:pPr>
            <w:r>
              <w:rPr>
                <w:rFonts w:cs="Arial" w:ascii="Arial" w:hAnsi="Arial"/>
                <w:sz w:val="20"/>
                <w:szCs w:val="20"/>
              </w:rPr>
              <w:t xml:space="preserve">SILVA, Tomaz Tadeu da (Org). </w:t>
            </w:r>
            <w:r>
              <w:rPr>
                <w:rFonts w:cs="Arial" w:ascii="Arial" w:hAnsi="Arial"/>
                <w:i/>
                <w:sz w:val="20"/>
                <w:szCs w:val="20"/>
              </w:rPr>
              <w:t xml:space="preserve">Identidade e diferença: </w:t>
            </w:r>
            <w:r>
              <w:rPr>
                <w:rFonts w:cs="Arial" w:ascii="Arial" w:hAnsi="Arial"/>
                <w:sz w:val="20"/>
                <w:szCs w:val="20"/>
              </w:rPr>
              <w:t>a perspectiva dos estudos culturais. Petrópolis, RJ: Vozes, 2000.</w:t>
            </w:r>
          </w:p>
        </w:tc>
      </w:tr>
      <w:tr>
        <w:trPr/>
        <w:tc>
          <w:tcPr>
            <w:tcW w:w="8494" w:type="dxa"/>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Unidade Curricular:</w:t>
            </w:r>
            <w:r>
              <w:rPr>
                <w:rFonts w:cs="Arial" w:ascii="Arial" w:hAnsi="Arial"/>
                <w:sz w:val="20"/>
                <w:szCs w:val="20"/>
              </w:rPr>
              <w:t xml:space="preserve"> </w:t>
            </w:r>
            <w:r>
              <w:rPr>
                <w:rFonts w:cs="Arial" w:ascii="Arial" w:hAnsi="Arial"/>
                <w:b/>
                <w:u w:val="single"/>
              </w:rPr>
              <w:t>LEH: Memória, Patrimônio e Educação Histórica</w:t>
            </w:r>
          </w:p>
          <w:p>
            <w:pPr>
              <w:pStyle w:val="Normal"/>
              <w:spacing w:lineRule="auto" w:line="240" w:before="0" w:after="0"/>
              <w:jc w:val="both"/>
              <w:rPr>
                <w:rFonts w:ascii="Arial" w:hAnsi="Arial" w:cs="Arial"/>
                <w:bCs/>
              </w:rPr>
            </w:pPr>
            <w:r>
              <w:rPr>
                <w:rFonts w:cs="Arial" w:ascii="Arial" w:hAnsi="Arial"/>
                <w:b/>
                <w:bCs/>
              </w:rPr>
              <w:t>Período:</w:t>
            </w:r>
            <w:r>
              <w:rPr>
                <w:rFonts w:cs="Arial" w:ascii="Arial" w:hAnsi="Arial"/>
                <w:bCs/>
              </w:rPr>
              <w:t xml:space="preserve"> 3º</w:t>
            </w:r>
          </w:p>
          <w:p>
            <w:pPr>
              <w:pStyle w:val="Normal"/>
              <w:spacing w:lineRule="auto" w:line="240" w:before="0" w:after="0"/>
              <w:jc w:val="both"/>
              <w:rPr>
                <w:rFonts w:ascii="Arial" w:hAnsi="Arial" w:cs="Arial"/>
                <w:b/>
                <w:b/>
                <w:bCs/>
              </w:rPr>
            </w:pPr>
            <w:r>
              <w:rPr>
                <w:rFonts w:cs="Arial" w:ascii="Arial" w:hAnsi="Arial"/>
                <w:b/>
                <w:bCs/>
              </w:rPr>
              <w:t>Carga Horária:</w:t>
            </w:r>
            <w:r>
              <w:rPr>
                <w:rFonts w:cs="Arial" w:ascii="Arial" w:hAnsi="Arial"/>
              </w:rPr>
              <w:t xml:space="preserve"> 15 h/a teóricas e 60 h/a práticas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Ementa:</w:t>
            </w:r>
            <w:r>
              <w:rPr>
                <w:rFonts w:cs="Arial" w:ascii="Arial" w:hAnsi="Arial"/>
                <w:color w:val="000000" w:themeColor="text1"/>
              </w:rPr>
              <w:t xml:space="preserve"> Planejamento e execução de atividades educativas em ambientes escolares e não escolares que articulem a memória, a história e o patrimônio em suas diversas dimensões e linguagens contemporâneas.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Bibliografia Básica:</w:t>
            </w:r>
          </w:p>
          <w:p>
            <w:pPr>
              <w:pStyle w:val="Normal"/>
              <w:spacing w:lineRule="auto" w:line="240" w:before="0" w:after="0"/>
              <w:jc w:val="both"/>
              <w:rPr>
                <w:rFonts w:ascii="Arial" w:hAnsi="Arial" w:cs="Arial"/>
                <w:b/>
                <w:b/>
                <w:sz w:val="20"/>
                <w:szCs w:val="20"/>
              </w:rPr>
            </w:pPr>
            <w:r>
              <w:rPr>
                <w:rFonts w:cs="Arial" w:ascii="Arial" w:hAnsi="Arial"/>
                <w:sz w:val="20"/>
                <w:szCs w:val="20"/>
              </w:rPr>
              <w:t xml:space="preserve">CHOAY, Françoise. </w:t>
            </w:r>
            <w:r>
              <w:rPr>
                <w:rFonts w:cs="Arial" w:ascii="Arial" w:hAnsi="Arial"/>
                <w:i/>
                <w:sz w:val="20"/>
                <w:szCs w:val="20"/>
              </w:rPr>
              <w:t>A alegoria do patrimônio.</w:t>
            </w:r>
            <w:r>
              <w:rPr>
                <w:rFonts w:cs="Arial" w:ascii="Arial" w:hAnsi="Arial"/>
                <w:sz w:val="20"/>
                <w:szCs w:val="20"/>
              </w:rPr>
              <w:t xml:space="preserve"> São Paulo: Estação Liberdade/Editora UNESP, 2001.</w:t>
            </w:r>
          </w:p>
          <w:p>
            <w:pPr>
              <w:pStyle w:val="Normal"/>
              <w:spacing w:lineRule="auto" w:line="240" w:before="0" w:after="0"/>
              <w:rPr>
                <w:rFonts w:ascii="Arial" w:hAnsi="Arial" w:cs="Arial"/>
                <w:b/>
                <w:b/>
                <w:sz w:val="20"/>
                <w:szCs w:val="20"/>
              </w:rPr>
            </w:pPr>
            <w:r>
              <w:rPr>
                <w:rFonts w:cs="Arial" w:ascii="Arial" w:hAnsi="Arial"/>
                <w:sz w:val="20"/>
                <w:szCs w:val="20"/>
              </w:rPr>
              <w:t xml:space="preserve">LE GOFF, Jacques. </w:t>
            </w:r>
            <w:r>
              <w:rPr>
                <w:rFonts w:cs="Arial" w:ascii="Arial" w:hAnsi="Arial"/>
                <w:i/>
                <w:sz w:val="20"/>
                <w:szCs w:val="20"/>
              </w:rPr>
              <w:t>História e Memória</w:t>
            </w:r>
            <w:r>
              <w:rPr>
                <w:rFonts w:cs="Arial" w:ascii="Arial" w:hAnsi="Arial"/>
                <w:sz w:val="20"/>
                <w:szCs w:val="20"/>
              </w:rPr>
              <w:t>. Campinas: Editora da UNICAMP, 1996.</w:t>
            </w:r>
          </w:p>
          <w:p>
            <w:pPr>
              <w:pStyle w:val="Normal"/>
              <w:spacing w:lineRule="auto" w:line="240" w:before="0" w:after="0"/>
              <w:jc w:val="both"/>
              <w:rPr>
                <w:rFonts w:ascii="Arial" w:hAnsi="Arial" w:cs="Arial"/>
                <w:b/>
                <w:b/>
                <w:bCs/>
              </w:rPr>
            </w:pPr>
            <w:r>
              <w:rPr>
                <w:rFonts w:cs="Arial" w:ascii="Arial" w:hAnsi="Arial"/>
                <w:sz w:val="20"/>
                <w:szCs w:val="20"/>
              </w:rPr>
              <w:t xml:space="preserve">ZAMBONI, Ernesta, GALZERANI, Maria Carolina; PACIEVITCH, Caroline. </w:t>
            </w:r>
            <w:r>
              <w:rPr>
                <w:rFonts w:cs="Arial" w:ascii="Arial" w:hAnsi="Arial"/>
                <w:i/>
                <w:sz w:val="20"/>
                <w:szCs w:val="20"/>
              </w:rPr>
              <w:t>Memória, sensibilidades e saberes.</w:t>
            </w:r>
            <w:r>
              <w:rPr>
                <w:rFonts w:cs="Arial" w:ascii="Arial" w:hAnsi="Arial"/>
                <w:sz w:val="20"/>
                <w:szCs w:val="20"/>
              </w:rPr>
              <w:t xml:space="preserve"> Campinas; Alínea, 2015.</w:t>
            </w:r>
          </w:p>
        </w:tc>
      </w:tr>
      <w:tr>
        <w:trPr/>
        <w:tc>
          <w:tcPr>
            <w:tcW w:w="8494" w:type="dxa"/>
            <w:tcBorders>
              <w:top w:val="nil"/>
            </w:tcBorders>
            <w:shd w:fill="auto" w:val="clear"/>
            <w:tcMar>
              <w:left w:w="108" w:type="dxa"/>
            </w:tcMar>
          </w:tcPr>
          <w:p>
            <w:pPr>
              <w:pStyle w:val="Normal"/>
              <w:tabs>
                <w:tab w:val="left" w:pos="6015" w:leader="none"/>
              </w:tabs>
              <w:spacing w:lineRule="auto" w:line="240" w:before="0" w:after="0"/>
              <w:jc w:val="both"/>
              <w:rPr>
                <w:rFonts w:ascii="Arial" w:hAnsi="Arial" w:cs="Arial"/>
                <w:b/>
                <w:b/>
                <w:bCs/>
              </w:rPr>
            </w:pPr>
            <w:r>
              <w:rPr>
                <w:rFonts w:cs="Arial" w:ascii="Arial" w:hAnsi="Arial"/>
                <w:b/>
                <w:bCs/>
              </w:rPr>
              <w:t>Bibliografia Complementar:</w:t>
              <w:tab/>
            </w:r>
          </w:p>
          <w:p>
            <w:pPr>
              <w:pStyle w:val="Normal"/>
              <w:spacing w:lineRule="auto" w:line="240" w:before="0" w:after="0"/>
              <w:jc w:val="both"/>
              <w:rPr>
                <w:rFonts w:ascii="Arial" w:hAnsi="Arial" w:cs="Arial"/>
                <w:sz w:val="20"/>
              </w:rPr>
            </w:pPr>
            <w:r>
              <w:rPr>
                <w:rFonts w:cs="Arial" w:ascii="Arial" w:hAnsi="Arial"/>
                <w:sz w:val="20"/>
              </w:rPr>
              <w:t xml:space="preserve">DAYRELL, Juarez (org). </w:t>
            </w:r>
            <w:r>
              <w:rPr>
                <w:rFonts w:cs="Arial" w:ascii="Arial" w:hAnsi="Arial"/>
                <w:i/>
                <w:sz w:val="20"/>
              </w:rPr>
              <w:t>Múltiplos olhares sobre educação e cultura</w:t>
            </w:r>
            <w:r>
              <w:rPr>
                <w:rFonts w:cs="Arial" w:ascii="Arial" w:hAnsi="Arial"/>
                <w:sz w:val="20"/>
              </w:rPr>
              <w:t>. Belo Horizonte: Ed. UFMG, 1996.</w:t>
            </w:r>
          </w:p>
          <w:p>
            <w:pPr>
              <w:pStyle w:val="Normal"/>
              <w:spacing w:lineRule="auto" w:line="240" w:before="0" w:after="0"/>
              <w:jc w:val="both"/>
              <w:rPr>
                <w:rFonts w:ascii="Arial" w:hAnsi="Arial" w:cs="Arial"/>
                <w:sz w:val="20"/>
              </w:rPr>
            </w:pPr>
            <w:r>
              <w:rPr>
                <w:rFonts w:cs="Arial" w:ascii="Arial" w:hAnsi="Arial"/>
                <w:sz w:val="20"/>
              </w:rPr>
              <w:t xml:space="preserve">FIGUEIREDO, Betânia Gonçalves; VIDAL, Diana Gonçalves (Orgs). </w:t>
            </w:r>
            <w:r>
              <w:rPr>
                <w:rFonts w:cs="Arial" w:ascii="Arial" w:hAnsi="Arial"/>
                <w:i/>
                <w:sz w:val="20"/>
              </w:rPr>
              <w:t>Museus: dos gabinetes de curiosidades à museologia moderna</w:t>
            </w:r>
            <w:r>
              <w:rPr>
                <w:rFonts w:cs="Arial" w:ascii="Arial" w:hAnsi="Arial"/>
                <w:sz w:val="20"/>
              </w:rPr>
              <w:t>. Belo Horizonte: Argumentum, Brasília: CNPq, 2005.</w:t>
            </w:r>
          </w:p>
          <w:p>
            <w:pPr>
              <w:pStyle w:val="Normal"/>
              <w:spacing w:lineRule="auto" w:line="240" w:before="0" w:after="0"/>
              <w:jc w:val="both"/>
              <w:rPr>
                <w:rFonts w:ascii="Arial" w:hAnsi="Arial" w:cs="Arial"/>
                <w:b/>
                <w:b/>
                <w:sz w:val="20"/>
              </w:rPr>
            </w:pPr>
            <w:r>
              <w:rPr>
                <w:rFonts w:cs="Arial" w:ascii="Arial" w:hAnsi="Arial"/>
                <w:sz w:val="20"/>
              </w:rPr>
              <w:t xml:space="preserve">SANTOS, Myrian Sepúlveda dos. </w:t>
            </w:r>
            <w:r>
              <w:rPr>
                <w:rFonts w:cs="Arial" w:ascii="Arial" w:hAnsi="Arial"/>
                <w:i/>
                <w:sz w:val="20"/>
              </w:rPr>
              <w:t>A Escrita do Passado em Museus Históricos</w:t>
            </w:r>
            <w:r>
              <w:rPr>
                <w:rFonts w:cs="Arial" w:ascii="Arial" w:hAnsi="Arial"/>
                <w:sz w:val="20"/>
              </w:rPr>
              <w:t>. Rio de Janeiro: Garamond, MinC, IPHAN, DEMU, 2006.</w:t>
            </w:r>
          </w:p>
          <w:p>
            <w:pPr>
              <w:pStyle w:val="Normal"/>
              <w:spacing w:lineRule="auto" w:line="240" w:before="0" w:after="0"/>
              <w:ind w:right="-7" w:hanging="0"/>
              <w:jc w:val="both"/>
              <w:rPr>
                <w:rFonts w:ascii="Arial" w:hAnsi="Arial" w:cs="Arial"/>
              </w:rPr>
            </w:pPr>
            <w:r>
              <w:rPr>
                <w:rFonts w:cs="Arial" w:ascii="Arial" w:hAnsi="Arial"/>
                <w:sz w:val="20"/>
              </w:rPr>
              <w:t>SILVA, Cristiane e ZAMBONI, Ernesta (Orgs</w:t>
            </w:r>
            <w:r>
              <w:rPr>
                <w:rFonts w:cs="Arial" w:ascii="Arial" w:hAnsi="Arial"/>
                <w:i/>
                <w:sz w:val="20"/>
              </w:rPr>
              <w:t>.). Ensino de História, memória e culturas.</w:t>
            </w:r>
            <w:r>
              <w:rPr>
                <w:rFonts w:cs="Arial" w:ascii="Arial" w:hAnsi="Arial"/>
                <w:sz w:val="20"/>
              </w:rPr>
              <w:t xml:space="preserve"> Curitiba, CRV, 2013</w:t>
            </w:r>
            <w:r>
              <w:rPr>
                <w:rFonts w:cs="Arial" w:ascii="Arial" w:hAnsi="Arial"/>
              </w:rPr>
              <w:t>.</w:t>
            </w:r>
          </w:p>
          <w:p>
            <w:pPr>
              <w:pStyle w:val="Normal"/>
              <w:spacing w:lineRule="auto" w:line="240" w:before="0" w:after="0"/>
              <w:jc w:val="both"/>
              <w:rPr>
                <w:rFonts w:ascii="Arial" w:hAnsi="Arial" w:cs="Arial"/>
                <w:b/>
                <w:b/>
                <w:bCs/>
              </w:rPr>
            </w:pPr>
            <w:r>
              <w:rPr>
                <w:rFonts w:cs="Arial" w:ascii="Arial" w:hAnsi="Arial"/>
                <w:color w:val="252525"/>
                <w:sz w:val="20"/>
              </w:rPr>
              <w:t xml:space="preserve">VARINE, H. As </w:t>
            </w:r>
            <w:r>
              <w:rPr>
                <w:rFonts w:cs="Arial" w:ascii="Arial" w:hAnsi="Arial"/>
                <w:i/>
                <w:color w:val="252525"/>
                <w:sz w:val="20"/>
              </w:rPr>
              <w:t>Raízes do Futuro</w:t>
            </w:r>
            <w:r>
              <w:rPr>
                <w:rFonts w:cs="Arial" w:ascii="Arial" w:hAnsi="Arial"/>
                <w:color w:val="252525"/>
                <w:sz w:val="20"/>
              </w:rPr>
              <w:t>: O Patrimônio a Serviço do Desenvolvimento Local. Porto Alegre, Medianiz, 2012.</w:t>
            </w:r>
          </w:p>
        </w:tc>
      </w:tr>
      <w:tr>
        <w:trPr/>
        <w:tc>
          <w:tcPr>
            <w:tcW w:w="8494" w:type="dxa"/>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Unidade Curricular:</w:t>
            </w:r>
            <w:r>
              <w:rPr>
                <w:rFonts w:cs="Arial" w:ascii="Arial" w:hAnsi="Arial"/>
                <w:b/>
                <w:u w:val="single"/>
              </w:rPr>
              <w:t xml:space="preserve"> Psicologia da Educação</w:t>
            </w:r>
          </w:p>
          <w:p>
            <w:pPr>
              <w:pStyle w:val="Normal"/>
              <w:spacing w:lineRule="auto" w:line="240" w:before="0" w:after="0"/>
              <w:jc w:val="both"/>
              <w:rPr>
                <w:rFonts w:ascii="Arial" w:hAnsi="Arial" w:cs="Arial"/>
                <w:bCs/>
              </w:rPr>
            </w:pPr>
            <w:r>
              <w:rPr>
                <w:rFonts w:cs="Arial" w:ascii="Arial" w:hAnsi="Arial"/>
                <w:b/>
                <w:bCs/>
              </w:rPr>
              <w:t>Período:</w:t>
            </w:r>
            <w:r>
              <w:rPr>
                <w:rFonts w:cs="Arial" w:ascii="Arial" w:hAnsi="Arial"/>
                <w:bCs/>
              </w:rPr>
              <w:t xml:space="preserve"> 3º</w:t>
            </w:r>
          </w:p>
          <w:p>
            <w:pPr>
              <w:pStyle w:val="Normal"/>
              <w:spacing w:lineRule="auto" w:line="240" w:before="0" w:after="0"/>
              <w:jc w:val="both"/>
              <w:rPr>
                <w:rFonts w:ascii="Arial" w:hAnsi="Arial" w:cs="Arial"/>
                <w:b/>
                <w:b/>
                <w:bCs/>
              </w:rPr>
            </w:pPr>
            <w:r>
              <w:rPr>
                <w:rFonts w:cs="Arial" w:ascii="Arial" w:hAnsi="Arial"/>
                <w:b/>
                <w:bCs/>
              </w:rPr>
              <w:t>Carga Horária:</w:t>
            </w:r>
            <w:r>
              <w:rPr>
                <w:rFonts w:cs="Arial" w:ascii="Arial" w:hAnsi="Arial"/>
              </w:rPr>
              <w:t xml:space="preserve"> 60 h/a teóricas e 15 h/a práticas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Ementa:</w:t>
            </w:r>
            <w:r>
              <w:rPr>
                <w:rFonts w:cs="Arial" w:ascii="Arial" w:hAnsi="Arial"/>
              </w:rPr>
              <w:t xml:space="preserve"> Definição e histórico da Psicologia da Educação. Estudo das principais teorias da aprendizagem (análise do comportamento, cognitiva e sócio interacionistas). Fatores ambientais, comportamentais e cognitivos que interferem na aprendizagem. Dificuldades e transtornos de aprendizagem. Contribuições da Psicologia da Educação para as práticas em educação.</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bCs/>
              </w:rPr>
            </w:pPr>
            <w:r>
              <w:rPr>
                <w:rFonts w:cs="Arial" w:ascii="Arial" w:hAnsi="Arial"/>
                <w:b/>
                <w:bCs/>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BOCK, A. M. B.; FURTADO, O.; TEIXEIRA, M. L. T. Psicologias – Uma introdução ao estudo de psicologia. São Paulo: Ed. Saraiva: 2002.</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COLL, César; MARCHESI, Avaro; PALACIOS, Jesús e col. Desenvolvimento Psicológico e Educação. 2a. ed. Porto Alegre: Artmed, 2004.</w:t>
            </w:r>
          </w:p>
          <w:p>
            <w:pPr>
              <w:pStyle w:val="Normal"/>
              <w:spacing w:before="0" w:after="0"/>
              <w:jc w:val="both"/>
              <w:rPr>
                <w:rFonts w:ascii="Arial" w:hAnsi="Arial" w:cs="Arial"/>
                <w:b/>
                <w:b/>
                <w:bCs/>
              </w:rPr>
            </w:pPr>
            <w:r>
              <w:rPr>
                <w:rFonts w:cs="Arial" w:ascii="Arial" w:hAnsi="Arial"/>
                <w:sz w:val="20"/>
              </w:rPr>
              <w:t>FALCÃO, Gérson Marinho. Psicologia da aprendizagem. 10ª ed. São Paulo: Ática, 2001.</w:t>
            </w:r>
          </w:p>
        </w:tc>
      </w:tr>
      <w:tr>
        <w:trPr/>
        <w:tc>
          <w:tcPr>
            <w:tcW w:w="8494" w:type="dxa"/>
            <w:tcBorders>
              <w:top w:val="nil"/>
            </w:tcBorders>
            <w:shd w:fill="auto" w:val="clear"/>
            <w:tcMar>
              <w:left w:w="108" w:type="dxa"/>
            </w:tcMar>
          </w:tcPr>
          <w:p>
            <w:pPr>
              <w:pStyle w:val="Normal"/>
              <w:spacing w:before="0" w:after="0"/>
              <w:jc w:val="both"/>
              <w:rPr>
                <w:rFonts w:ascii="Arial" w:hAnsi="Arial" w:cs="Arial"/>
                <w:b/>
                <w:b/>
                <w:bCs/>
              </w:rPr>
            </w:pPr>
            <w:r>
              <w:rPr>
                <w:rFonts w:cs="Arial" w:ascii="Arial" w:hAnsi="Arial"/>
                <w:b/>
                <w:bCs/>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BAQUERO, R. </w:t>
            </w:r>
            <w:r>
              <w:rPr>
                <w:rFonts w:cs="Arial" w:ascii="Arial" w:hAnsi="Arial"/>
                <w:i/>
                <w:color w:val="00000A"/>
                <w:sz w:val="20"/>
                <w:szCs w:val="22"/>
              </w:rPr>
              <w:t>Vygotsky e a Aprendizagem Escolar</w:t>
            </w:r>
            <w:r>
              <w:rPr>
                <w:rFonts w:cs="Arial" w:ascii="Arial" w:hAnsi="Arial"/>
                <w:color w:val="00000A"/>
                <w:sz w:val="20"/>
                <w:szCs w:val="22"/>
              </w:rPr>
              <w:t>. Porto Alegre: Artes Médicas, 1998.</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CAMPOS, Dinah Martins de Souza. </w:t>
            </w:r>
            <w:r>
              <w:rPr>
                <w:rFonts w:cs="Arial" w:ascii="Arial" w:hAnsi="Arial"/>
                <w:i/>
                <w:color w:val="00000A"/>
                <w:sz w:val="20"/>
                <w:szCs w:val="22"/>
              </w:rPr>
              <w:t>Psicologia da aprendizagem</w:t>
            </w:r>
            <w:r>
              <w:rPr>
                <w:rFonts w:cs="Arial" w:ascii="Arial" w:hAnsi="Arial"/>
                <w:color w:val="00000A"/>
                <w:sz w:val="20"/>
                <w:szCs w:val="22"/>
              </w:rPr>
              <w:t>. 37. ed. Petrópolis: Vozes, 2008.</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CARRARA, Kester. </w:t>
            </w:r>
            <w:r>
              <w:rPr>
                <w:rFonts w:cs="Arial" w:ascii="Arial" w:hAnsi="Arial"/>
                <w:i/>
                <w:color w:val="00000A"/>
                <w:sz w:val="20"/>
                <w:szCs w:val="22"/>
              </w:rPr>
              <w:t>Introdução à Psicologia da Educação</w:t>
            </w:r>
            <w:r>
              <w:rPr>
                <w:rFonts w:cs="Arial" w:ascii="Arial" w:hAnsi="Arial"/>
                <w:color w:val="00000A"/>
                <w:sz w:val="20"/>
                <w:szCs w:val="22"/>
              </w:rPr>
              <w:t>: seis abordagens. São Paulo: Avercamp, 2004.</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CATANIA, A Charles. </w:t>
            </w:r>
            <w:r>
              <w:rPr>
                <w:rFonts w:cs="Arial" w:ascii="Arial" w:hAnsi="Arial"/>
                <w:i/>
                <w:color w:val="00000A"/>
                <w:sz w:val="20"/>
                <w:szCs w:val="22"/>
              </w:rPr>
              <w:t>Aprendizagem</w:t>
            </w:r>
            <w:r>
              <w:rPr>
                <w:rFonts w:cs="Arial" w:ascii="Arial" w:hAnsi="Arial"/>
                <w:color w:val="00000A"/>
                <w:sz w:val="20"/>
                <w:szCs w:val="22"/>
              </w:rPr>
              <w:t>: comportamento, linguagem e cognição. 4ª ed. São Paulo: Artes Médicas Sul, 1999.</w:t>
            </w:r>
          </w:p>
          <w:p>
            <w:pPr>
              <w:pStyle w:val="Normal"/>
              <w:spacing w:before="0" w:after="0"/>
              <w:jc w:val="both"/>
              <w:rPr>
                <w:rFonts w:ascii="Arial" w:hAnsi="Arial" w:cs="Arial"/>
                <w:b/>
                <w:b/>
                <w:bCs/>
              </w:rPr>
            </w:pPr>
            <w:r>
              <w:rPr>
                <w:rFonts w:eastAsia="Calibri" w:cs="Arial" w:ascii="Arial" w:hAnsi="Arial"/>
                <w:sz w:val="20"/>
              </w:rPr>
              <w:t xml:space="preserve">MOREIRA, Marco Antônio. </w:t>
            </w:r>
            <w:r>
              <w:rPr>
                <w:rFonts w:eastAsia="Calibri" w:cs="Arial" w:ascii="Arial" w:hAnsi="Arial"/>
                <w:i/>
                <w:sz w:val="20"/>
              </w:rPr>
              <w:t>Teorias da Aprendizagem</w:t>
            </w:r>
            <w:r>
              <w:rPr>
                <w:rFonts w:eastAsia="Calibri" w:cs="Arial" w:ascii="Arial" w:hAnsi="Arial"/>
                <w:sz w:val="20"/>
              </w:rPr>
              <w:t>. 2a. ed. São Paulo: EPU, 2015.</w:t>
            </w:r>
          </w:p>
        </w:tc>
      </w:tr>
      <w:tr>
        <w:trPr/>
        <w:tc>
          <w:tcPr>
            <w:tcW w:w="8494" w:type="dxa"/>
            <w:tcBorders/>
            <w:shd w:fill="auto" w:val="clear"/>
            <w:tcMar>
              <w:left w:w="108" w:type="dxa"/>
            </w:tcMar>
          </w:tcPr>
          <w:p>
            <w:pPr>
              <w:pStyle w:val="Normal"/>
              <w:tabs>
                <w:tab w:val="left" w:pos="6015" w:leader="none"/>
              </w:tabs>
              <w:spacing w:lineRule="auto" w:line="240" w:before="0" w:after="0"/>
              <w:jc w:val="both"/>
              <w:rPr>
                <w:rFonts w:ascii="Arial" w:hAnsi="Arial" w:cs="Arial"/>
                <w:b/>
                <w:b/>
                <w:bCs/>
              </w:rPr>
            </w:pPr>
            <w:r>
              <w:rPr>
                <w:rFonts w:cs="Arial" w:ascii="Arial" w:hAnsi="Arial"/>
                <w:b/>
                <w:bCs/>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Unidade Curricular:</w:t>
            </w:r>
            <w:r>
              <w:rPr>
                <w:rFonts w:cs="Arial" w:ascii="Arial" w:hAnsi="Arial"/>
                <w:sz w:val="20"/>
                <w:szCs w:val="20"/>
              </w:rPr>
              <w:t xml:space="preserve"> </w:t>
            </w:r>
            <w:r>
              <w:rPr>
                <w:rFonts w:cs="Arial" w:ascii="Arial" w:hAnsi="Arial"/>
                <w:b/>
                <w:u w:val="single"/>
              </w:rPr>
              <w:t>História, Meio Ambiente e Educação Ambiental</w:t>
            </w:r>
          </w:p>
          <w:p>
            <w:pPr>
              <w:pStyle w:val="Normal"/>
              <w:spacing w:lineRule="auto" w:line="240" w:before="0" w:after="0"/>
              <w:jc w:val="both"/>
              <w:rPr>
                <w:rFonts w:ascii="Arial" w:hAnsi="Arial" w:cs="Arial"/>
                <w:bCs/>
              </w:rPr>
            </w:pPr>
            <w:r>
              <w:rPr>
                <w:rFonts w:cs="Arial" w:ascii="Arial" w:hAnsi="Arial"/>
                <w:b/>
                <w:bCs/>
              </w:rPr>
              <w:t>Período:</w:t>
            </w:r>
            <w:r>
              <w:rPr>
                <w:rFonts w:cs="Arial" w:ascii="Arial" w:hAnsi="Arial"/>
                <w:bCs/>
              </w:rPr>
              <w:t xml:space="preserve"> 4º</w:t>
            </w:r>
          </w:p>
          <w:p>
            <w:pPr>
              <w:pStyle w:val="Normal"/>
              <w:tabs>
                <w:tab w:val="left" w:pos="6015" w:leader="none"/>
              </w:tabs>
              <w:spacing w:lineRule="auto" w:line="240" w:before="0" w:after="0"/>
              <w:jc w:val="both"/>
              <w:rPr>
                <w:rFonts w:ascii="Arial" w:hAnsi="Arial" w:cs="Arial"/>
                <w:b/>
                <w:b/>
                <w:bCs/>
              </w:rPr>
            </w:pPr>
            <w:r>
              <w:rPr>
                <w:rFonts w:cs="Arial" w:ascii="Arial" w:hAnsi="Arial"/>
                <w:b/>
                <w:bCs/>
              </w:rPr>
              <w:t>Carga Horária:</w:t>
            </w:r>
            <w:r>
              <w:rPr>
                <w:rFonts w:cs="Arial" w:ascii="Arial" w:hAnsi="Arial"/>
              </w:rPr>
              <w:t xml:space="preserve"> 30 h/a teóricas e 15 h/a práticas</w:t>
            </w:r>
          </w:p>
        </w:tc>
      </w:tr>
      <w:tr>
        <w:trPr/>
        <w:tc>
          <w:tcPr>
            <w:tcW w:w="8494" w:type="dxa"/>
            <w:tcBorders>
              <w:top w:val="nil"/>
              <w:bottom w:val="nil"/>
              <w:insideH w:val="nil"/>
            </w:tcBorders>
            <w:shd w:fill="auto" w:val="clear"/>
            <w:tcMar>
              <w:left w:w="108" w:type="dxa"/>
            </w:tcMar>
          </w:tcPr>
          <w:p>
            <w:pPr>
              <w:pStyle w:val="Normal"/>
              <w:tabs>
                <w:tab w:val="left" w:pos="6015" w:leader="none"/>
              </w:tabs>
              <w:spacing w:lineRule="auto" w:line="240" w:before="0" w:after="0"/>
              <w:jc w:val="both"/>
              <w:rPr>
                <w:rFonts w:ascii="Arial" w:hAnsi="Arial" w:cs="Arial"/>
                <w:b/>
                <w:b/>
                <w:bCs/>
              </w:rPr>
            </w:pPr>
            <w:r>
              <w:rPr>
                <w:rFonts w:cs="Arial" w:ascii="Arial" w:hAnsi="Arial"/>
                <w:b/>
                <w:bCs/>
              </w:rPr>
              <w:t>Ementa:</w:t>
            </w:r>
            <w:r>
              <w:rPr>
                <w:rFonts w:cs="Arial" w:ascii="Arial" w:hAnsi="Arial"/>
                <w:color w:val="000000" w:themeColor="text1"/>
              </w:rPr>
              <w:t xml:space="preserve"> </w:t>
            </w:r>
            <w:r>
              <w:rPr>
                <w:rFonts w:cs="Arial" w:ascii="Arial" w:hAnsi="Arial"/>
              </w:rPr>
              <w:t>Crise ambiental, revolução historiográfica e surgimento da História Ambiental. O campo da História Ambiental: linhas de investigação, fontes e métodos. História Ambiental, discurso ambiental e ecologia política. Pesquisas de História Ambiental: análises de casos relativos ao Brasil. História Ambiental e Educação Ambiental. História e práticas de Educação Ambiental no Brasil.</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bCs/>
              </w:rPr>
            </w:pPr>
            <w:r>
              <w:rPr>
                <w:rFonts w:cs="Arial" w:ascii="Arial" w:hAnsi="Arial"/>
                <w:b/>
                <w:bCs/>
              </w:rPr>
              <w:t>Bibliografia Básica:</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DUARTE, Regina Horta. </w:t>
            </w:r>
            <w:r>
              <w:rPr>
                <w:rFonts w:eastAsia="Calibri" w:cs="Arial" w:ascii="Arial" w:hAnsi="Arial"/>
                <w:i/>
                <w:color w:val="00000A"/>
                <w:sz w:val="20"/>
                <w:szCs w:val="22"/>
              </w:rPr>
              <w:t>História &amp; natureza</w:t>
            </w:r>
            <w:r>
              <w:rPr>
                <w:rFonts w:eastAsia="Calibri" w:cs="Arial" w:ascii="Arial" w:hAnsi="Arial"/>
                <w:color w:val="00000A"/>
                <w:sz w:val="20"/>
                <w:szCs w:val="22"/>
              </w:rPr>
              <w:t>. Belo Horizonte: Autêntica, 2005.</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MARTINS, Marcos Lobato. </w:t>
            </w:r>
            <w:r>
              <w:rPr>
                <w:rFonts w:cs="Arial" w:ascii="Arial" w:hAnsi="Arial"/>
                <w:i/>
                <w:color w:val="00000A"/>
                <w:sz w:val="20"/>
                <w:szCs w:val="22"/>
              </w:rPr>
              <w:t>História e meio ambiente</w:t>
            </w:r>
            <w:r>
              <w:rPr>
                <w:rFonts w:cs="Arial" w:ascii="Arial" w:hAnsi="Arial"/>
                <w:color w:val="00000A"/>
                <w:sz w:val="20"/>
                <w:szCs w:val="22"/>
              </w:rPr>
              <w:t>. São Paulo: Annablume, 2007.</w:t>
            </w:r>
          </w:p>
          <w:p>
            <w:pPr>
              <w:pStyle w:val="Normal"/>
              <w:tabs>
                <w:tab w:val="left" w:pos="6015" w:leader="none"/>
              </w:tabs>
              <w:spacing w:before="0" w:after="0"/>
              <w:jc w:val="both"/>
              <w:rPr>
                <w:rFonts w:ascii="Arial" w:hAnsi="Arial" w:cs="Arial"/>
                <w:b/>
                <w:b/>
                <w:bCs/>
              </w:rPr>
            </w:pPr>
            <w:r>
              <w:rPr>
                <w:rFonts w:eastAsia="Calibri" w:cs="Arial" w:ascii="Arial" w:hAnsi="Arial"/>
                <w:sz w:val="20"/>
              </w:rPr>
              <w:t xml:space="preserve">REIGOTA, Marcos. </w:t>
            </w:r>
            <w:r>
              <w:rPr>
                <w:rFonts w:eastAsia="Calibri" w:cs="Arial" w:ascii="Arial" w:hAnsi="Arial"/>
                <w:bCs/>
                <w:i/>
                <w:sz w:val="20"/>
              </w:rPr>
              <w:t>A floresta e a escola</w:t>
            </w:r>
            <w:r>
              <w:rPr>
                <w:rFonts w:eastAsia="Calibri" w:cs="Arial" w:ascii="Arial" w:hAnsi="Arial"/>
                <w:sz w:val="20"/>
              </w:rPr>
              <w:t>: por uma educação ambiental pós-moderna. 2. ed. São Paulo: Cortez, 2002.</w:t>
            </w:r>
          </w:p>
        </w:tc>
      </w:tr>
      <w:tr>
        <w:trPr/>
        <w:tc>
          <w:tcPr>
            <w:tcW w:w="8494" w:type="dxa"/>
            <w:tcBorders>
              <w:top w:val="nil"/>
            </w:tcBorders>
            <w:shd w:fill="auto" w:val="clear"/>
            <w:tcMar>
              <w:left w:w="108" w:type="dxa"/>
            </w:tcMar>
          </w:tcPr>
          <w:p>
            <w:pPr>
              <w:pStyle w:val="Normal"/>
              <w:tabs>
                <w:tab w:val="left" w:pos="6015" w:leader="none"/>
              </w:tabs>
              <w:spacing w:before="0" w:after="0"/>
              <w:jc w:val="both"/>
              <w:rPr>
                <w:rFonts w:ascii="Arial" w:hAnsi="Arial" w:cs="Arial"/>
                <w:b/>
                <w:b/>
                <w:bCs/>
              </w:rPr>
            </w:pPr>
            <w:r>
              <w:rPr>
                <w:rFonts w:cs="Arial" w:ascii="Arial" w:hAnsi="Arial"/>
                <w:b/>
                <w:bCs/>
              </w:rPr>
              <w:t>Bibliografia Complementar:</w:t>
              <w:tab/>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CROSBY, Alfred W. </w:t>
            </w:r>
            <w:r>
              <w:rPr>
                <w:rFonts w:eastAsia="Calibri" w:cs="Arial" w:ascii="Arial" w:hAnsi="Arial"/>
                <w:i/>
                <w:color w:val="00000A"/>
                <w:sz w:val="20"/>
                <w:szCs w:val="22"/>
              </w:rPr>
              <w:t>Imperialismo ecológico</w:t>
            </w:r>
            <w:r>
              <w:rPr>
                <w:rFonts w:eastAsia="Calibri" w:cs="Arial" w:ascii="Arial" w:hAnsi="Arial"/>
                <w:color w:val="00000A"/>
                <w:sz w:val="20"/>
                <w:szCs w:val="22"/>
              </w:rPr>
              <w:t>: a expansão biológica da Europa (900-1900). 2.ed. São Paulo: Companhia das Letras, 2002.</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DIAS, Genebaldo Freire. </w:t>
            </w:r>
            <w:r>
              <w:rPr>
                <w:rFonts w:eastAsia="Calibri" w:cs="Arial" w:ascii="Arial" w:hAnsi="Arial"/>
                <w:bCs/>
                <w:i/>
                <w:color w:val="00000A"/>
                <w:sz w:val="20"/>
                <w:szCs w:val="22"/>
              </w:rPr>
              <w:t>Educação Ambiental</w:t>
            </w:r>
            <w:r>
              <w:rPr>
                <w:rFonts w:eastAsia="Calibri" w:cs="Arial" w:ascii="Arial" w:hAnsi="Arial"/>
                <w:color w:val="00000A"/>
                <w:sz w:val="20"/>
                <w:szCs w:val="22"/>
              </w:rPr>
              <w:t>: princípios e práticas. São Paulo: Gaia, 2000.</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PÁDUA, José Augusto. </w:t>
            </w:r>
            <w:r>
              <w:rPr>
                <w:rFonts w:eastAsia="Calibri" w:cs="Arial" w:ascii="Arial" w:hAnsi="Arial"/>
                <w:i/>
                <w:color w:val="00000A"/>
                <w:sz w:val="20"/>
                <w:szCs w:val="22"/>
              </w:rPr>
              <w:t>Um sopro de destruição</w:t>
            </w:r>
            <w:r>
              <w:rPr>
                <w:rFonts w:eastAsia="Calibri" w:cs="Arial" w:ascii="Arial" w:hAnsi="Arial"/>
                <w:color w:val="00000A"/>
                <w:sz w:val="20"/>
                <w:szCs w:val="22"/>
              </w:rPr>
              <w:t>: pensamento político e crítica ambiental no Brasil escravista (1786-1888). Rio de Janeiro: Jorge Zahar Editor, 2002.</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THOMAS, Keith. </w:t>
            </w:r>
            <w:r>
              <w:rPr>
                <w:rFonts w:cs="Arial" w:ascii="Arial" w:hAnsi="Arial"/>
                <w:i/>
                <w:color w:val="00000A"/>
                <w:sz w:val="20"/>
                <w:szCs w:val="22"/>
              </w:rPr>
              <w:t>O homem e o mundo natural</w:t>
            </w:r>
            <w:r>
              <w:rPr>
                <w:rFonts w:cs="Arial" w:ascii="Arial" w:hAnsi="Arial"/>
                <w:color w:val="00000A"/>
                <w:sz w:val="20"/>
                <w:szCs w:val="22"/>
              </w:rPr>
              <w:t>. São Paulo: Companhia das Letras, 1996.</w:t>
            </w:r>
          </w:p>
          <w:p>
            <w:pPr>
              <w:pStyle w:val="Normal"/>
              <w:tabs>
                <w:tab w:val="left" w:pos="6015" w:leader="none"/>
              </w:tabs>
              <w:spacing w:before="0" w:after="0"/>
              <w:jc w:val="both"/>
              <w:rPr>
                <w:rFonts w:ascii="Arial" w:hAnsi="Arial" w:cs="Arial"/>
                <w:b/>
                <w:b/>
                <w:bCs/>
                <w:lang w:val="es-ES"/>
              </w:rPr>
            </w:pPr>
            <w:r>
              <w:rPr>
                <w:rFonts w:eastAsia="Calibri" w:cs="Arial" w:ascii="Arial" w:hAnsi="Arial"/>
                <w:sz w:val="20"/>
                <w:lang w:val="es-AR"/>
              </w:rPr>
              <w:t xml:space="preserve">WORSTER, Donald. </w:t>
            </w:r>
            <w:r>
              <w:rPr>
                <w:rFonts w:eastAsia="Calibri" w:cs="Arial" w:ascii="Arial" w:hAnsi="Arial"/>
                <w:i/>
                <w:sz w:val="20"/>
                <w:lang w:val="es-AR"/>
              </w:rPr>
              <w:t>Transformaciones de la Tierra</w:t>
            </w:r>
            <w:r>
              <w:rPr>
                <w:rFonts w:eastAsia="Calibri" w:cs="Arial" w:ascii="Arial" w:hAnsi="Arial"/>
                <w:sz w:val="20"/>
                <w:lang w:val="es-AR"/>
              </w:rPr>
              <w:t xml:space="preserve">. </w:t>
            </w:r>
            <w:r>
              <w:rPr>
                <w:rFonts w:eastAsia="Calibri" w:cs="Arial" w:ascii="Arial" w:hAnsi="Arial"/>
                <w:sz w:val="20"/>
                <w:lang w:val="es-ES"/>
              </w:rPr>
              <w:t>Ciudad de Panamá: Universidad de Panamá, 2001.</w:t>
            </w:r>
          </w:p>
        </w:tc>
      </w:tr>
      <w:tr>
        <w:trPr/>
        <w:tc>
          <w:tcPr>
            <w:tcW w:w="8494" w:type="dxa"/>
            <w:tcBorders/>
            <w:shd w:fill="auto" w:val="clear"/>
            <w:tcMar>
              <w:left w:w="108" w:type="dxa"/>
            </w:tcMar>
          </w:tcPr>
          <w:p>
            <w:pPr>
              <w:pStyle w:val="Normal"/>
              <w:tabs>
                <w:tab w:val="left" w:pos="6015" w:leader="none"/>
              </w:tabs>
              <w:spacing w:lineRule="auto" w:line="240" w:before="0" w:after="0"/>
              <w:jc w:val="both"/>
              <w:rPr>
                <w:rFonts w:ascii="Arial" w:hAnsi="Arial" w:cs="Arial"/>
                <w:b/>
                <w:b/>
                <w:bCs/>
                <w:lang w:val="es-ES"/>
              </w:rPr>
            </w:pPr>
            <w:r>
              <w:rPr>
                <w:rFonts w:cs="Arial" w:ascii="Arial" w:hAnsi="Arial"/>
                <w:b/>
                <w:bCs/>
                <w:lang w:val="es-ES"/>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Unidade Curricular:</w:t>
            </w:r>
            <w:r>
              <w:rPr>
                <w:rFonts w:cs="Arial" w:ascii="Arial" w:hAnsi="Arial"/>
                <w:sz w:val="20"/>
                <w:szCs w:val="20"/>
              </w:rPr>
              <w:t xml:space="preserve"> </w:t>
            </w:r>
            <w:r>
              <w:rPr>
                <w:rFonts w:cs="Arial" w:ascii="Arial" w:hAnsi="Arial"/>
                <w:b/>
                <w:u w:val="single"/>
              </w:rPr>
              <w:t>Sociologia da Educação</w:t>
            </w:r>
          </w:p>
          <w:p>
            <w:pPr>
              <w:pStyle w:val="Normal"/>
              <w:spacing w:lineRule="auto" w:line="240" w:before="0" w:after="0"/>
              <w:jc w:val="both"/>
              <w:rPr>
                <w:rFonts w:ascii="Arial" w:hAnsi="Arial" w:cs="Arial"/>
                <w:bCs/>
              </w:rPr>
            </w:pPr>
            <w:r>
              <w:rPr>
                <w:rFonts w:cs="Arial" w:ascii="Arial" w:hAnsi="Arial"/>
                <w:b/>
                <w:bCs/>
              </w:rPr>
              <w:t>Período:</w:t>
            </w:r>
            <w:r>
              <w:rPr>
                <w:rFonts w:cs="Arial" w:ascii="Arial" w:hAnsi="Arial"/>
                <w:bCs/>
              </w:rPr>
              <w:t xml:space="preserve"> 4º</w:t>
            </w:r>
          </w:p>
          <w:p>
            <w:pPr>
              <w:pStyle w:val="Normal"/>
              <w:tabs>
                <w:tab w:val="left" w:pos="6015" w:leader="none"/>
              </w:tabs>
              <w:spacing w:lineRule="auto" w:line="240" w:before="0" w:after="0"/>
              <w:jc w:val="both"/>
              <w:rPr>
                <w:rFonts w:ascii="Arial" w:hAnsi="Arial" w:cs="Arial"/>
                <w:b/>
                <w:b/>
                <w:bCs/>
              </w:rPr>
            </w:pPr>
            <w:r>
              <w:rPr>
                <w:rFonts w:cs="Arial" w:ascii="Arial" w:hAnsi="Arial"/>
                <w:b/>
                <w:bCs/>
              </w:rPr>
              <w:t>Carga Horária:</w:t>
            </w:r>
            <w:r>
              <w:rPr>
                <w:rFonts w:cs="Arial" w:ascii="Arial" w:hAnsi="Arial"/>
              </w:rPr>
              <w:t xml:space="preserve"> 30 h/a teóricas</w:t>
            </w:r>
          </w:p>
        </w:tc>
      </w:tr>
      <w:tr>
        <w:trPr/>
        <w:tc>
          <w:tcPr>
            <w:tcW w:w="8494" w:type="dxa"/>
            <w:tcBorders>
              <w:top w:val="nil"/>
              <w:bottom w:val="nil"/>
              <w:insideH w:val="nil"/>
            </w:tcBorders>
            <w:shd w:fill="auto" w:val="clear"/>
            <w:tcMar>
              <w:left w:w="108" w:type="dxa"/>
            </w:tcMar>
          </w:tcPr>
          <w:p>
            <w:pPr>
              <w:pStyle w:val="Normal"/>
              <w:tabs>
                <w:tab w:val="left" w:pos="6015" w:leader="none"/>
              </w:tabs>
              <w:spacing w:lineRule="auto" w:line="240" w:before="0" w:after="0"/>
              <w:jc w:val="both"/>
              <w:rPr>
                <w:rFonts w:ascii="Arial" w:hAnsi="Arial" w:cs="Arial"/>
                <w:b/>
                <w:b/>
                <w:bCs/>
              </w:rPr>
            </w:pPr>
            <w:r>
              <w:rPr>
                <w:rFonts w:cs="Arial" w:ascii="Arial" w:hAnsi="Arial"/>
                <w:b/>
                <w:bCs/>
              </w:rPr>
              <w:t>Ementa:</w:t>
            </w:r>
            <w:r>
              <w:rPr>
                <w:rFonts w:cs="Arial" w:ascii="Arial" w:hAnsi="Arial"/>
                <w:color w:val="000000" w:themeColor="text1"/>
              </w:rPr>
              <w:t xml:space="preserve"> </w:t>
            </w:r>
            <w:r>
              <w:rPr>
                <w:rFonts w:cs="Arial" w:ascii="Arial" w:hAnsi="Arial"/>
              </w:rPr>
              <w:t>Percursos da sociologia da educação: funcionalismo, marxismo, reprodução social. Relação educação e sociedade. Práticas educativas formais e não formais tendo como eixo norteador as instituições sociais, o processo de socialização e a educação contra hegemônica.</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Bibliografia Básica:</w:t>
            </w:r>
          </w:p>
          <w:p>
            <w:pPr>
              <w:pStyle w:val="Normal"/>
              <w:spacing w:lineRule="auto" w:line="240" w:before="0" w:after="0"/>
              <w:jc w:val="both"/>
              <w:rPr>
                <w:rFonts w:ascii="Arial" w:hAnsi="Arial" w:cs="Arial"/>
                <w:sz w:val="20"/>
              </w:rPr>
            </w:pPr>
            <w:r>
              <w:rPr>
                <w:rFonts w:cs="Arial" w:ascii="Arial" w:hAnsi="Arial"/>
                <w:sz w:val="20"/>
              </w:rPr>
              <w:t xml:space="preserve">BOURDIEU, Pierre. </w:t>
            </w:r>
            <w:r>
              <w:rPr>
                <w:rFonts w:cs="Arial" w:ascii="Arial" w:hAnsi="Arial"/>
                <w:i/>
                <w:sz w:val="20"/>
              </w:rPr>
              <w:t>Escritos de Educação</w:t>
            </w:r>
            <w:r>
              <w:rPr>
                <w:rFonts w:cs="Arial" w:ascii="Arial" w:hAnsi="Arial"/>
                <w:sz w:val="20"/>
              </w:rPr>
              <w:t>. Petrópolis: Vozes, 1998.</w:t>
            </w:r>
          </w:p>
          <w:p>
            <w:pPr>
              <w:pStyle w:val="Normal"/>
              <w:spacing w:lineRule="auto" w:line="240" w:before="0" w:after="0"/>
              <w:jc w:val="both"/>
              <w:rPr>
                <w:rFonts w:ascii="Arial" w:hAnsi="Arial" w:cs="Arial"/>
                <w:sz w:val="20"/>
              </w:rPr>
            </w:pPr>
            <w:r>
              <w:rPr>
                <w:rFonts w:cs="Arial" w:ascii="Arial" w:hAnsi="Arial"/>
                <w:sz w:val="20"/>
              </w:rPr>
              <w:t xml:space="preserve">DURKHEIM, Èmile. </w:t>
            </w:r>
            <w:r>
              <w:rPr>
                <w:rFonts w:cs="Arial" w:ascii="Arial" w:hAnsi="Arial"/>
                <w:i/>
                <w:sz w:val="20"/>
              </w:rPr>
              <w:t>A educação:</w:t>
            </w:r>
            <w:r>
              <w:rPr>
                <w:rFonts w:cs="Arial" w:ascii="Arial" w:hAnsi="Arial"/>
                <w:sz w:val="20"/>
              </w:rPr>
              <w:t xml:space="preserve"> sua natureza e função. In: ___. </w:t>
            </w:r>
            <w:r>
              <w:rPr>
                <w:rFonts w:cs="Arial" w:ascii="Arial" w:hAnsi="Arial"/>
                <w:i/>
                <w:sz w:val="20"/>
              </w:rPr>
              <w:t>Educação e sociologia</w:t>
            </w:r>
            <w:r>
              <w:rPr>
                <w:rFonts w:cs="Arial" w:ascii="Arial" w:hAnsi="Arial"/>
                <w:sz w:val="20"/>
              </w:rPr>
              <w:t>. 8ª ed. São Paulo: Melhoramentos, 1972, p. 33-56.</w:t>
            </w:r>
          </w:p>
          <w:p>
            <w:pPr>
              <w:pStyle w:val="Normal"/>
              <w:tabs>
                <w:tab w:val="left" w:pos="6015" w:leader="none"/>
              </w:tabs>
              <w:spacing w:lineRule="auto" w:line="240" w:before="0" w:after="0"/>
              <w:jc w:val="both"/>
              <w:rPr>
                <w:rFonts w:ascii="Arial" w:hAnsi="Arial" w:cs="Arial"/>
                <w:b/>
                <w:b/>
                <w:bCs/>
              </w:rPr>
            </w:pPr>
            <w:r>
              <w:rPr>
                <w:rFonts w:cs="Arial" w:ascii="Arial" w:hAnsi="Arial"/>
                <w:sz w:val="20"/>
              </w:rPr>
              <w:t xml:space="preserve">NOGUEIRA, Maria Alice. </w:t>
            </w:r>
            <w:r>
              <w:rPr>
                <w:rFonts w:cs="Arial" w:ascii="Arial" w:hAnsi="Arial"/>
                <w:i/>
                <w:sz w:val="20"/>
              </w:rPr>
              <w:t>Educação, saber, produção em Marx e Engels.</w:t>
            </w:r>
            <w:r>
              <w:rPr>
                <w:rFonts w:cs="Arial" w:ascii="Arial" w:hAnsi="Arial"/>
                <w:sz w:val="20"/>
              </w:rPr>
              <w:t xml:space="preserve"> 2ª ed, SP: Cortez, 1993.</w:t>
            </w:r>
          </w:p>
        </w:tc>
      </w:tr>
      <w:tr>
        <w:trPr/>
        <w:tc>
          <w:tcPr>
            <w:tcW w:w="8494" w:type="dxa"/>
            <w:tcBorders>
              <w:top w:val="nil"/>
            </w:tcBorders>
            <w:shd w:fill="auto" w:val="clear"/>
            <w:tcMar>
              <w:left w:w="108" w:type="dxa"/>
            </w:tcMar>
          </w:tcPr>
          <w:p>
            <w:pPr>
              <w:pStyle w:val="Normal"/>
              <w:tabs>
                <w:tab w:val="left" w:pos="6015" w:leader="none"/>
              </w:tabs>
              <w:spacing w:lineRule="auto" w:line="240" w:before="0" w:after="0"/>
              <w:jc w:val="both"/>
              <w:rPr>
                <w:rFonts w:ascii="Arial" w:hAnsi="Arial" w:cs="Arial"/>
                <w:b/>
                <w:b/>
                <w:bCs/>
              </w:rPr>
            </w:pPr>
            <w:r>
              <w:rPr>
                <w:rFonts w:cs="Arial" w:ascii="Arial" w:hAnsi="Arial"/>
                <w:b/>
                <w:bCs/>
              </w:rPr>
              <w:t>Bibliografia Complementar:</w:t>
              <w:tab/>
            </w:r>
          </w:p>
          <w:p>
            <w:pPr>
              <w:pStyle w:val="Normal"/>
              <w:spacing w:lineRule="auto" w:line="240" w:before="0" w:after="0"/>
              <w:jc w:val="both"/>
              <w:rPr>
                <w:rFonts w:ascii="Arial" w:hAnsi="Arial" w:cs="Arial"/>
                <w:sz w:val="20"/>
              </w:rPr>
            </w:pPr>
            <w:r>
              <w:rPr>
                <w:rFonts w:cs="Arial" w:ascii="Arial" w:hAnsi="Arial"/>
                <w:sz w:val="20"/>
              </w:rPr>
              <w:t xml:space="preserve">ALTHUSSER, Louis. </w:t>
            </w:r>
            <w:r>
              <w:rPr>
                <w:rFonts w:cs="Arial" w:ascii="Arial" w:hAnsi="Arial"/>
                <w:i/>
                <w:sz w:val="20"/>
              </w:rPr>
              <w:t>Aparelhos ideológicos de Estado</w:t>
            </w:r>
            <w:r>
              <w:rPr>
                <w:rFonts w:cs="Arial" w:ascii="Arial" w:hAnsi="Arial"/>
                <w:sz w:val="20"/>
              </w:rPr>
              <w:t>. Rio de Janeiro: Graal, 1985.</w:t>
            </w:r>
          </w:p>
          <w:p>
            <w:pPr>
              <w:pStyle w:val="Normal"/>
              <w:spacing w:lineRule="auto" w:line="240" w:before="0" w:after="0"/>
              <w:jc w:val="both"/>
              <w:rPr>
                <w:rFonts w:ascii="Arial" w:hAnsi="Arial" w:cs="Arial"/>
                <w:sz w:val="20"/>
              </w:rPr>
            </w:pPr>
            <w:r>
              <w:rPr>
                <w:rFonts w:cs="Arial" w:ascii="Arial" w:hAnsi="Arial"/>
                <w:sz w:val="20"/>
              </w:rPr>
              <w:t xml:space="preserve">BRANDÃO, Carlos Rodrigues. </w:t>
            </w:r>
            <w:r>
              <w:rPr>
                <w:rFonts w:cs="Arial" w:ascii="Arial" w:hAnsi="Arial"/>
                <w:i/>
                <w:sz w:val="20"/>
              </w:rPr>
              <w:t>O que é educação.</w:t>
            </w:r>
            <w:r>
              <w:rPr>
                <w:rFonts w:cs="Arial" w:ascii="Arial" w:hAnsi="Arial"/>
                <w:sz w:val="20"/>
              </w:rPr>
              <w:t xml:space="preserve"> 41ª reimpr. São Paulo: Brasiliense, 2002. (Coleção Primeiros Passos).</w:t>
            </w:r>
          </w:p>
          <w:p>
            <w:pPr>
              <w:pStyle w:val="Normal"/>
              <w:spacing w:lineRule="auto" w:line="240" w:before="0" w:after="0"/>
              <w:jc w:val="both"/>
              <w:rPr>
                <w:rFonts w:ascii="Arial" w:hAnsi="Arial" w:cs="Arial"/>
                <w:sz w:val="20"/>
              </w:rPr>
            </w:pPr>
            <w:r>
              <w:rPr>
                <w:rFonts w:cs="Arial" w:ascii="Arial" w:hAnsi="Arial"/>
                <w:sz w:val="20"/>
              </w:rPr>
              <w:t xml:space="preserve">FORQUIN, Jean C. </w:t>
            </w:r>
            <w:r>
              <w:rPr>
                <w:rFonts w:cs="Arial" w:ascii="Arial" w:hAnsi="Arial"/>
                <w:i/>
                <w:sz w:val="20"/>
              </w:rPr>
              <w:t>Sociologia da educação</w:t>
            </w:r>
            <w:r>
              <w:rPr>
                <w:rFonts w:cs="Arial" w:ascii="Arial" w:hAnsi="Arial"/>
                <w:sz w:val="20"/>
              </w:rPr>
              <w:t>: dez anos de pesquisa. Petropólis, Vozes, 1995.</w:t>
            </w:r>
          </w:p>
          <w:p>
            <w:pPr>
              <w:pStyle w:val="Normal"/>
              <w:spacing w:lineRule="auto" w:line="240" w:before="0" w:after="0"/>
              <w:jc w:val="both"/>
              <w:rPr>
                <w:rFonts w:ascii="Arial" w:hAnsi="Arial" w:cs="Arial"/>
                <w:sz w:val="20"/>
              </w:rPr>
            </w:pPr>
            <w:r>
              <w:rPr>
                <w:rFonts w:cs="Arial" w:ascii="Arial" w:hAnsi="Arial"/>
                <w:sz w:val="20"/>
              </w:rPr>
              <w:t xml:space="preserve">QUINTANERO, Tânia. </w:t>
            </w:r>
            <w:r>
              <w:rPr>
                <w:rFonts w:cs="Arial" w:ascii="Arial" w:hAnsi="Arial"/>
                <w:i/>
                <w:sz w:val="20"/>
              </w:rPr>
              <w:t>Um toque de Clássicos:</w:t>
            </w:r>
            <w:r>
              <w:rPr>
                <w:rFonts w:cs="Arial" w:ascii="Arial" w:hAnsi="Arial"/>
                <w:sz w:val="20"/>
              </w:rPr>
              <w:t xml:space="preserve"> Marx, Weber e Durkheim. Belo Horizonte: UFMG, 2003.</w:t>
            </w:r>
          </w:p>
          <w:p>
            <w:pPr>
              <w:pStyle w:val="Normal"/>
              <w:tabs>
                <w:tab w:val="left" w:pos="6015" w:leader="none"/>
              </w:tabs>
              <w:spacing w:lineRule="auto" w:line="240" w:before="0" w:after="0"/>
              <w:jc w:val="both"/>
              <w:rPr>
                <w:rFonts w:ascii="Arial" w:hAnsi="Arial" w:cs="Arial"/>
                <w:b/>
                <w:b/>
                <w:bCs/>
              </w:rPr>
            </w:pPr>
            <w:r>
              <w:rPr>
                <w:rFonts w:cs="Arial" w:ascii="Arial" w:hAnsi="Arial"/>
                <w:sz w:val="20"/>
              </w:rPr>
              <w:t xml:space="preserve">SILVA, Tomaz Tadeu da. </w:t>
            </w:r>
            <w:r>
              <w:rPr>
                <w:rFonts w:cs="Arial" w:ascii="Arial" w:hAnsi="Arial"/>
                <w:i/>
                <w:sz w:val="20"/>
              </w:rPr>
              <w:t>O que produz e o que reproduz em educação</w:t>
            </w:r>
            <w:r>
              <w:rPr>
                <w:rFonts w:cs="Arial" w:ascii="Arial" w:hAnsi="Arial"/>
                <w:sz w:val="20"/>
              </w:rPr>
              <w:t>. Ensaios de sociologia da educação. Porto Alegre: Artes Médicas, 1992.</w:t>
            </w:r>
          </w:p>
        </w:tc>
      </w:tr>
      <w:tr>
        <w:trPr/>
        <w:tc>
          <w:tcPr>
            <w:tcW w:w="8494" w:type="dxa"/>
            <w:tcBorders/>
            <w:shd w:fill="auto" w:val="clear"/>
            <w:tcMar>
              <w:left w:w="108" w:type="dxa"/>
            </w:tcMar>
          </w:tcPr>
          <w:p>
            <w:pPr>
              <w:pStyle w:val="Normal"/>
              <w:tabs>
                <w:tab w:val="left" w:pos="6015" w:leader="none"/>
              </w:tabs>
              <w:spacing w:lineRule="auto" w:line="240" w:before="0" w:after="0"/>
              <w:jc w:val="both"/>
              <w:rPr>
                <w:rFonts w:ascii="Arial" w:hAnsi="Arial" w:cs="Arial"/>
                <w:b/>
                <w:b/>
                <w:bCs/>
                <w:lang w:val="es-ES"/>
              </w:rPr>
            </w:pPr>
            <w:r>
              <w:rPr>
                <w:rFonts w:cs="Arial" w:ascii="Arial" w:hAnsi="Arial"/>
                <w:b/>
                <w:bCs/>
                <w:lang w:val="es-ES"/>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Unidade Curricular:</w:t>
            </w:r>
            <w:r>
              <w:rPr>
                <w:rFonts w:cs="Arial" w:ascii="Arial" w:hAnsi="Arial"/>
                <w:sz w:val="20"/>
                <w:szCs w:val="20"/>
              </w:rPr>
              <w:t xml:space="preserve"> </w:t>
            </w:r>
            <w:r>
              <w:rPr>
                <w:rFonts w:eastAsia="Calibri" w:cs="Arial" w:ascii="Arial" w:hAnsi="Arial"/>
                <w:b/>
                <w:u w:val="single"/>
              </w:rPr>
              <w:t>LEH: Metodologias e Tecnologias do Ensino de História</w:t>
            </w:r>
          </w:p>
          <w:p>
            <w:pPr>
              <w:pStyle w:val="Normal"/>
              <w:spacing w:lineRule="auto" w:line="240" w:before="0" w:after="0"/>
              <w:jc w:val="both"/>
              <w:rPr>
                <w:rFonts w:ascii="Arial" w:hAnsi="Arial" w:cs="Arial"/>
                <w:bCs/>
              </w:rPr>
            </w:pPr>
            <w:r>
              <w:rPr>
                <w:rFonts w:cs="Arial" w:ascii="Arial" w:hAnsi="Arial"/>
                <w:b/>
                <w:bCs/>
              </w:rPr>
              <w:t>Período:</w:t>
            </w:r>
            <w:r>
              <w:rPr>
                <w:rFonts w:cs="Arial" w:ascii="Arial" w:hAnsi="Arial"/>
                <w:bCs/>
              </w:rPr>
              <w:t xml:space="preserve"> 4º</w:t>
            </w:r>
          </w:p>
          <w:p>
            <w:pPr>
              <w:pStyle w:val="Normal"/>
              <w:tabs>
                <w:tab w:val="left" w:pos="6015" w:leader="none"/>
              </w:tabs>
              <w:spacing w:lineRule="auto" w:line="240" w:before="0" w:after="0"/>
              <w:jc w:val="both"/>
              <w:rPr>
                <w:rFonts w:ascii="Arial" w:hAnsi="Arial" w:cs="Arial"/>
                <w:b/>
                <w:b/>
                <w:bCs/>
              </w:rPr>
            </w:pPr>
            <w:r>
              <w:rPr>
                <w:rFonts w:cs="Arial" w:ascii="Arial" w:hAnsi="Arial"/>
                <w:b/>
                <w:bCs/>
              </w:rPr>
              <w:t>Carga Horária:</w:t>
            </w:r>
            <w:r>
              <w:rPr>
                <w:rFonts w:cs="Arial" w:ascii="Arial" w:hAnsi="Arial"/>
              </w:rPr>
              <w:t xml:space="preserve"> 15 h/a teóricas e 60 h/a práticas</w:t>
            </w:r>
          </w:p>
        </w:tc>
      </w:tr>
      <w:tr>
        <w:trPr/>
        <w:tc>
          <w:tcPr>
            <w:tcW w:w="8494" w:type="dxa"/>
            <w:tcBorders>
              <w:top w:val="nil"/>
              <w:bottom w:val="nil"/>
              <w:insideH w:val="nil"/>
            </w:tcBorders>
            <w:shd w:color="auto"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Ementa:</w:t>
            </w:r>
            <w:r>
              <w:rPr>
                <w:rFonts w:cs="Arial" w:ascii="Arial" w:hAnsi="Arial"/>
                <w:color w:val="000000" w:themeColor="text1"/>
              </w:rPr>
              <w:t xml:space="preserve"> </w:t>
            </w:r>
            <w:r>
              <w:rPr>
                <w:rFonts w:cs="Arial" w:ascii="Arial" w:hAnsi="Arial"/>
              </w:rPr>
              <w:t>Concepções, formas e linguagens tecnológicas aplicadas ao Ensino de História. O trabalho pedagógico por meio da utilização de TIC’s. Diálogos entre ensino de História e tecnologias. Meios digitais de divulgação histórica e suas aprendizagens.</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bCs/>
              </w:rPr>
            </w:pPr>
            <w:r>
              <w:rPr>
                <w:rFonts w:cs="Arial" w:ascii="Arial" w:hAnsi="Arial"/>
                <w:b/>
                <w:bCs/>
              </w:rPr>
              <w:t>Bibliografia Básica:</w:t>
            </w:r>
          </w:p>
          <w:p>
            <w:pPr>
              <w:pStyle w:val="NormalWeb"/>
              <w:shd w:val="clear" w:color="auto" w:fill="FFFFFF"/>
              <w:spacing w:beforeAutospacing="0" w:before="0" w:afterAutospacing="0" w:after="0"/>
              <w:jc w:val="both"/>
              <w:rPr>
                <w:rFonts w:ascii="Arial" w:hAnsi="Arial" w:cs="Arial"/>
                <w:sz w:val="20"/>
                <w:szCs w:val="22"/>
              </w:rPr>
            </w:pPr>
            <w:r>
              <w:rPr>
                <w:rFonts w:cs="Arial" w:ascii="Arial" w:hAnsi="Arial"/>
                <w:sz w:val="20"/>
                <w:szCs w:val="22"/>
              </w:rPr>
              <w:t xml:space="preserve">BITTENCOURT, Circe. </w:t>
            </w:r>
            <w:r>
              <w:rPr>
                <w:rFonts w:cs="Arial" w:ascii="Arial" w:hAnsi="Arial"/>
                <w:i/>
                <w:sz w:val="20"/>
                <w:szCs w:val="22"/>
              </w:rPr>
              <w:t>Ensino de história</w:t>
            </w:r>
            <w:r>
              <w:rPr>
                <w:rFonts w:cs="Arial" w:ascii="Arial" w:hAnsi="Arial"/>
                <w:sz w:val="20"/>
                <w:szCs w:val="22"/>
              </w:rPr>
              <w:t>: fundamentos e métodos. São Paulo: Cortez, 2004.</w:t>
            </w:r>
          </w:p>
          <w:p>
            <w:pPr>
              <w:pStyle w:val="NormalWeb"/>
              <w:shd w:val="clear" w:color="auto" w:fill="FFFFFF"/>
              <w:spacing w:beforeAutospacing="0" w:before="0" w:afterAutospacing="0" w:after="0"/>
              <w:jc w:val="both"/>
              <w:rPr>
                <w:rFonts w:ascii="Arial" w:hAnsi="Arial" w:cs="Arial"/>
                <w:sz w:val="20"/>
                <w:szCs w:val="22"/>
              </w:rPr>
            </w:pPr>
            <w:r>
              <w:rPr>
                <w:rFonts w:cs="Arial" w:ascii="Arial" w:hAnsi="Arial"/>
                <w:sz w:val="20"/>
                <w:szCs w:val="22"/>
              </w:rPr>
              <w:t xml:space="preserve">FONSECA, Selva Guimarães. </w:t>
            </w:r>
            <w:r>
              <w:rPr>
                <w:rFonts w:cs="Arial" w:ascii="Arial" w:hAnsi="Arial"/>
                <w:i/>
                <w:sz w:val="20"/>
                <w:szCs w:val="22"/>
              </w:rPr>
              <w:t>Didática e prática de ensino de História</w:t>
            </w:r>
            <w:r>
              <w:rPr>
                <w:rFonts w:cs="Arial" w:ascii="Arial" w:hAnsi="Arial"/>
                <w:sz w:val="20"/>
                <w:szCs w:val="22"/>
              </w:rPr>
              <w:t>. 6. ed. Campinas: Papirus, 2007.</w:t>
            </w:r>
          </w:p>
          <w:p>
            <w:pPr>
              <w:pStyle w:val="Normal"/>
              <w:spacing w:before="0" w:after="0"/>
              <w:jc w:val="both"/>
              <w:rPr>
                <w:rFonts w:ascii="Arial" w:hAnsi="Arial" w:cs="Arial"/>
                <w:b/>
                <w:b/>
                <w:bCs/>
              </w:rPr>
            </w:pPr>
            <w:r>
              <w:rPr>
                <w:rFonts w:cs="Arial" w:ascii="Arial" w:hAnsi="Arial"/>
                <w:sz w:val="20"/>
              </w:rPr>
              <w:t xml:space="preserve">MAGALHÃES, Marcelo De Souza; ROCHA, Helenice Aparecida Bastos (org). </w:t>
            </w:r>
            <w:r>
              <w:rPr>
                <w:rFonts w:cs="Arial" w:ascii="Arial" w:hAnsi="Arial"/>
                <w:i/>
                <w:sz w:val="20"/>
              </w:rPr>
              <w:t>Ensino de história</w:t>
            </w:r>
            <w:r>
              <w:rPr>
                <w:rFonts w:cs="Arial" w:ascii="Arial" w:hAnsi="Arial"/>
                <w:sz w:val="20"/>
              </w:rPr>
              <w:t>: usos do passado, memória e mídia. Rio de Janeiro: FGV, 2014.</w:t>
            </w:r>
          </w:p>
        </w:tc>
      </w:tr>
      <w:tr>
        <w:trPr/>
        <w:tc>
          <w:tcPr>
            <w:tcW w:w="8494" w:type="dxa"/>
            <w:tcBorders>
              <w:top w:val="nil"/>
            </w:tcBorders>
            <w:shd w:fill="auto" w:val="clear"/>
            <w:tcMar>
              <w:left w:w="108" w:type="dxa"/>
            </w:tcMar>
          </w:tcPr>
          <w:p>
            <w:pPr>
              <w:pStyle w:val="Normal"/>
              <w:tabs>
                <w:tab w:val="left" w:pos="6015" w:leader="none"/>
              </w:tabs>
              <w:spacing w:before="0" w:after="0"/>
              <w:jc w:val="both"/>
              <w:rPr>
                <w:rFonts w:ascii="Arial" w:hAnsi="Arial" w:cs="Arial"/>
                <w:b/>
                <w:b/>
                <w:bCs/>
              </w:rPr>
            </w:pPr>
            <w:r>
              <w:rPr>
                <w:rFonts w:cs="Arial" w:ascii="Arial" w:hAnsi="Arial"/>
                <w:b/>
                <w:bCs/>
              </w:rPr>
              <w:t>Bibliografia Complementar:</w:t>
              <w:tab/>
            </w:r>
          </w:p>
          <w:p>
            <w:pPr>
              <w:pStyle w:val="NormalWeb"/>
              <w:shd w:val="clear" w:color="auto" w:fill="FFFFFF"/>
              <w:spacing w:beforeAutospacing="0" w:before="0" w:afterAutospacing="0" w:after="0"/>
              <w:jc w:val="both"/>
              <w:rPr>
                <w:rFonts w:ascii="Arial" w:hAnsi="Arial" w:cs="Arial"/>
                <w:sz w:val="20"/>
                <w:szCs w:val="22"/>
              </w:rPr>
            </w:pPr>
            <w:r>
              <w:rPr>
                <w:rFonts w:cs="Arial" w:ascii="Arial" w:hAnsi="Arial"/>
                <w:sz w:val="20"/>
                <w:szCs w:val="22"/>
              </w:rPr>
              <w:t xml:space="preserve">ABREU, M.; SOIHET, R. (org). </w:t>
            </w:r>
            <w:r>
              <w:rPr>
                <w:rFonts w:cs="Arial" w:ascii="Arial" w:hAnsi="Arial"/>
                <w:bCs/>
                <w:i/>
                <w:sz w:val="20"/>
                <w:szCs w:val="22"/>
              </w:rPr>
              <w:t>Ensino de História</w:t>
            </w:r>
            <w:r>
              <w:rPr>
                <w:rFonts w:cs="Arial" w:ascii="Arial" w:hAnsi="Arial"/>
                <w:sz w:val="20"/>
                <w:szCs w:val="22"/>
              </w:rPr>
              <w:t>: conceitos, temáticas e metodologias. Rio de Janeiro: Casa da Palavra, 2003.</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GONÇALVES, Márcia de Almeida. et al. </w:t>
            </w:r>
            <w:r>
              <w:rPr>
                <w:rFonts w:cs="Arial" w:ascii="Arial" w:hAnsi="Arial"/>
                <w:i/>
                <w:iCs/>
                <w:color w:val="00000A"/>
                <w:sz w:val="20"/>
                <w:szCs w:val="22"/>
              </w:rPr>
              <w:t xml:space="preserve">Qual o valor da história hoje? </w:t>
            </w:r>
            <w:r>
              <w:rPr>
                <w:rFonts w:cs="Arial" w:ascii="Arial" w:hAnsi="Arial"/>
                <w:color w:val="00000A"/>
                <w:sz w:val="20"/>
                <w:szCs w:val="22"/>
              </w:rPr>
              <w:t>Rio de Janeiro: Ed. FGV, 2012.</w:t>
            </w:r>
          </w:p>
          <w:p>
            <w:pPr>
              <w:pStyle w:val="NormalWeb"/>
              <w:shd w:val="clear" w:color="auto" w:fill="FFFFFF"/>
              <w:spacing w:beforeAutospacing="0" w:before="0" w:afterAutospacing="0" w:after="0"/>
              <w:jc w:val="both"/>
              <w:rPr>
                <w:rFonts w:ascii="Arial" w:hAnsi="Arial" w:cs="Arial"/>
                <w:sz w:val="20"/>
                <w:szCs w:val="22"/>
              </w:rPr>
            </w:pPr>
            <w:r>
              <w:rPr>
                <w:rFonts w:cs="Arial" w:ascii="Arial" w:hAnsi="Arial"/>
                <w:sz w:val="20"/>
                <w:szCs w:val="22"/>
              </w:rPr>
              <w:t xml:space="preserve">GRINBERG, Keila. </w:t>
            </w:r>
            <w:r>
              <w:rPr>
                <w:rFonts w:cs="Arial" w:ascii="Arial" w:hAnsi="Arial"/>
                <w:i/>
                <w:iCs/>
                <w:sz w:val="20"/>
                <w:szCs w:val="22"/>
              </w:rPr>
              <w:t xml:space="preserve">Oficinas de história: </w:t>
            </w:r>
            <w:r>
              <w:rPr>
                <w:rFonts w:cs="Arial" w:ascii="Arial" w:hAnsi="Arial"/>
                <w:iCs/>
                <w:sz w:val="20"/>
                <w:szCs w:val="22"/>
              </w:rPr>
              <w:t>projeto curricular de ciências sociais e história</w:t>
            </w:r>
            <w:r>
              <w:rPr>
                <w:rFonts w:cs="Arial" w:ascii="Arial" w:hAnsi="Arial"/>
                <w:sz w:val="20"/>
                <w:szCs w:val="22"/>
              </w:rPr>
              <w:t>. Belo Horizonte, Dimensão, 2000.</w:t>
            </w:r>
          </w:p>
          <w:p>
            <w:pPr>
              <w:pStyle w:val="NormalWeb"/>
              <w:shd w:val="clear" w:color="auto" w:fill="FFFFFF"/>
              <w:spacing w:beforeAutospacing="0" w:before="0" w:afterAutospacing="0" w:after="0"/>
              <w:jc w:val="both"/>
              <w:rPr>
                <w:rFonts w:ascii="Arial" w:hAnsi="Arial" w:cs="Arial"/>
                <w:sz w:val="20"/>
                <w:szCs w:val="22"/>
              </w:rPr>
            </w:pPr>
            <w:r>
              <w:rPr>
                <w:rFonts w:cs="Arial" w:ascii="Arial" w:hAnsi="Arial"/>
                <w:sz w:val="20"/>
                <w:szCs w:val="22"/>
              </w:rPr>
              <w:t xml:space="preserve">ROCHA, Helenice Aparecida; REZNIK, Luís; MAGALHÃES, Marcelo de Souza. (org). </w:t>
            </w:r>
            <w:r>
              <w:rPr>
                <w:rFonts w:cs="Arial" w:ascii="Arial" w:hAnsi="Arial"/>
                <w:bCs/>
                <w:i/>
                <w:sz w:val="20"/>
                <w:szCs w:val="22"/>
              </w:rPr>
              <w:t>A história na escola.</w:t>
            </w:r>
            <w:r>
              <w:rPr>
                <w:rFonts w:cs="Arial" w:ascii="Arial" w:hAnsi="Arial"/>
                <w:bCs/>
                <w:sz w:val="20"/>
                <w:szCs w:val="22"/>
              </w:rPr>
              <w:t xml:space="preserve"> Autores, livros e leituras</w:t>
            </w:r>
            <w:r>
              <w:rPr>
                <w:rFonts w:cs="Arial" w:ascii="Arial" w:hAnsi="Arial"/>
                <w:sz w:val="20"/>
                <w:szCs w:val="22"/>
              </w:rPr>
              <w:t xml:space="preserve">. Rio de Janeiro: Fundação Getúlio Vargas, 2009. </w:t>
            </w:r>
          </w:p>
          <w:p>
            <w:pPr>
              <w:pStyle w:val="Normal"/>
              <w:spacing w:before="0" w:after="0"/>
              <w:jc w:val="both"/>
              <w:rPr>
                <w:rFonts w:ascii="Arial" w:hAnsi="Arial" w:cs="Arial"/>
                <w:b/>
                <w:b/>
                <w:bCs/>
              </w:rPr>
            </w:pPr>
            <w:r>
              <w:rPr>
                <w:rFonts w:cs="Arial" w:ascii="Arial" w:hAnsi="Arial"/>
                <w:sz w:val="20"/>
              </w:rPr>
              <w:t xml:space="preserve">SOIHET, Rachel; BICALHO, Maria Fernanda B.; GOUVÊA, Maria de Fátima S. (org). </w:t>
            </w:r>
            <w:r>
              <w:rPr>
                <w:rFonts w:cs="Arial" w:ascii="Arial" w:hAnsi="Arial"/>
                <w:bCs/>
                <w:i/>
                <w:sz w:val="20"/>
              </w:rPr>
              <w:t>Culturas políticas</w:t>
            </w:r>
            <w:r>
              <w:rPr>
                <w:rFonts w:cs="Arial" w:ascii="Arial" w:hAnsi="Arial"/>
                <w:sz w:val="20"/>
              </w:rPr>
              <w:t>: ensaios de história cultural, história política e ensino de historia. Rio de Janeiro: Mauad, 2005.</w:t>
            </w:r>
          </w:p>
        </w:tc>
      </w:tr>
      <w:tr>
        <w:trPr/>
        <w:tc>
          <w:tcPr>
            <w:tcW w:w="8494" w:type="dxa"/>
            <w:tcBorders/>
            <w:shd w:fill="auto" w:val="clear"/>
            <w:tcMar>
              <w:left w:w="108" w:type="dxa"/>
            </w:tcMar>
          </w:tcPr>
          <w:p>
            <w:pPr>
              <w:pStyle w:val="Normal"/>
              <w:tabs>
                <w:tab w:val="left" w:pos="6015" w:leader="none"/>
              </w:tabs>
              <w:spacing w:lineRule="auto" w:line="240" w:before="0" w:after="0"/>
              <w:jc w:val="both"/>
              <w:rPr>
                <w:rFonts w:ascii="Arial" w:hAnsi="Arial" w:cs="Arial"/>
                <w:b/>
                <w:b/>
                <w:bCs/>
              </w:rPr>
            </w:pPr>
            <w:r>
              <w:rPr>
                <w:rFonts w:cs="Arial" w:ascii="Arial" w:hAnsi="Arial"/>
                <w:b/>
                <w:bCs/>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bCs/>
                <w:u w:val="single"/>
              </w:rPr>
            </w:pPr>
            <w:r>
              <w:rPr>
                <w:rFonts w:cs="Arial" w:ascii="Arial" w:hAnsi="Arial"/>
                <w:b/>
                <w:bCs/>
              </w:rPr>
              <w:t>Unidade Curricular:</w:t>
            </w:r>
            <w:r>
              <w:rPr>
                <w:rFonts w:cs="Arial" w:ascii="Arial" w:hAnsi="Arial"/>
                <w:sz w:val="20"/>
                <w:szCs w:val="20"/>
              </w:rPr>
              <w:t xml:space="preserve"> </w:t>
            </w:r>
            <w:r>
              <w:rPr>
                <w:rFonts w:cs="Arial" w:ascii="Arial" w:hAnsi="Arial"/>
                <w:b/>
                <w:u w:val="single"/>
              </w:rPr>
              <w:t>LEH: Produção de Material Didático</w:t>
            </w:r>
          </w:p>
          <w:p>
            <w:pPr>
              <w:pStyle w:val="Normal"/>
              <w:spacing w:lineRule="auto" w:line="240" w:before="0" w:after="0"/>
              <w:jc w:val="both"/>
              <w:rPr>
                <w:rFonts w:ascii="Arial" w:hAnsi="Arial" w:cs="Arial"/>
                <w:bCs/>
              </w:rPr>
            </w:pPr>
            <w:r>
              <w:rPr>
                <w:rFonts w:cs="Arial" w:ascii="Arial" w:hAnsi="Arial"/>
                <w:b/>
                <w:bCs/>
              </w:rPr>
              <w:t>Período:</w:t>
            </w:r>
            <w:r>
              <w:rPr>
                <w:rFonts w:cs="Arial" w:ascii="Arial" w:hAnsi="Arial"/>
                <w:bCs/>
              </w:rPr>
              <w:t xml:space="preserve"> 5º</w:t>
            </w:r>
          </w:p>
          <w:p>
            <w:pPr>
              <w:pStyle w:val="Normal"/>
              <w:tabs>
                <w:tab w:val="left" w:pos="6015" w:leader="none"/>
              </w:tabs>
              <w:spacing w:lineRule="auto" w:line="240" w:before="0" w:after="0"/>
              <w:jc w:val="both"/>
              <w:rPr>
                <w:rFonts w:ascii="Arial" w:hAnsi="Arial" w:cs="Arial"/>
                <w:b/>
                <w:b/>
                <w:bCs/>
              </w:rPr>
            </w:pPr>
            <w:r>
              <w:rPr>
                <w:rFonts w:cs="Arial" w:ascii="Arial" w:hAnsi="Arial"/>
                <w:b/>
                <w:bCs/>
              </w:rPr>
              <w:t>Carga Horária:</w:t>
            </w:r>
            <w:r>
              <w:rPr>
                <w:rFonts w:cs="Arial" w:ascii="Arial" w:hAnsi="Arial"/>
              </w:rPr>
              <w:t xml:space="preserve"> 15 h/a teóricas e 60 h/a práticas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Ementa:</w:t>
            </w:r>
            <w:r>
              <w:rPr>
                <w:rFonts w:cs="Arial" w:ascii="Arial" w:hAnsi="Arial"/>
                <w:color w:val="000000" w:themeColor="text1"/>
              </w:rPr>
              <w:t xml:space="preserve"> </w:t>
            </w:r>
            <w:r>
              <w:rPr>
                <w:rFonts w:cs="Arial" w:ascii="Arial" w:hAnsi="Arial"/>
              </w:rPr>
              <w:t>Análise e elaboração de materiais pedagógicos relacionados às temáticas históricas em diferentes suportes. Trabalho com diferentes fontes, linguagens e experiências: iconográficas, audiovisuais, impressos, músicas, museus, sítios urbanos e arqueológicos, internet, dentre outras tecnologias no ensino de história</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bCs/>
              </w:rPr>
            </w:pPr>
            <w:r>
              <w:rPr>
                <w:rFonts w:cs="Arial" w:ascii="Arial" w:hAnsi="Arial"/>
                <w:b/>
                <w:bCs/>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HERNÁNDEZ, Fernando. </w:t>
            </w:r>
            <w:r>
              <w:rPr>
                <w:rFonts w:cs="Arial" w:ascii="Arial" w:hAnsi="Arial"/>
                <w:i/>
                <w:color w:val="00000A"/>
                <w:sz w:val="20"/>
                <w:szCs w:val="22"/>
              </w:rPr>
              <w:t xml:space="preserve">Transgressão e mudança na educação: </w:t>
            </w:r>
            <w:r>
              <w:rPr>
                <w:rFonts w:cs="Arial" w:ascii="Arial" w:hAnsi="Arial"/>
                <w:color w:val="00000A"/>
                <w:sz w:val="20"/>
                <w:szCs w:val="22"/>
              </w:rPr>
              <w:t>os projetos de trabalho</w:t>
            </w:r>
            <w:r>
              <w:rPr>
                <w:rFonts w:cs="Arial" w:ascii="Arial" w:hAnsi="Arial"/>
                <w:i/>
                <w:color w:val="00000A"/>
                <w:sz w:val="20"/>
                <w:szCs w:val="22"/>
              </w:rPr>
              <w:t>.</w:t>
            </w:r>
            <w:r>
              <w:rPr>
                <w:rFonts w:cs="Arial" w:ascii="Arial" w:hAnsi="Arial"/>
                <w:color w:val="00000A"/>
                <w:sz w:val="20"/>
                <w:szCs w:val="22"/>
              </w:rPr>
              <w:t xml:space="preserve"> Porto Alegre: Artmed, 1998.</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PEREIRA, Júnia Sales; RICCI, Claudia (Orgs). </w:t>
            </w:r>
            <w:r>
              <w:rPr>
                <w:rFonts w:cs="Arial" w:ascii="Arial" w:hAnsi="Arial"/>
                <w:i/>
                <w:color w:val="00000A"/>
                <w:sz w:val="20"/>
                <w:szCs w:val="22"/>
              </w:rPr>
              <w:t xml:space="preserve">Produção de materiais didáticos para a diversidade: </w:t>
            </w:r>
            <w:r>
              <w:rPr>
                <w:rFonts w:cs="Arial" w:ascii="Arial" w:hAnsi="Arial"/>
                <w:color w:val="00000A"/>
                <w:sz w:val="20"/>
                <w:szCs w:val="22"/>
              </w:rPr>
              <w:t xml:space="preserve">patrimônio e práticas de memória numa perspectiva interdisciplinar. Livros 1, 2 e 3 Belo Horizonte, Brasília, Labepeh/UFMG, Caed/UFMG, Secad/Mec, 2010.    </w:t>
            </w:r>
          </w:p>
          <w:p>
            <w:pPr>
              <w:pStyle w:val="Normal"/>
              <w:spacing w:before="0" w:after="0"/>
              <w:jc w:val="both"/>
              <w:rPr>
                <w:rFonts w:ascii="Arial" w:hAnsi="Arial" w:cs="Arial"/>
                <w:b/>
                <w:b/>
                <w:bCs/>
              </w:rPr>
            </w:pPr>
            <w:r>
              <w:rPr>
                <w:rFonts w:cs="Arial" w:ascii="Arial" w:hAnsi="Arial"/>
                <w:sz w:val="20"/>
              </w:rPr>
              <w:t xml:space="preserve">RÜSEN, Jörn. </w:t>
            </w:r>
            <w:r>
              <w:rPr>
                <w:rFonts w:cs="Arial" w:ascii="Arial" w:hAnsi="Arial"/>
                <w:i/>
                <w:sz w:val="20"/>
              </w:rPr>
              <w:t xml:space="preserve">A aprendizagem histórica: </w:t>
            </w:r>
            <w:r>
              <w:rPr>
                <w:rFonts w:cs="Arial" w:ascii="Arial" w:hAnsi="Arial"/>
                <w:sz w:val="20"/>
              </w:rPr>
              <w:t>fundamentos e paradigmas</w:t>
            </w:r>
            <w:r>
              <w:rPr>
                <w:rFonts w:cs="Arial" w:ascii="Arial" w:hAnsi="Arial"/>
                <w:i/>
                <w:sz w:val="20"/>
              </w:rPr>
              <w:t>.</w:t>
            </w:r>
            <w:r>
              <w:rPr>
                <w:rFonts w:cs="Arial" w:ascii="Arial" w:hAnsi="Arial"/>
                <w:sz w:val="20"/>
              </w:rPr>
              <w:t xml:space="preserve"> Curitiba: W. A: Editores, 2012.</w:t>
            </w:r>
          </w:p>
        </w:tc>
      </w:tr>
      <w:tr>
        <w:trPr/>
        <w:tc>
          <w:tcPr>
            <w:tcW w:w="8494" w:type="dxa"/>
            <w:tcBorders>
              <w:top w:val="nil"/>
            </w:tcBorders>
            <w:shd w:fill="auto" w:val="clear"/>
            <w:tcMar>
              <w:left w:w="108" w:type="dxa"/>
            </w:tcMar>
          </w:tcPr>
          <w:p>
            <w:pPr>
              <w:pStyle w:val="Normal"/>
              <w:tabs>
                <w:tab w:val="left" w:pos="6015" w:leader="none"/>
              </w:tabs>
              <w:spacing w:before="0" w:after="0"/>
              <w:jc w:val="both"/>
              <w:rPr>
                <w:rFonts w:ascii="Arial" w:hAnsi="Arial" w:cs="Arial"/>
                <w:b/>
                <w:b/>
                <w:bCs/>
              </w:rPr>
            </w:pPr>
            <w:r>
              <w:rPr>
                <w:rFonts w:cs="Arial" w:ascii="Arial" w:hAnsi="Arial"/>
                <w:b/>
                <w:bCs/>
              </w:rPr>
              <w:t>Bibliografia Complementar:</w:t>
              <w:tab/>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FONSECA, Selva G.</w:t>
            </w:r>
            <w:r>
              <w:rPr>
                <w:rFonts w:cs="Arial" w:ascii="Arial" w:hAnsi="Arial"/>
                <w:i/>
                <w:iCs/>
                <w:color w:val="00000A"/>
                <w:sz w:val="20"/>
                <w:szCs w:val="22"/>
              </w:rPr>
              <w:t xml:space="preserve"> Didática e prática de ensino de História. </w:t>
            </w:r>
            <w:r>
              <w:rPr>
                <w:rFonts w:cs="Arial" w:ascii="Arial" w:hAnsi="Arial"/>
                <w:color w:val="00000A"/>
                <w:sz w:val="20"/>
                <w:szCs w:val="22"/>
              </w:rPr>
              <w:t>Campinas, SP: Papirus, 2003.</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FONSECA, Selva G.; SILVA, Marcos. </w:t>
            </w:r>
            <w:r>
              <w:rPr>
                <w:rFonts w:cs="Arial" w:ascii="Arial" w:hAnsi="Arial"/>
                <w:i/>
                <w:color w:val="00000A"/>
                <w:sz w:val="20"/>
                <w:szCs w:val="22"/>
              </w:rPr>
              <w:t xml:space="preserve">Ensinar história no século XXI: </w:t>
            </w:r>
            <w:r>
              <w:rPr>
                <w:rFonts w:cs="Arial" w:ascii="Arial" w:hAnsi="Arial"/>
                <w:color w:val="00000A"/>
                <w:sz w:val="20"/>
                <w:szCs w:val="22"/>
              </w:rPr>
              <w:t>em busca do tempo entendido. São Paulo: Papirus, 2007.</w:t>
            </w:r>
          </w:p>
          <w:p>
            <w:pPr>
              <w:pStyle w:val="Padro"/>
              <w:spacing w:lineRule="auto" w:line="240" w:before="0" w:after="0"/>
              <w:rPr>
                <w:rFonts w:ascii="Arial" w:hAnsi="Arial" w:cs="Arial"/>
                <w:color w:val="00000A"/>
                <w:sz w:val="20"/>
                <w:szCs w:val="22"/>
              </w:rPr>
            </w:pPr>
            <w:r>
              <w:rPr>
                <w:rFonts w:cs="Arial" w:ascii="Arial" w:hAnsi="Arial"/>
                <w:color w:val="00000A"/>
                <w:sz w:val="20"/>
                <w:szCs w:val="22"/>
                <w:shd w:fill="FFFFFF" w:val="clear"/>
              </w:rPr>
              <w:t>FORQUIN, J. C. (org).</w:t>
            </w:r>
            <w:r>
              <w:rPr>
                <w:rStyle w:val="Appleconvertedspace"/>
                <w:rFonts w:cs="Arial" w:ascii="Arial" w:hAnsi="Arial"/>
                <w:color w:val="00000A"/>
                <w:sz w:val="20"/>
                <w:szCs w:val="22"/>
                <w:shd w:fill="FFFFFF" w:val="clear"/>
              </w:rPr>
              <w:t> </w:t>
            </w:r>
            <w:r>
              <w:rPr>
                <w:rFonts w:cs="Arial" w:ascii="Arial" w:hAnsi="Arial"/>
                <w:i/>
                <w:color w:val="00000A"/>
                <w:sz w:val="20"/>
                <w:szCs w:val="22"/>
                <w:shd w:fill="FFFFFF" w:val="clear"/>
              </w:rPr>
              <w:t>Escola e Cultura</w:t>
            </w:r>
            <w:r>
              <w:rPr>
                <w:rFonts w:cs="Arial" w:ascii="Arial" w:hAnsi="Arial"/>
                <w:color w:val="00000A"/>
                <w:sz w:val="20"/>
                <w:szCs w:val="22"/>
                <w:shd w:fill="FFFFFF" w:val="clear"/>
              </w:rPr>
              <w:t>. Porto Alegre: Artes Médicas, 1993.</w:t>
            </w:r>
          </w:p>
          <w:p>
            <w:pPr>
              <w:pStyle w:val="Padro"/>
              <w:spacing w:lineRule="auto" w:line="240" w:before="0" w:after="0"/>
              <w:jc w:val="both"/>
              <w:rPr>
                <w:rFonts w:ascii="Arial" w:hAnsi="Arial" w:cs="Arial"/>
                <w:color w:val="00000A"/>
                <w:sz w:val="20"/>
                <w:szCs w:val="22"/>
              </w:rPr>
            </w:pPr>
            <w:r>
              <w:rPr>
                <w:rFonts w:cs="Arial" w:ascii="Arial" w:hAnsi="Arial"/>
                <w:bCs/>
                <w:color w:val="00000A"/>
                <w:sz w:val="20"/>
                <w:szCs w:val="22"/>
              </w:rPr>
              <w:t xml:space="preserve">SILVA, Tomaz Tadeu da. </w:t>
            </w:r>
            <w:r>
              <w:rPr>
                <w:rFonts w:cs="Arial" w:ascii="Arial" w:hAnsi="Arial"/>
                <w:bCs/>
                <w:i/>
                <w:color w:val="00000A"/>
                <w:sz w:val="20"/>
                <w:szCs w:val="22"/>
              </w:rPr>
              <w:t xml:space="preserve">O currículo como fetiche: </w:t>
            </w:r>
            <w:r>
              <w:rPr>
                <w:rFonts w:cs="Arial" w:ascii="Arial" w:hAnsi="Arial"/>
                <w:bCs/>
                <w:color w:val="00000A"/>
                <w:sz w:val="20"/>
                <w:szCs w:val="22"/>
              </w:rPr>
              <w:t>a poética e a política do texto curricular. Belo Horizonte: Autêntica. 2006.</w:t>
            </w:r>
          </w:p>
          <w:p>
            <w:pPr>
              <w:pStyle w:val="Normal"/>
              <w:spacing w:before="0" w:after="0"/>
              <w:jc w:val="both"/>
              <w:rPr>
                <w:rFonts w:ascii="Arial" w:hAnsi="Arial" w:cs="Arial"/>
                <w:b/>
                <w:b/>
                <w:bCs/>
              </w:rPr>
            </w:pPr>
            <w:r>
              <w:rPr>
                <w:rFonts w:cs="Arial" w:ascii="Arial" w:hAnsi="Arial"/>
                <w:sz w:val="20"/>
              </w:rPr>
              <w:t xml:space="preserve">ZABALA, Antoni. </w:t>
            </w:r>
            <w:r>
              <w:rPr>
                <w:rFonts w:cs="Arial" w:ascii="Arial" w:hAnsi="Arial"/>
                <w:i/>
                <w:sz w:val="20"/>
              </w:rPr>
              <w:t xml:space="preserve">A prática educativa: </w:t>
            </w:r>
            <w:r>
              <w:rPr>
                <w:rFonts w:cs="Arial" w:ascii="Arial" w:hAnsi="Arial"/>
                <w:sz w:val="20"/>
              </w:rPr>
              <w:t>como ensinar</w:t>
            </w:r>
            <w:r>
              <w:rPr>
                <w:rFonts w:cs="Arial" w:ascii="Arial" w:hAnsi="Arial"/>
                <w:i/>
                <w:sz w:val="20"/>
              </w:rPr>
              <w:t>.</w:t>
            </w:r>
            <w:r>
              <w:rPr>
                <w:rFonts w:cs="Arial" w:ascii="Arial" w:hAnsi="Arial"/>
                <w:sz w:val="20"/>
              </w:rPr>
              <w:t xml:space="preserve"> Porto Alegre: Artmed, 1998.</w:t>
            </w:r>
          </w:p>
        </w:tc>
      </w:tr>
      <w:tr>
        <w:trPr/>
        <w:tc>
          <w:tcPr>
            <w:tcW w:w="8494" w:type="dxa"/>
            <w:tcBorders/>
            <w:shd w:fill="auto" w:val="clear"/>
            <w:tcMar>
              <w:left w:w="108" w:type="dxa"/>
            </w:tcMar>
          </w:tcPr>
          <w:p>
            <w:pPr>
              <w:pStyle w:val="Normal"/>
              <w:tabs>
                <w:tab w:val="left" w:pos="6015" w:leader="none"/>
              </w:tabs>
              <w:spacing w:lineRule="auto" w:line="240" w:before="0" w:after="0"/>
              <w:jc w:val="both"/>
              <w:rPr>
                <w:rFonts w:ascii="Arial" w:hAnsi="Arial" w:cs="Arial"/>
                <w:b/>
                <w:b/>
                <w:bCs/>
              </w:rPr>
            </w:pPr>
            <w:r>
              <w:rPr>
                <w:rFonts w:cs="Arial" w:ascii="Arial" w:hAnsi="Arial"/>
                <w:b/>
                <w:bCs/>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Unidade Curricular:</w:t>
            </w:r>
            <w:r>
              <w:rPr>
                <w:rFonts w:cs="Arial" w:ascii="Arial" w:hAnsi="Arial"/>
                <w:sz w:val="20"/>
                <w:szCs w:val="20"/>
              </w:rPr>
              <w:t xml:space="preserve"> </w:t>
            </w:r>
            <w:r>
              <w:rPr>
                <w:rFonts w:cs="Arial" w:ascii="Arial" w:hAnsi="Arial"/>
                <w:b/>
                <w:u w:val="single"/>
              </w:rPr>
              <w:t>Estágio Supervisionado: Gestão e Cultura Escolar</w:t>
            </w:r>
          </w:p>
          <w:p>
            <w:pPr>
              <w:pStyle w:val="Normal"/>
              <w:spacing w:lineRule="auto" w:line="240" w:before="0" w:after="0"/>
              <w:jc w:val="both"/>
              <w:rPr>
                <w:rFonts w:ascii="Arial" w:hAnsi="Arial" w:cs="Arial"/>
                <w:bCs/>
              </w:rPr>
            </w:pPr>
            <w:r>
              <w:rPr>
                <w:rFonts w:cs="Arial" w:ascii="Arial" w:hAnsi="Arial"/>
                <w:b/>
                <w:bCs/>
              </w:rPr>
              <w:t>Período:</w:t>
            </w:r>
            <w:r>
              <w:rPr>
                <w:rFonts w:cs="Arial" w:ascii="Arial" w:hAnsi="Arial"/>
                <w:bCs/>
              </w:rPr>
              <w:t xml:space="preserve"> 6º</w:t>
            </w:r>
          </w:p>
          <w:p>
            <w:pPr>
              <w:pStyle w:val="Normal"/>
              <w:tabs>
                <w:tab w:val="left" w:pos="6015" w:leader="none"/>
              </w:tabs>
              <w:spacing w:lineRule="auto" w:line="240" w:before="0" w:after="0"/>
              <w:jc w:val="both"/>
              <w:rPr>
                <w:rFonts w:ascii="Arial" w:hAnsi="Arial" w:cs="Arial"/>
                <w:b/>
                <w:b/>
                <w:bCs/>
              </w:rPr>
            </w:pPr>
            <w:r>
              <w:rPr>
                <w:rFonts w:cs="Arial" w:ascii="Arial" w:hAnsi="Arial"/>
                <w:b/>
                <w:bCs/>
              </w:rPr>
              <w:t>Carga Horária:</w:t>
            </w:r>
            <w:r>
              <w:rPr>
                <w:rFonts w:cs="Arial" w:ascii="Arial" w:hAnsi="Arial"/>
              </w:rPr>
              <w:t xml:space="preserve"> 80hs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Ementa:</w:t>
            </w:r>
            <w:r>
              <w:rPr>
                <w:rFonts w:cs="Arial" w:ascii="Arial" w:hAnsi="Arial"/>
                <w:color w:val="000000" w:themeColor="text1"/>
              </w:rPr>
              <w:t xml:space="preserve"> </w:t>
            </w:r>
            <w:r>
              <w:rPr>
                <w:rFonts w:cs="Arial" w:ascii="Arial" w:hAnsi="Arial"/>
              </w:rPr>
              <w:t xml:space="preserve">Perspectivas do estágio supervisionado. Cultura escolar. </w:t>
            </w:r>
            <w:r>
              <w:rPr>
                <w:rFonts w:cs="Arial" w:ascii="Arial" w:hAnsi="Arial"/>
                <w:bCs/>
              </w:rPr>
              <w:t>Função administrativa da unidade escolar e do gestor. Dimensão pedagógica do cotidiano da escola e o papel do administrador escolar. Levantamento e análise da realidade escolar: o projeto político pedagógico, o regimento escolar, o plano de direção, planejamento participativo e órgãos colegiados da escola</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bCs/>
              </w:rPr>
            </w:pPr>
            <w:r>
              <w:rPr>
                <w:rFonts w:cs="Arial" w:ascii="Arial" w:hAnsi="Arial"/>
                <w:b/>
                <w:bCs/>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FERREIRA, Naura Syria Carapeto; AGUIRA, Márcia Ângela da Silva (Orgs.). </w:t>
            </w:r>
            <w:r>
              <w:rPr>
                <w:rFonts w:cs="Arial" w:ascii="Arial" w:hAnsi="Arial"/>
                <w:i/>
                <w:color w:val="00000A"/>
                <w:sz w:val="20"/>
                <w:szCs w:val="22"/>
              </w:rPr>
              <w:t xml:space="preserve">Gestão da Educação: </w:t>
            </w:r>
            <w:r>
              <w:rPr>
                <w:rFonts w:cs="Arial" w:ascii="Arial" w:hAnsi="Arial"/>
                <w:color w:val="00000A"/>
                <w:sz w:val="20"/>
                <w:szCs w:val="22"/>
              </w:rPr>
              <w:t>impasses, perspectivas e compromissos. São Paulo: Cortez, 2008.</w:t>
            </w:r>
          </w:p>
          <w:p>
            <w:pPr>
              <w:pStyle w:val="Padro"/>
              <w:spacing w:lineRule="auto" w:line="240" w:before="0" w:after="0"/>
              <w:jc w:val="both"/>
              <w:rPr>
                <w:rFonts w:ascii="Arial" w:hAnsi="Arial" w:cs="Arial"/>
                <w:color w:val="00000A"/>
                <w:sz w:val="20"/>
                <w:szCs w:val="22"/>
              </w:rPr>
            </w:pPr>
            <w:r>
              <w:rPr>
                <w:rStyle w:val="Conteudo"/>
                <w:rFonts w:cs="Arial" w:ascii="Arial" w:hAnsi="Arial"/>
                <w:color w:val="00000A"/>
                <w:sz w:val="20"/>
                <w:szCs w:val="22"/>
              </w:rPr>
              <w:t xml:space="preserve">OLIVEIRA, Dalila Andrade; ROSAR, Maria de Fátima (Orgs). </w:t>
            </w:r>
            <w:r>
              <w:rPr>
                <w:rStyle w:val="Conteudo"/>
                <w:rFonts w:cs="Arial" w:ascii="Arial" w:hAnsi="Arial"/>
                <w:i/>
                <w:color w:val="00000A"/>
                <w:sz w:val="20"/>
                <w:szCs w:val="22"/>
              </w:rPr>
              <w:t xml:space="preserve">Política e gestão da educação. </w:t>
            </w:r>
            <w:r>
              <w:rPr>
                <w:rStyle w:val="Conteudo"/>
                <w:rFonts w:cs="Arial" w:ascii="Arial" w:hAnsi="Arial"/>
                <w:color w:val="00000A"/>
                <w:sz w:val="20"/>
                <w:szCs w:val="22"/>
              </w:rPr>
              <w:t>Belo Horizonte: Autêntica, 2008.</w:t>
            </w:r>
          </w:p>
          <w:p>
            <w:pPr>
              <w:pStyle w:val="Normal"/>
              <w:spacing w:before="0" w:after="0"/>
              <w:jc w:val="both"/>
              <w:rPr>
                <w:rFonts w:ascii="Arial" w:hAnsi="Arial" w:cs="Arial"/>
                <w:b/>
                <w:b/>
                <w:bCs/>
              </w:rPr>
            </w:pPr>
            <w:r>
              <w:rPr>
                <w:rFonts w:cs="Arial" w:ascii="Arial" w:hAnsi="Arial"/>
                <w:sz w:val="20"/>
              </w:rPr>
              <w:t xml:space="preserve">PIMENTA, Selma Garrido; LIMA, Maria Socorro Lucena. </w:t>
            </w:r>
            <w:r>
              <w:rPr>
                <w:rFonts w:cs="Arial" w:ascii="Arial" w:hAnsi="Arial"/>
                <w:i/>
                <w:sz w:val="20"/>
              </w:rPr>
              <w:t>Estágio e Docência</w:t>
            </w:r>
            <w:r>
              <w:rPr>
                <w:rFonts w:cs="Arial" w:ascii="Arial" w:hAnsi="Arial"/>
                <w:sz w:val="20"/>
              </w:rPr>
              <w:t>. São Paulo: Cortez, 2004.</w:t>
            </w:r>
          </w:p>
        </w:tc>
      </w:tr>
      <w:tr>
        <w:trPr/>
        <w:tc>
          <w:tcPr>
            <w:tcW w:w="8494" w:type="dxa"/>
            <w:tcBorders>
              <w:top w:val="nil"/>
            </w:tcBorders>
            <w:shd w:fill="auto" w:val="clear"/>
            <w:tcMar>
              <w:left w:w="108" w:type="dxa"/>
            </w:tcMar>
          </w:tcPr>
          <w:p>
            <w:pPr>
              <w:pStyle w:val="Normal"/>
              <w:tabs>
                <w:tab w:val="left" w:pos="6015" w:leader="none"/>
              </w:tabs>
              <w:spacing w:before="0" w:after="0"/>
              <w:jc w:val="both"/>
              <w:rPr>
                <w:rFonts w:ascii="Arial" w:hAnsi="Arial" w:cs="Arial"/>
                <w:b/>
                <w:b/>
                <w:bCs/>
              </w:rPr>
            </w:pPr>
            <w:r>
              <w:rPr>
                <w:rFonts w:cs="Arial" w:ascii="Arial" w:hAnsi="Arial"/>
                <w:b/>
                <w:bCs/>
              </w:rPr>
              <w:t>Bibliografia Complementar:</w:t>
              <w:tab/>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GANDIN, D. </w:t>
            </w:r>
            <w:r>
              <w:rPr>
                <w:rFonts w:cs="Arial" w:ascii="Arial" w:hAnsi="Arial"/>
                <w:i/>
                <w:color w:val="00000A"/>
                <w:sz w:val="20"/>
                <w:szCs w:val="22"/>
              </w:rPr>
              <w:t>Planejamento como prática educativa</w:t>
            </w:r>
            <w:r>
              <w:rPr>
                <w:rFonts w:cs="Arial" w:ascii="Arial" w:hAnsi="Arial"/>
                <w:color w:val="00000A"/>
                <w:sz w:val="20"/>
                <w:szCs w:val="22"/>
              </w:rPr>
              <w:t>. 5. ed. São Paulo: Loyola, 2002.</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OLIVEIRA, Dalila Andrade (org). </w:t>
            </w:r>
            <w:r>
              <w:rPr>
                <w:rFonts w:cs="Arial" w:ascii="Arial" w:hAnsi="Arial"/>
                <w:i/>
                <w:color w:val="00000A"/>
                <w:sz w:val="20"/>
                <w:szCs w:val="22"/>
              </w:rPr>
              <w:t>Gestão Democrática da Educação</w:t>
            </w:r>
            <w:r>
              <w:rPr>
                <w:rFonts w:cs="Arial" w:ascii="Arial" w:hAnsi="Arial"/>
                <w:color w:val="00000A"/>
                <w:sz w:val="20"/>
                <w:szCs w:val="22"/>
              </w:rPr>
              <w:t>. Petrópolis: RJ: Vozes, 1997.</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PERÉZ-GOMÉZ, A. I. </w:t>
            </w:r>
            <w:r>
              <w:rPr>
                <w:rFonts w:cs="Arial" w:ascii="Arial" w:hAnsi="Arial"/>
                <w:i/>
                <w:color w:val="00000A"/>
                <w:sz w:val="20"/>
                <w:szCs w:val="22"/>
              </w:rPr>
              <w:t>A Cultura Escolar na sociedade neoliberal</w:t>
            </w:r>
            <w:r>
              <w:rPr>
                <w:rFonts w:cs="Arial" w:ascii="Arial" w:hAnsi="Arial"/>
                <w:color w:val="00000A"/>
                <w:sz w:val="20"/>
                <w:szCs w:val="22"/>
              </w:rPr>
              <w:t>. Tradução: Ernani Rosa. Porto Alegre: Artmed Editora, 2001.</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SILVA, Lázara Cristina; MIRANDA, Maria Irene (Orgs). </w:t>
            </w:r>
            <w:r>
              <w:rPr>
                <w:rFonts w:cs="Arial" w:ascii="Arial" w:hAnsi="Arial"/>
                <w:i/>
                <w:color w:val="00000A"/>
                <w:sz w:val="20"/>
                <w:szCs w:val="22"/>
              </w:rPr>
              <w:t xml:space="preserve">Estágio supervisionado e prática de ensino: </w:t>
            </w:r>
            <w:r>
              <w:rPr>
                <w:rFonts w:cs="Arial" w:ascii="Arial" w:hAnsi="Arial"/>
                <w:color w:val="00000A"/>
                <w:sz w:val="20"/>
                <w:szCs w:val="22"/>
              </w:rPr>
              <w:t>desafios e possibilidades</w:t>
            </w:r>
            <w:r>
              <w:rPr>
                <w:rFonts w:cs="Arial" w:ascii="Arial" w:hAnsi="Arial"/>
                <w:i/>
                <w:color w:val="00000A"/>
                <w:sz w:val="20"/>
                <w:szCs w:val="22"/>
              </w:rPr>
              <w:t xml:space="preserve">. </w:t>
            </w:r>
            <w:r>
              <w:rPr>
                <w:rFonts w:cs="Arial" w:ascii="Arial" w:hAnsi="Arial"/>
                <w:color w:val="00000A"/>
                <w:sz w:val="20"/>
                <w:szCs w:val="22"/>
              </w:rPr>
              <w:t xml:space="preserve"> Araraquara, SP: Junqueira e Marins Editores, 2008.</w:t>
            </w:r>
          </w:p>
          <w:p>
            <w:pPr>
              <w:pStyle w:val="Normal"/>
              <w:spacing w:before="0" w:after="0"/>
              <w:jc w:val="both"/>
              <w:rPr>
                <w:rFonts w:ascii="Arial" w:hAnsi="Arial" w:cs="Arial"/>
                <w:b/>
                <w:b/>
                <w:bCs/>
              </w:rPr>
            </w:pPr>
            <w:r>
              <w:rPr>
                <w:rFonts w:cs="Arial" w:ascii="Arial" w:hAnsi="Arial"/>
                <w:sz w:val="20"/>
              </w:rPr>
              <w:t xml:space="preserve">VIDAL, Diana. </w:t>
            </w:r>
            <w:r>
              <w:rPr>
                <w:rFonts w:cs="Arial" w:ascii="Arial" w:hAnsi="Arial"/>
                <w:i/>
                <w:iCs/>
                <w:sz w:val="20"/>
              </w:rPr>
              <w:t xml:space="preserve">Culturas escolares. </w:t>
            </w:r>
            <w:r>
              <w:rPr>
                <w:rFonts w:cs="Arial" w:ascii="Arial" w:hAnsi="Arial"/>
                <w:iCs/>
                <w:sz w:val="20"/>
              </w:rPr>
              <w:t>Estudo sobre práticas de leitura e escrita na escola pública primária (Brasil e França, final do século XIX).</w:t>
            </w:r>
            <w:r>
              <w:rPr>
                <w:rFonts w:cs="Arial" w:ascii="Arial" w:hAnsi="Arial"/>
                <w:i/>
                <w:iCs/>
                <w:sz w:val="20"/>
              </w:rPr>
              <w:t xml:space="preserve"> </w:t>
            </w:r>
            <w:r>
              <w:rPr>
                <w:rFonts w:cs="Arial" w:ascii="Arial" w:hAnsi="Arial"/>
                <w:sz w:val="20"/>
              </w:rPr>
              <w:t>Campinas, SP: Autores Associados, 2005.</w:t>
            </w:r>
          </w:p>
        </w:tc>
      </w:tr>
      <w:tr>
        <w:trPr/>
        <w:tc>
          <w:tcPr>
            <w:tcW w:w="8494" w:type="dxa"/>
            <w:tcBorders/>
            <w:shd w:fill="auto" w:val="clear"/>
            <w:tcMar>
              <w:left w:w="108" w:type="dxa"/>
            </w:tcMar>
          </w:tcPr>
          <w:p>
            <w:pPr>
              <w:pStyle w:val="Normal"/>
              <w:tabs>
                <w:tab w:val="left" w:pos="6015" w:leader="none"/>
              </w:tabs>
              <w:spacing w:lineRule="auto" w:line="240" w:before="0" w:after="0"/>
              <w:jc w:val="both"/>
              <w:rPr>
                <w:rFonts w:ascii="Arial" w:hAnsi="Arial" w:cs="Arial"/>
                <w:b/>
                <w:b/>
                <w:bCs/>
              </w:rPr>
            </w:pPr>
            <w:r>
              <w:rPr>
                <w:rFonts w:cs="Arial" w:ascii="Arial" w:hAnsi="Arial"/>
                <w:b/>
                <w:bCs/>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Unidade Curricular:</w:t>
            </w:r>
            <w:r>
              <w:rPr>
                <w:rFonts w:cs="Arial" w:ascii="Arial" w:hAnsi="Arial"/>
                <w:sz w:val="20"/>
                <w:szCs w:val="20"/>
              </w:rPr>
              <w:t xml:space="preserve"> </w:t>
            </w:r>
            <w:r>
              <w:rPr>
                <w:rFonts w:cs="Arial" w:ascii="Arial" w:hAnsi="Arial"/>
                <w:b/>
                <w:u w:val="single"/>
              </w:rPr>
              <w:t>Estágio Supervisionado: Ensino Fundamental (Séries finais)</w:t>
            </w:r>
          </w:p>
          <w:p>
            <w:pPr>
              <w:pStyle w:val="Normal"/>
              <w:spacing w:lineRule="auto" w:line="240" w:before="0" w:after="0"/>
              <w:jc w:val="both"/>
              <w:rPr>
                <w:rFonts w:ascii="Arial" w:hAnsi="Arial" w:cs="Arial"/>
                <w:bCs/>
              </w:rPr>
            </w:pPr>
            <w:r>
              <w:rPr>
                <w:rFonts w:cs="Arial" w:ascii="Arial" w:hAnsi="Arial"/>
                <w:b/>
                <w:bCs/>
              </w:rPr>
              <w:t>Período:</w:t>
            </w:r>
            <w:r>
              <w:rPr>
                <w:rFonts w:cs="Arial" w:ascii="Arial" w:hAnsi="Arial"/>
                <w:bCs/>
              </w:rPr>
              <w:t xml:space="preserve"> 7º</w:t>
            </w:r>
          </w:p>
          <w:p>
            <w:pPr>
              <w:pStyle w:val="Normal"/>
              <w:tabs>
                <w:tab w:val="left" w:pos="6015" w:leader="none"/>
              </w:tabs>
              <w:spacing w:lineRule="auto" w:line="240" w:before="0" w:after="0"/>
              <w:jc w:val="both"/>
              <w:rPr>
                <w:rFonts w:ascii="Arial" w:hAnsi="Arial" w:cs="Arial"/>
                <w:b/>
                <w:b/>
                <w:bCs/>
              </w:rPr>
            </w:pPr>
            <w:r>
              <w:rPr>
                <w:rFonts w:cs="Arial" w:ascii="Arial" w:hAnsi="Arial"/>
                <w:b/>
                <w:bCs/>
              </w:rPr>
              <w:t>Carga Horária:</w:t>
            </w:r>
            <w:r>
              <w:rPr>
                <w:rFonts w:cs="Arial" w:ascii="Arial" w:hAnsi="Arial"/>
              </w:rPr>
              <w:t xml:space="preserve"> 160 hs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bCs/>
              </w:rPr>
            </w:pPr>
            <w:r>
              <w:rPr>
                <w:rFonts w:cs="Arial" w:ascii="Arial" w:hAnsi="Arial"/>
                <w:b/>
                <w:bCs/>
              </w:rPr>
              <w:t>Ementa:</w:t>
            </w:r>
            <w:r>
              <w:rPr>
                <w:rFonts w:cs="Arial" w:ascii="Arial" w:hAnsi="Arial"/>
                <w:color w:val="000000" w:themeColor="text1"/>
              </w:rPr>
              <w:t xml:space="preserve"> </w:t>
            </w:r>
            <w:r>
              <w:rPr>
                <w:rFonts w:cs="Arial" w:ascii="Arial" w:hAnsi="Arial"/>
                <w:bCs/>
              </w:rPr>
              <w:t xml:space="preserve">Desenvolvimento de projetos de intervenção pedagógica e regência em espaços educacionais que mantenham vínculo com o ensino de história. Reflexão e socialização das experiências vivenciadas nos diversos espaços educativos. </w:t>
            </w:r>
            <w:r>
              <w:rPr>
                <w:rFonts w:cs="Arial" w:ascii="Arial" w:hAnsi="Arial"/>
              </w:rPr>
              <w:t>Elaboração de relatório de pesquisa de estágio.</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bCs/>
              </w:rPr>
            </w:pPr>
            <w:r>
              <w:rPr>
                <w:rFonts w:cs="Arial" w:ascii="Arial" w:hAnsi="Arial"/>
                <w:b/>
                <w:bCs/>
              </w:rPr>
              <w:t>Bibliografia Básica:</w:t>
            </w:r>
          </w:p>
          <w:p>
            <w:pPr>
              <w:pStyle w:val="Padro"/>
              <w:spacing w:lineRule="auto" w:line="240" w:before="0" w:after="0"/>
              <w:jc w:val="both"/>
              <w:rPr>
                <w:rFonts w:ascii="Arial" w:hAnsi="Arial" w:cs="Arial"/>
                <w:color w:val="00000A"/>
                <w:sz w:val="20"/>
                <w:szCs w:val="22"/>
              </w:rPr>
            </w:pPr>
            <w:r>
              <w:rPr>
                <w:rFonts w:cs="Arial" w:ascii="Arial" w:hAnsi="Arial"/>
                <w:bCs/>
                <w:color w:val="00000A"/>
                <w:sz w:val="20"/>
                <w:szCs w:val="22"/>
              </w:rPr>
              <w:t xml:space="preserve">SILVA, Cristiani Bereta da; et. al (Orgs). </w:t>
            </w:r>
            <w:r>
              <w:rPr>
                <w:rFonts w:eastAsia="TimesNewRomanPSMT" w:cs="Arial" w:ascii="Arial" w:hAnsi="Arial"/>
                <w:i/>
                <w:color w:val="00000A"/>
                <w:sz w:val="20"/>
                <w:szCs w:val="22"/>
              </w:rPr>
              <w:t>Experiências de ensino de história no estágio supervisionado</w:t>
            </w:r>
            <w:r>
              <w:rPr>
                <w:rFonts w:eastAsia="TimesNewRomanPSMT" w:cs="Arial" w:ascii="Arial" w:hAnsi="Arial"/>
                <w:b/>
                <w:color w:val="00000A"/>
                <w:sz w:val="20"/>
                <w:szCs w:val="22"/>
              </w:rPr>
              <w:t>.</w:t>
            </w:r>
            <w:r>
              <w:rPr>
                <w:rFonts w:eastAsia="TimesNewRomanPSMT" w:cs="Arial" w:ascii="Arial" w:hAnsi="Arial"/>
                <w:color w:val="00000A"/>
                <w:sz w:val="20"/>
                <w:szCs w:val="22"/>
              </w:rPr>
              <w:t xml:space="preserve">  Florianópolis: Editora UDESC, 2011.  </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shd w:fill="FFFFFF" w:val="clear"/>
              </w:rPr>
              <w:t xml:space="preserve">SILVA, Lázara Cristina da; MIRANDA, Maria Irene (Orgs). </w:t>
            </w:r>
            <w:r>
              <w:rPr>
                <w:rFonts w:cs="Arial" w:ascii="Arial" w:hAnsi="Arial"/>
                <w:i/>
                <w:color w:val="00000A"/>
                <w:sz w:val="20"/>
                <w:szCs w:val="22"/>
                <w:shd w:fill="FFFFFF" w:val="clear"/>
              </w:rPr>
              <w:t>E</w:t>
            </w:r>
            <w:r>
              <w:rPr>
                <w:rFonts w:cs="Arial" w:ascii="Arial" w:hAnsi="Arial"/>
                <w:i/>
                <w:color w:val="00000A"/>
                <w:sz w:val="20"/>
                <w:szCs w:val="22"/>
              </w:rPr>
              <w:t xml:space="preserve">stágio supervisionado e prática de ensino: </w:t>
            </w:r>
            <w:r>
              <w:rPr>
                <w:rFonts w:cs="Arial" w:ascii="Arial" w:hAnsi="Arial"/>
                <w:color w:val="00000A"/>
                <w:sz w:val="20"/>
                <w:szCs w:val="22"/>
              </w:rPr>
              <w:t>desafios e possibilidades. Uberlândia. Junqueira&amp; Marin. 2008.</w:t>
            </w:r>
          </w:p>
          <w:p>
            <w:pPr>
              <w:pStyle w:val="Normal"/>
              <w:spacing w:before="0" w:after="0"/>
              <w:jc w:val="both"/>
              <w:rPr>
                <w:rFonts w:ascii="Arial" w:hAnsi="Arial" w:cs="Arial"/>
                <w:b/>
                <w:b/>
                <w:bCs/>
              </w:rPr>
            </w:pPr>
            <w:r>
              <w:rPr>
                <w:rFonts w:cs="Arial" w:ascii="Arial" w:hAnsi="Arial"/>
                <w:sz w:val="20"/>
              </w:rPr>
              <w:t xml:space="preserve">ZABALA, Miguel. </w:t>
            </w:r>
            <w:r>
              <w:rPr>
                <w:rFonts w:cs="Arial" w:ascii="Arial" w:hAnsi="Arial"/>
                <w:i/>
                <w:sz w:val="20"/>
              </w:rPr>
              <w:t xml:space="preserve">O estágio e as práticas em contextos profissionais na formação universitária. </w:t>
            </w:r>
            <w:r>
              <w:rPr>
                <w:rFonts w:cs="Arial" w:ascii="Arial" w:hAnsi="Arial"/>
                <w:sz w:val="20"/>
              </w:rPr>
              <w:t>São Paulo: Cortez</w:t>
            </w:r>
            <w:r>
              <w:rPr>
                <w:rFonts w:cs="Arial" w:ascii="Arial" w:hAnsi="Arial"/>
                <w:i/>
                <w:sz w:val="20"/>
              </w:rPr>
              <w:t>,</w:t>
            </w:r>
            <w:r>
              <w:rPr>
                <w:rFonts w:cs="Arial" w:ascii="Arial" w:hAnsi="Arial"/>
                <w:sz w:val="20"/>
              </w:rPr>
              <w:t xml:space="preserve"> 2014.</w:t>
            </w:r>
          </w:p>
        </w:tc>
      </w:tr>
      <w:tr>
        <w:trPr/>
        <w:tc>
          <w:tcPr>
            <w:tcW w:w="8494" w:type="dxa"/>
            <w:tcBorders>
              <w:top w:val="nil"/>
            </w:tcBorders>
            <w:shd w:fill="auto" w:val="clear"/>
            <w:tcMar>
              <w:left w:w="108" w:type="dxa"/>
            </w:tcMar>
          </w:tcPr>
          <w:p>
            <w:pPr>
              <w:pStyle w:val="Normal"/>
              <w:tabs>
                <w:tab w:val="left" w:pos="6015" w:leader="none"/>
              </w:tabs>
              <w:spacing w:before="0" w:after="0"/>
              <w:jc w:val="both"/>
              <w:rPr>
                <w:rFonts w:ascii="Arial" w:hAnsi="Arial" w:cs="Arial"/>
                <w:b/>
                <w:b/>
                <w:bCs/>
              </w:rPr>
            </w:pPr>
            <w:r>
              <w:rPr>
                <w:rFonts w:cs="Arial" w:ascii="Arial" w:hAnsi="Arial"/>
                <w:b/>
                <w:bCs/>
              </w:rPr>
              <w:t>Bibliografia Complementar:</w:t>
              <w:tab/>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CHARLOT, Bernard. </w:t>
            </w:r>
            <w:r>
              <w:rPr>
                <w:rFonts w:cs="Arial" w:ascii="Arial" w:hAnsi="Arial"/>
                <w:i/>
                <w:iCs/>
                <w:color w:val="00000A"/>
                <w:sz w:val="20"/>
                <w:szCs w:val="22"/>
              </w:rPr>
              <w:t>Relação com o saber, formação dos professores e globalização</w:t>
            </w:r>
            <w:r>
              <w:rPr>
                <w:rFonts w:cs="Arial" w:ascii="Arial" w:hAnsi="Arial"/>
                <w:color w:val="00000A"/>
                <w:sz w:val="20"/>
                <w:szCs w:val="22"/>
              </w:rPr>
              <w:t>. Porto Alegre: Artemed, 2005.</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DINIZ-PEREIRA, Júlio Emílio. Formação de professores, trabalho docente e suas repercussões na escola e na sala de aula. </w:t>
            </w:r>
            <w:r>
              <w:rPr>
                <w:rFonts w:cs="Arial" w:ascii="Arial" w:hAnsi="Arial"/>
                <w:i/>
                <w:color w:val="00000A"/>
                <w:sz w:val="20"/>
                <w:szCs w:val="22"/>
              </w:rPr>
              <w:t>Educação &amp; Linguagem</w:t>
            </w:r>
            <w:r>
              <w:rPr>
                <w:rFonts w:cs="Arial" w:ascii="Arial" w:hAnsi="Arial"/>
                <w:color w:val="00000A"/>
                <w:sz w:val="20"/>
                <w:szCs w:val="22"/>
              </w:rPr>
              <w:t>, São Paulo: Universidade Metodista de São Paulo, ano 10, n. 15, p. 82-98, jan./jun. 2007.</w:t>
            </w:r>
          </w:p>
          <w:p>
            <w:pPr>
              <w:pStyle w:val="Padro"/>
              <w:spacing w:lineRule="auto" w:line="240" w:before="0" w:after="0"/>
              <w:jc w:val="both"/>
              <w:rPr>
                <w:rFonts w:ascii="Arial" w:hAnsi="Arial" w:cs="Arial"/>
                <w:color w:val="00000A"/>
                <w:sz w:val="20"/>
                <w:szCs w:val="22"/>
              </w:rPr>
            </w:pPr>
            <w:r>
              <w:rPr>
                <w:rFonts w:cs="Arial" w:ascii="Arial" w:hAnsi="Arial"/>
                <w:bCs/>
                <w:color w:val="00000A"/>
                <w:sz w:val="20"/>
                <w:szCs w:val="22"/>
              </w:rPr>
              <w:t xml:space="preserve">FONSECA, Selva Guimarães. </w:t>
            </w:r>
            <w:r>
              <w:rPr>
                <w:rFonts w:cs="Arial" w:ascii="Arial" w:hAnsi="Arial"/>
                <w:bCs/>
                <w:i/>
                <w:color w:val="00000A"/>
                <w:sz w:val="20"/>
                <w:szCs w:val="22"/>
              </w:rPr>
              <w:t xml:space="preserve">Ser Professor no Brasil. </w:t>
            </w:r>
            <w:r>
              <w:rPr>
                <w:rFonts w:cs="Arial" w:ascii="Arial" w:hAnsi="Arial"/>
                <w:bCs/>
                <w:color w:val="00000A"/>
                <w:sz w:val="20"/>
                <w:szCs w:val="22"/>
              </w:rPr>
              <w:t>História Oral de Vida</w:t>
            </w:r>
            <w:r>
              <w:rPr>
                <w:rFonts w:cs="Arial" w:ascii="Arial" w:hAnsi="Arial"/>
                <w:bCs/>
                <w:i/>
                <w:color w:val="00000A"/>
                <w:sz w:val="20"/>
                <w:szCs w:val="22"/>
              </w:rPr>
              <w:t>.</w:t>
            </w:r>
            <w:r>
              <w:rPr>
                <w:rFonts w:cs="Arial" w:ascii="Arial" w:hAnsi="Arial"/>
                <w:bCs/>
                <w:color w:val="00000A"/>
                <w:sz w:val="20"/>
                <w:szCs w:val="22"/>
              </w:rPr>
              <w:t xml:space="preserve"> São Paulo: Papirus, 1997.</w:t>
            </w:r>
          </w:p>
          <w:p>
            <w:pPr>
              <w:pStyle w:val="Normal"/>
              <w:spacing w:before="0" w:after="0"/>
              <w:jc w:val="both"/>
              <w:rPr>
                <w:rFonts w:ascii="Arial" w:hAnsi="Arial" w:cs="Arial"/>
                <w:b/>
                <w:b/>
                <w:bCs/>
              </w:rPr>
            </w:pPr>
            <w:r>
              <w:rPr>
                <w:rFonts w:cs="Arial" w:ascii="Arial" w:hAnsi="Arial"/>
                <w:bCs/>
                <w:sz w:val="20"/>
              </w:rPr>
              <w:t xml:space="preserve">TARDIF, Maurice. </w:t>
            </w:r>
            <w:r>
              <w:rPr>
                <w:rFonts w:cs="Arial" w:ascii="Arial" w:hAnsi="Arial"/>
                <w:bCs/>
                <w:i/>
                <w:sz w:val="20"/>
              </w:rPr>
              <w:t>Saberes docentes &amp; Formação Profissional.</w:t>
            </w:r>
            <w:r>
              <w:rPr>
                <w:rFonts w:cs="Arial" w:ascii="Arial" w:hAnsi="Arial"/>
                <w:bCs/>
                <w:sz w:val="20"/>
              </w:rPr>
              <w:t xml:space="preserve"> 2ª ed. Petrópolis/Rio de Janeiro: Vozes, 2002.</w:t>
            </w:r>
          </w:p>
        </w:tc>
      </w:tr>
      <w:tr>
        <w:trPr/>
        <w:tc>
          <w:tcPr>
            <w:tcW w:w="8494" w:type="dxa"/>
            <w:tcBorders/>
            <w:shd w:fill="auto" w:val="clear"/>
            <w:tcMar>
              <w:left w:w="108" w:type="dxa"/>
            </w:tcMar>
          </w:tcPr>
          <w:p>
            <w:pPr>
              <w:pStyle w:val="Normal"/>
              <w:tabs>
                <w:tab w:val="left" w:pos="6015" w:leader="none"/>
              </w:tabs>
              <w:spacing w:lineRule="auto" w:line="240" w:before="0" w:after="0"/>
              <w:jc w:val="both"/>
              <w:rPr>
                <w:rFonts w:ascii="Arial" w:hAnsi="Arial" w:cs="Arial"/>
                <w:b/>
                <w:b/>
                <w:bCs/>
              </w:rPr>
            </w:pPr>
            <w:r>
              <w:rPr>
                <w:rFonts w:cs="Arial" w:ascii="Arial" w:hAnsi="Arial"/>
                <w:b/>
                <w:bCs/>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Unidade Curricular:</w:t>
            </w:r>
            <w:r>
              <w:rPr>
                <w:rFonts w:cs="Arial" w:ascii="Arial" w:hAnsi="Arial"/>
              </w:rPr>
              <w:t xml:space="preserve">  </w:t>
            </w:r>
            <w:r>
              <w:rPr>
                <w:rFonts w:cs="Arial" w:ascii="Arial" w:hAnsi="Arial"/>
                <w:b/>
                <w:u w:val="single"/>
              </w:rPr>
              <w:t>Estágio Supervisionado: Ensino Médio</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Período:</w:t>
            </w:r>
            <w:r>
              <w:rPr>
                <w:rFonts w:cs="Arial" w:ascii="Arial" w:hAnsi="Arial"/>
              </w:rPr>
              <w:t xml:space="preserve"> 8º</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rPr>
            </w:pPr>
            <w:r>
              <w:rPr>
                <w:rFonts w:cs="Arial" w:ascii="Arial" w:hAnsi="Arial"/>
                <w:b/>
              </w:rPr>
              <w:t xml:space="preserve">Carga Horária: </w:t>
            </w:r>
            <w:r>
              <w:rPr>
                <w:rFonts w:cs="Arial" w:ascii="Arial" w:hAnsi="Arial"/>
              </w:rPr>
              <w:t>160 hs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Desenvolvimento de projetos de intervenção pedagógica e regência em espaços educacionais que mantenham vínculo com o ensino de história. Educação Histórica em espaços educativos.</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MIRANDA, Sônia Regina; SIMAN, Lana Mara Castro (Orgs). </w:t>
            </w:r>
            <w:r>
              <w:rPr>
                <w:rFonts w:cs="Arial" w:ascii="Arial" w:hAnsi="Arial"/>
                <w:i/>
                <w:color w:val="00000A"/>
                <w:sz w:val="20"/>
                <w:szCs w:val="22"/>
              </w:rPr>
              <w:t>Cidade, memória e educação</w:t>
            </w:r>
            <w:r>
              <w:rPr>
                <w:rFonts w:cs="Arial" w:ascii="Arial" w:hAnsi="Arial"/>
                <w:color w:val="00000A"/>
                <w:sz w:val="20"/>
                <w:szCs w:val="22"/>
              </w:rPr>
              <w:t>. Juiz de Fora: Ed. UFJF, 2013.</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PIMENTA, Selma Garrido; LIMA, Maria Socorro Lucena. </w:t>
            </w:r>
            <w:r>
              <w:rPr>
                <w:rFonts w:cs="Arial" w:ascii="Arial" w:hAnsi="Arial"/>
                <w:i/>
                <w:color w:val="00000A"/>
                <w:sz w:val="20"/>
                <w:szCs w:val="22"/>
              </w:rPr>
              <w:t>Estágio e Docência</w:t>
            </w:r>
            <w:r>
              <w:rPr>
                <w:rFonts w:cs="Arial" w:ascii="Arial" w:hAnsi="Arial"/>
                <w:color w:val="00000A"/>
                <w:sz w:val="20"/>
                <w:szCs w:val="22"/>
              </w:rPr>
              <w:t>. São Paulo: Cortez, 2004.</w:t>
            </w:r>
          </w:p>
          <w:p>
            <w:pPr>
              <w:pStyle w:val="Padro"/>
              <w:spacing w:lineRule="auto" w:line="240" w:before="0" w:after="0"/>
              <w:jc w:val="both"/>
              <w:rPr>
                <w:rFonts w:ascii="Arial" w:hAnsi="Arial" w:cs="Arial"/>
                <w:color w:val="00000A"/>
                <w:sz w:val="22"/>
                <w:szCs w:val="22"/>
              </w:rPr>
            </w:pPr>
            <w:r>
              <w:rPr>
                <w:rFonts w:cs="Arial" w:ascii="Arial" w:hAnsi="Arial"/>
                <w:color w:val="00000A"/>
                <w:sz w:val="20"/>
                <w:szCs w:val="22"/>
              </w:rPr>
              <w:t xml:space="preserve">SILVA, Cristiani Bereta da; et. al (Orgs). </w:t>
            </w:r>
            <w:r>
              <w:rPr>
                <w:rFonts w:cs="Arial" w:ascii="Arial" w:hAnsi="Arial"/>
                <w:i/>
                <w:color w:val="00000A"/>
                <w:sz w:val="20"/>
                <w:szCs w:val="22"/>
              </w:rPr>
              <w:t>Experiências de ensino de história no estágio supervisionado</w:t>
            </w:r>
            <w:r>
              <w:rPr>
                <w:rFonts w:cs="Arial" w:ascii="Arial" w:hAnsi="Arial"/>
                <w:color w:val="00000A"/>
                <w:sz w:val="20"/>
                <w:szCs w:val="22"/>
              </w:rPr>
              <w:t>. Florianópolis: Editora UDESC, 2011.</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CAIMI, Flávia Eloisa. </w:t>
            </w:r>
            <w:r>
              <w:rPr>
                <w:rFonts w:cs="Arial" w:ascii="Arial" w:hAnsi="Arial"/>
                <w:i/>
                <w:iCs/>
                <w:color w:val="00000A"/>
                <w:sz w:val="20"/>
                <w:szCs w:val="22"/>
              </w:rPr>
              <w:t>Aprendendo a ser professor de História</w:t>
            </w:r>
            <w:r>
              <w:rPr>
                <w:rFonts w:cs="Arial" w:ascii="Arial" w:hAnsi="Arial"/>
                <w:color w:val="00000A"/>
                <w:sz w:val="20"/>
                <w:szCs w:val="22"/>
              </w:rPr>
              <w:t xml:space="preserve">. Passo Fundo (RS): Ed. UPF, 2008. </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LAVILLE, Christian. </w:t>
            </w:r>
            <w:r>
              <w:rPr>
                <w:rFonts w:cs="Arial" w:ascii="Arial" w:hAnsi="Arial"/>
                <w:i/>
                <w:color w:val="00000A"/>
                <w:sz w:val="20"/>
                <w:szCs w:val="22"/>
              </w:rPr>
              <w:t>A Guerra das narrativas</w:t>
            </w:r>
            <w:r>
              <w:rPr>
                <w:rFonts w:cs="Arial" w:ascii="Arial" w:hAnsi="Arial"/>
                <w:color w:val="00000A"/>
                <w:sz w:val="20"/>
                <w:szCs w:val="22"/>
              </w:rPr>
              <w:t xml:space="preserve">: Debates e ilusões em torno do ensino de História. In: </w:t>
            </w:r>
            <w:r>
              <w:rPr>
                <w:rFonts w:cs="Arial" w:ascii="Arial" w:hAnsi="Arial"/>
                <w:bCs/>
                <w:i/>
                <w:color w:val="00000A"/>
                <w:sz w:val="20"/>
                <w:szCs w:val="22"/>
              </w:rPr>
              <w:t>Revista Brasileira de História</w:t>
            </w:r>
            <w:r>
              <w:rPr>
                <w:rFonts w:cs="Arial" w:ascii="Arial" w:hAnsi="Arial"/>
                <w:color w:val="00000A"/>
                <w:sz w:val="20"/>
                <w:szCs w:val="22"/>
              </w:rPr>
              <w:t>. São Paulo: Humanistas Publicações, Vol.19, n°:38, p. 125-138, 1999.</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MATTOZZI, Ivo. Currículo de História e educação para o patrimônio. In: </w:t>
            </w:r>
            <w:r>
              <w:rPr>
                <w:rFonts w:cs="Arial" w:ascii="Arial" w:hAnsi="Arial"/>
                <w:i/>
                <w:iCs/>
                <w:color w:val="00000A"/>
                <w:sz w:val="20"/>
                <w:szCs w:val="22"/>
              </w:rPr>
              <w:t>Educação em Revista</w:t>
            </w:r>
            <w:r>
              <w:rPr>
                <w:rFonts w:cs="Arial" w:ascii="Arial" w:hAnsi="Arial"/>
                <w:color w:val="00000A"/>
                <w:sz w:val="20"/>
                <w:szCs w:val="22"/>
              </w:rPr>
              <w:t>, Belo Horizonte: Universidade Federal de Minas Gerais, Faculdade de Educação, n.47, p.135-137, jun. 2008.</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MIRANDA, Maria Irene (org). </w:t>
            </w:r>
            <w:r>
              <w:rPr>
                <w:rFonts w:cs="Arial" w:ascii="Arial" w:hAnsi="Arial"/>
                <w:i/>
                <w:color w:val="00000A"/>
                <w:sz w:val="20"/>
                <w:szCs w:val="22"/>
              </w:rPr>
              <w:t>Estágio supervisionado e prática de ensino</w:t>
            </w:r>
            <w:r>
              <w:rPr>
                <w:rFonts w:cs="Arial" w:ascii="Arial" w:hAnsi="Arial"/>
                <w:color w:val="00000A"/>
                <w:sz w:val="20"/>
                <w:szCs w:val="22"/>
              </w:rPr>
              <w:t>: desafios e possibilidades. Araraquara: Junqueira &amp; Marin, 2008.</w:t>
            </w:r>
          </w:p>
          <w:p>
            <w:pPr>
              <w:pStyle w:val="Normal"/>
              <w:spacing w:before="0" w:after="0"/>
              <w:jc w:val="both"/>
              <w:rPr>
                <w:rFonts w:ascii="Arial" w:hAnsi="Arial" w:cs="Arial"/>
                <w:b/>
                <w:b/>
              </w:rPr>
            </w:pPr>
            <w:r>
              <w:rPr>
                <w:rFonts w:cs="Arial" w:ascii="Arial" w:hAnsi="Arial"/>
                <w:sz w:val="20"/>
              </w:rPr>
              <w:t xml:space="preserve">SILVA, Cristiani Bereta da. </w:t>
            </w:r>
            <w:r>
              <w:rPr>
                <w:rFonts w:cs="Arial" w:ascii="Arial" w:hAnsi="Arial"/>
                <w:i/>
                <w:sz w:val="20"/>
              </w:rPr>
              <w:t>Atualizando a hidra?</w:t>
            </w:r>
            <w:r>
              <w:rPr>
                <w:rFonts w:cs="Arial" w:ascii="Arial" w:hAnsi="Arial"/>
                <w:sz w:val="20"/>
              </w:rPr>
              <w:t xml:space="preserve"> O estágio supervisionado e a formação docente inicial em história. </w:t>
            </w:r>
            <w:r>
              <w:rPr>
                <w:rFonts w:cs="Arial" w:ascii="Arial" w:hAnsi="Arial"/>
                <w:i/>
                <w:sz w:val="20"/>
              </w:rPr>
              <w:t>Educação em Revista</w:t>
            </w:r>
            <w:r>
              <w:rPr>
                <w:rFonts w:cs="Arial" w:ascii="Arial" w:hAnsi="Arial"/>
                <w:sz w:val="20"/>
              </w:rPr>
              <w:t>, Belo Horizonte, v.26, n.01, p.131-156, abr. 2010.</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Unidade Curricular:</w:t>
            </w:r>
            <w:r>
              <w:rPr>
                <w:rFonts w:cs="Arial" w:ascii="Arial" w:hAnsi="Arial"/>
              </w:rPr>
              <w:t xml:space="preserve">  </w:t>
            </w:r>
            <w:r>
              <w:rPr>
                <w:rFonts w:cs="Arial" w:ascii="Arial" w:hAnsi="Arial"/>
                <w:b/>
                <w:u w:val="single"/>
              </w:rPr>
              <w:t>Gestão de Sistema Escolar</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 xml:space="preserve">Período: </w:t>
            </w:r>
            <w:r>
              <w:rPr>
                <w:rFonts w:cs="Arial" w:ascii="Arial" w:hAnsi="Arial"/>
              </w:rPr>
              <w:t>8º</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30 h/a teóricas e 15 h/a práticas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Estrutura e funcionamento da educação básica.</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Bibliografia Básica:</w:t>
            </w:r>
          </w:p>
          <w:p>
            <w:pPr>
              <w:pStyle w:val="Normal"/>
              <w:spacing w:lineRule="auto" w:line="240" w:before="0" w:after="0"/>
              <w:jc w:val="both"/>
              <w:rPr>
                <w:rFonts w:ascii="Arial" w:hAnsi="Arial" w:cs="Arial"/>
                <w:sz w:val="20"/>
              </w:rPr>
            </w:pPr>
            <w:r>
              <w:rPr>
                <w:rFonts w:cs="Arial" w:ascii="Arial" w:hAnsi="Arial"/>
                <w:sz w:val="20"/>
              </w:rPr>
              <w:t xml:space="preserve">LIBÂNEO, José Carlos; OLIVEIRA, João Ferreira de; TOSHI, Mirza Seabra. </w:t>
            </w:r>
            <w:r>
              <w:rPr>
                <w:rFonts w:cs="Arial" w:ascii="Arial" w:hAnsi="Arial"/>
                <w:i/>
                <w:sz w:val="20"/>
              </w:rPr>
              <w:t>Educação Escolar: políticas, estrutura e organização.</w:t>
            </w:r>
            <w:r>
              <w:rPr>
                <w:rFonts w:cs="Arial" w:ascii="Arial" w:hAnsi="Arial"/>
                <w:sz w:val="20"/>
              </w:rPr>
              <w:t xml:space="preserve"> 2ª ed. São Paulo: Cortez, 2005. </w:t>
            </w:r>
          </w:p>
          <w:p>
            <w:pPr>
              <w:pStyle w:val="Normal"/>
              <w:spacing w:lineRule="auto" w:line="240" w:before="0" w:after="0"/>
              <w:jc w:val="both"/>
              <w:rPr>
                <w:rFonts w:ascii="Arial" w:hAnsi="Arial" w:cs="Arial"/>
                <w:sz w:val="20"/>
              </w:rPr>
            </w:pPr>
            <w:r>
              <w:rPr>
                <w:rFonts w:cs="Arial" w:ascii="Arial" w:hAnsi="Arial"/>
                <w:sz w:val="20"/>
              </w:rPr>
              <w:t xml:space="preserve">OLIVEIRA, Dalila Andrade e ROSAR, Maria de Fátima (Orgs). </w:t>
            </w:r>
            <w:r>
              <w:rPr>
                <w:rFonts w:cs="Arial" w:ascii="Arial" w:hAnsi="Arial"/>
                <w:i/>
                <w:sz w:val="20"/>
              </w:rPr>
              <w:t>Política e gestão da educação</w:t>
            </w:r>
            <w:r>
              <w:rPr>
                <w:rFonts w:cs="Arial" w:ascii="Arial" w:hAnsi="Arial"/>
                <w:sz w:val="20"/>
              </w:rPr>
              <w:t>. Belo Horizonte: Autêntica, 2008.</w:t>
            </w:r>
          </w:p>
          <w:p>
            <w:pPr>
              <w:pStyle w:val="Normal"/>
              <w:spacing w:lineRule="auto" w:line="240" w:before="0" w:after="0"/>
              <w:jc w:val="both"/>
              <w:rPr>
                <w:rFonts w:ascii="Arial" w:hAnsi="Arial" w:cs="Arial"/>
                <w:b/>
                <w:b/>
              </w:rPr>
            </w:pPr>
            <w:r>
              <w:rPr>
                <w:rFonts w:cs="Arial" w:ascii="Arial" w:hAnsi="Arial"/>
                <w:sz w:val="20"/>
              </w:rPr>
              <w:t xml:space="preserve">SAVIANI, D. </w:t>
            </w:r>
            <w:r>
              <w:rPr>
                <w:rFonts w:cs="Arial" w:ascii="Arial" w:hAnsi="Arial"/>
                <w:i/>
                <w:sz w:val="20"/>
              </w:rPr>
              <w:t>Da LDB 1996 ao novo PNE 2014-2024</w:t>
            </w:r>
            <w:r>
              <w:rPr>
                <w:rFonts w:cs="Arial" w:ascii="Arial" w:hAnsi="Arial"/>
                <w:sz w:val="20"/>
              </w:rPr>
              <w:t>: por uma outra política educacional. 5ª ed. São Paulo: Autores Associados, 2015.</w:t>
            </w:r>
          </w:p>
        </w:tc>
      </w:tr>
      <w:tr>
        <w:trPr/>
        <w:tc>
          <w:tcPr>
            <w:tcW w:w="8494" w:type="dxa"/>
            <w:tcBorders>
              <w:top w:val="nil"/>
            </w:tcBorders>
            <w:shd w:fill="auto" w:val="clear"/>
            <w:tcMar>
              <w:left w:w="108" w:type="dxa"/>
            </w:tcMar>
          </w:tcPr>
          <w:p>
            <w:pPr>
              <w:pStyle w:val="Normal"/>
              <w:spacing w:lineRule="auto" w:line="276" w:before="0" w:after="0"/>
              <w:jc w:val="both"/>
              <w:rPr>
                <w:rFonts w:ascii="Arial" w:hAnsi="Arial" w:cs="Arial"/>
                <w:b/>
                <w:b/>
              </w:rPr>
            </w:pPr>
            <w:r>
              <w:rPr>
                <w:rFonts w:cs="Arial" w:ascii="Arial" w:hAnsi="Arial"/>
                <w:b/>
              </w:rPr>
              <w:t>Bibliografia Complementar:</w:t>
            </w:r>
          </w:p>
          <w:p>
            <w:pPr>
              <w:pStyle w:val="Normal"/>
              <w:spacing w:lineRule="auto" w:line="276" w:before="0" w:after="0"/>
              <w:jc w:val="both"/>
              <w:rPr>
                <w:rFonts w:ascii="Arial" w:hAnsi="Arial" w:cs="Arial"/>
                <w:sz w:val="20"/>
              </w:rPr>
            </w:pPr>
            <w:r>
              <w:rPr>
                <w:rFonts w:cs="Arial" w:ascii="Arial" w:hAnsi="Arial"/>
                <w:sz w:val="20"/>
              </w:rPr>
              <w:t>ANDREOTTI, Azilde; LOMBARDI, José Claudinei e MINTO, Lalo Watanabe (orgs.). História da administração escolar no Brasil. Campinas, SP: Alínea, 2010.</w:t>
            </w:r>
          </w:p>
          <w:p>
            <w:pPr>
              <w:pStyle w:val="Normal"/>
              <w:spacing w:lineRule="auto" w:line="276" w:before="0" w:after="0"/>
              <w:jc w:val="both"/>
              <w:rPr>
                <w:rFonts w:ascii="Arial" w:hAnsi="Arial" w:cs="Arial"/>
                <w:sz w:val="20"/>
              </w:rPr>
            </w:pPr>
            <w:r>
              <w:rPr>
                <w:rFonts w:cs="Arial" w:ascii="Arial" w:hAnsi="Arial"/>
                <w:sz w:val="20"/>
              </w:rPr>
              <w:t>FREITAG, Bárbara. Escola, Estado e Sociedade. 7 ed. São Paulo: Centauro, 2005.</w:t>
            </w:r>
          </w:p>
          <w:p>
            <w:pPr>
              <w:pStyle w:val="Normal"/>
              <w:spacing w:lineRule="auto" w:line="276" w:before="0" w:after="0"/>
              <w:jc w:val="both"/>
              <w:rPr>
                <w:rFonts w:ascii="Arial" w:hAnsi="Arial" w:cs="Arial"/>
                <w:sz w:val="20"/>
              </w:rPr>
            </w:pPr>
            <w:r>
              <w:rPr>
                <w:rFonts w:cs="Arial" w:ascii="Arial" w:hAnsi="Arial"/>
                <w:sz w:val="20"/>
              </w:rPr>
              <w:t xml:space="preserve">LUCK, Heloísa. Ação Integrada: administração, supervisão e orientação educacional. 27 ed. Petrópolis, RJ: Vozes, 2011. </w:t>
            </w:r>
          </w:p>
          <w:p>
            <w:pPr>
              <w:pStyle w:val="Normal"/>
              <w:spacing w:lineRule="auto" w:line="276" w:before="0" w:after="0"/>
              <w:jc w:val="both"/>
              <w:rPr>
                <w:rFonts w:ascii="Arial" w:hAnsi="Arial" w:cs="Arial"/>
                <w:sz w:val="20"/>
              </w:rPr>
            </w:pPr>
            <w:r>
              <w:rPr>
                <w:rFonts w:cs="Arial" w:ascii="Arial" w:hAnsi="Arial"/>
                <w:sz w:val="20"/>
              </w:rPr>
              <w:t xml:space="preserve">OLIVEIRA, Dalila Andrade; ROSAR, Maria de Fátima Felix. Política e Gestão da Educação. 3 ed. Belo Horizonte: Autêntica, 2010. </w:t>
            </w:r>
          </w:p>
          <w:p>
            <w:pPr>
              <w:pStyle w:val="Normal"/>
              <w:spacing w:lineRule="auto" w:line="276" w:before="0" w:after="0"/>
              <w:jc w:val="both"/>
              <w:rPr>
                <w:rFonts w:ascii="Arial" w:hAnsi="Arial" w:cs="Arial"/>
                <w:sz w:val="20"/>
              </w:rPr>
            </w:pPr>
            <w:r>
              <w:rPr>
                <w:rFonts w:cs="Arial" w:ascii="Arial" w:hAnsi="Arial"/>
                <w:sz w:val="20"/>
              </w:rPr>
              <w:t>PARO, Vitor Henrique. Gestão Democrática da Escola Pública. 3 ed. São Paulo: Ática, 2000.</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Unidade Curricular:</w:t>
            </w:r>
            <w:r>
              <w:rPr>
                <w:rFonts w:cs="Arial" w:ascii="Arial" w:hAnsi="Arial"/>
              </w:rPr>
              <w:t xml:space="preserve">  </w:t>
            </w:r>
            <w:r>
              <w:rPr>
                <w:rFonts w:cs="Arial" w:ascii="Arial" w:hAnsi="Arial"/>
                <w:b/>
                <w:u w:val="single"/>
              </w:rPr>
              <w:t>Tópicos em Educação Histórica</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Período:</w:t>
            </w:r>
            <w:r>
              <w:rPr>
                <w:rFonts w:cs="Arial" w:ascii="Arial" w:hAnsi="Arial"/>
              </w:rPr>
              <w:t xml:space="preserve"> 1º, 4º, 5º, 6º, 7º, 8º (Eletiva do Grupo A)</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A pesquisa em Educação Histórica, considerando seus fundamentos e perspectivas. Relações entre os campos da</w:t>
            </w:r>
            <w:r>
              <w:rPr>
                <w:rStyle w:val="Appleconvertedspace"/>
                <w:rFonts w:cs="Arial" w:ascii="Arial" w:hAnsi="Arial"/>
              </w:rPr>
              <w:t> </w:t>
            </w:r>
            <w:r>
              <w:rPr>
                <w:rFonts w:cs="Arial" w:ascii="Arial" w:hAnsi="Arial"/>
              </w:rPr>
              <w:t>teoria da história, da historiografia e ensino de história. Reflexões sobre os fundamentos da ciência histórica, da consciência histórica e da cultura histórica.</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BARCA, Isabel. </w:t>
            </w:r>
            <w:r>
              <w:rPr>
                <w:rFonts w:cs="Arial" w:ascii="Arial" w:hAnsi="Arial"/>
                <w:i/>
                <w:color w:val="00000A"/>
                <w:sz w:val="20"/>
                <w:szCs w:val="22"/>
              </w:rPr>
              <w:t>O pensamento histórico dos jovens</w:t>
            </w:r>
            <w:r>
              <w:rPr>
                <w:rFonts w:cs="Arial" w:ascii="Arial" w:hAnsi="Arial"/>
                <w:color w:val="00000A"/>
                <w:sz w:val="20"/>
                <w:szCs w:val="22"/>
              </w:rPr>
              <w:t>. Braga: Centro de Estudos em Educação e Psicologia. Uminho, 2000.</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BARCA, Isabel (org). Perspectivas em Educação História. </w:t>
            </w:r>
            <w:r>
              <w:rPr>
                <w:rFonts w:cs="Arial" w:ascii="Arial" w:hAnsi="Arial"/>
                <w:i/>
                <w:color w:val="00000A"/>
                <w:sz w:val="20"/>
                <w:szCs w:val="22"/>
              </w:rPr>
              <w:t>Actas das primeiras jornadas internacionais de educação histórica</w:t>
            </w:r>
            <w:r>
              <w:rPr>
                <w:rFonts w:cs="Arial" w:ascii="Arial" w:hAnsi="Arial"/>
                <w:color w:val="00000A"/>
                <w:sz w:val="20"/>
                <w:szCs w:val="22"/>
              </w:rPr>
              <w:t>. Braga: Uminho, 2001.</w:t>
            </w:r>
          </w:p>
          <w:p>
            <w:pPr>
              <w:pStyle w:val="Normal"/>
              <w:spacing w:before="0" w:after="0"/>
              <w:jc w:val="both"/>
              <w:rPr>
                <w:rFonts w:ascii="Arial" w:hAnsi="Arial" w:cs="Arial"/>
                <w:b/>
                <w:b/>
              </w:rPr>
            </w:pPr>
            <w:r>
              <w:rPr>
                <w:rFonts w:cs="Arial" w:ascii="Arial" w:hAnsi="Arial"/>
                <w:sz w:val="20"/>
              </w:rPr>
              <w:t xml:space="preserve">RÜSEN, Jörn. </w:t>
            </w:r>
            <w:r>
              <w:rPr>
                <w:rFonts w:cs="Arial" w:ascii="Arial" w:hAnsi="Arial"/>
                <w:bCs/>
                <w:i/>
                <w:sz w:val="20"/>
              </w:rPr>
              <w:t>História viva – Teoria da História III:</w:t>
            </w:r>
            <w:r>
              <w:rPr>
                <w:rFonts w:cs="Arial" w:ascii="Arial" w:hAnsi="Arial"/>
                <w:i/>
                <w:sz w:val="20"/>
              </w:rPr>
              <w:t xml:space="preserve"> Formas</w:t>
            </w:r>
            <w:r>
              <w:rPr>
                <w:rFonts w:cs="Arial" w:ascii="Arial" w:hAnsi="Arial"/>
                <w:sz w:val="20"/>
              </w:rPr>
              <w:t xml:space="preserve"> e funções do conhecimento histórico. Brasília: Editora Universidade de Brasília, 2007.</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ListParagraph"/>
              <w:spacing w:before="0" w:after="0"/>
              <w:ind w:left="0" w:hanging="0"/>
              <w:contextualSpacing/>
              <w:jc w:val="both"/>
              <w:rPr>
                <w:rFonts w:ascii="Arial" w:hAnsi="Arial" w:cs="Arial"/>
                <w:sz w:val="20"/>
              </w:rPr>
            </w:pPr>
            <w:r>
              <w:rPr>
                <w:rFonts w:cs="Arial" w:ascii="Arial" w:hAnsi="Arial"/>
                <w:sz w:val="20"/>
              </w:rPr>
              <w:t xml:space="preserve">HARTOG, F. </w:t>
            </w:r>
            <w:r>
              <w:rPr>
                <w:rFonts w:cs="Arial" w:ascii="Arial" w:hAnsi="Arial"/>
                <w:i/>
                <w:sz w:val="20"/>
              </w:rPr>
              <w:t>Regimes de Historicidade.</w:t>
            </w:r>
            <w:r>
              <w:rPr>
                <w:rFonts w:cs="Arial" w:ascii="Arial" w:hAnsi="Arial"/>
                <w:sz w:val="20"/>
              </w:rPr>
              <w:t xml:space="preserve"> Presentismo e Experiências do Tempo</w:t>
            </w:r>
            <w:r>
              <w:rPr>
                <w:rFonts w:cs="Arial" w:ascii="Arial" w:hAnsi="Arial"/>
                <w:i/>
                <w:sz w:val="20"/>
              </w:rPr>
              <w:t>.</w:t>
            </w:r>
            <w:r>
              <w:rPr>
                <w:rFonts w:cs="Arial" w:ascii="Arial" w:hAnsi="Arial"/>
                <w:sz w:val="20"/>
              </w:rPr>
              <w:t xml:space="preserve"> Belo Horizonte: Autêntica, 2013.</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RÜSEN, Jörn. </w:t>
            </w:r>
            <w:r>
              <w:rPr>
                <w:rFonts w:cs="Arial" w:ascii="Arial" w:hAnsi="Arial"/>
                <w:bCs/>
                <w:i/>
                <w:color w:val="00000A"/>
                <w:sz w:val="20"/>
                <w:szCs w:val="22"/>
              </w:rPr>
              <w:t xml:space="preserve">História viva: </w:t>
            </w:r>
            <w:r>
              <w:rPr>
                <w:rFonts w:cs="Arial" w:ascii="Arial" w:hAnsi="Arial"/>
                <w:bCs/>
                <w:color w:val="00000A"/>
                <w:sz w:val="20"/>
                <w:szCs w:val="22"/>
              </w:rPr>
              <w:t xml:space="preserve">Teoria da História III – </w:t>
            </w:r>
            <w:r>
              <w:rPr>
                <w:rFonts w:cs="Arial" w:ascii="Arial" w:hAnsi="Arial"/>
                <w:i/>
                <w:color w:val="00000A"/>
                <w:sz w:val="20"/>
                <w:szCs w:val="22"/>
              </w:rPr>
              <w:t>Formas</w:t>
            </w:r>
            <w:r>
              <w:rPr>
                <w:rFonts w:cs="Arial" w:ascii="Arial" w:hAnsi="Arial"/>
                <w:color w:val="00000A"/>
                <w:sz w:val="20"/>
                <w:szCs w:val="22"/>
              </w:rPr>
              <w:t xml:space="preserve"> e funções do conhecimento histórico. Brasília: Editora Universidade de Brasília, 2007.</w:t>
            </w:r>
          </w:p>
          <w:p>
            <w:pPr>
              <w:pStyle w:val="ListParagraph"/>
              <w:spacing w:before="0" w:after="0"/>
              <w:ind w:left="0" w:hanging="0"/>
              <w:contextualSpacing/>
              <w:jc w:val="both"/>
              <w:rPr>
                <w:rFonts w:ascii="Arial" w:hAnsi="Arial" w:cs="Arial"/>
                <w:sz w:val="20"/>
              </w:rPr>
            </w:pPr>
            <w:r>
              <w:rPr>
                <w:rFonts w:cs="Arial" w:ascii="Arial" w:hAnsi="Arial"/>
                <w:sz w:val="20"/>
              </w:rPr>
              <w:t xml:space="preserve">RÜSEN, Jörn. </w:t>
            </w:r>
            <w:r>
              <w:rPr>
                <w:rFonts w:cs="Arial" w:ascii="Arial" w:hAnsi="Arial"/>
                <w:i/>
                <w:sz w:val="20"/>
              </w:rPr>
              <w:t xml:space="preserve">Razão histórica: </w:t>
            </w:r>
            <w:r>
              <w:rPr>
                <w:rFonts w:cs="Arial" w:ascii="Arial" w:hAnsi="Arial"/>
                <w:sz w:val="20"/>
              </w:rPr>
              <w:t>teoria da História: os fundamentos da ciência histórica</w:t>
            </w:r>
            <w:r>
              <w:rPr>
                <w:rFonts w:cs="Arial" w:ascii="Arial" w:hAnsi="Arial"/>
                <w:i/>
                <w:sz w:val="20"/>
              </w:rPr>
              <w:t>.</w:t>
            </w:r>
            <w:r>
              <w:rPr>
                <w:rFonts w:cs="Arial" w:ascii="Arial" w:hAnsi="Arial"/>
                <w:sz w:val="20"/>
              </w:rPr>
              <w:t xml:space="preserve"> Brasília: Ed.UnB, 2001.</w:t>
            </w:r>
          </w:p>
          <w:p>
            <w:pPr>
              <w:pStyle w:val="Padro"/>
              <w:spacing w:lineRule="auto" w:line="240" w:before="0" w:after="0"/>
              <w:jc w:val="both"/>
              <w:rPr>
                <w:rFonts w:ascii="Arial" w:hAnsi="Arial" w:cs="Arial"/>
                <w:color w:val="00000A"/>
                <w:sz w:val="20"/>
                <w:szCs w:val="22"/>
              </w:rPr>
            </w:pPr>
            <w:r>
              <w:rPr>
                <w:rFonts w:cs="Arial" w:ascii="Arial" w:hAnsi="Arial"/>
                <w:sz w:val="20"/>
                <w:szCs w:val="22"/>
              </w:rPr>
              <w:t xml:space="preserve">RÜSEN, Jörn. </w:t>
            </w:r>
            <w:r>
              <w:rPr>
                <w:rFonts w:cs="Arial" w:ascii="Arial" w:hAnsi="Arial"/>
                <w:i/>
                <w:sz w:val="20"/>
                <w:szCs w:val="22"/>
              </w:rPr>
              <w:t xml:space="preserve">Reconstrução do passado: </w:t>
            </w:r>
            <w:r>
              <w:rPr>
                <w:rFonts w:cs="Arial" w:ascii="Arial" w:hAnsi="Arial"/>
                <w:sz w:val="20"/>
                <w:szCs w:val="22"/>
              </w:rPr>
              <w:t>teoria da História II: os princípios da pesquisa histórica</w:t>
            </w:r>
            <w:r>
              <w:rPr>
                <w:rFonts w:cs="Arial" w:ascii="Arial" w:hAnsi="Arial"/>
                <w:i/>
                <w:sz w:val="20"/>
                <w:szCs w:val="22"/>
              </w:rPr>
              <w:t>.</w:t>
            </w:r>
            <w:r>
              <w:rPr>
                <w:rFonts w:cs="Arial" w:ascii="Arial" w:hAnsi="Arial"/>
                <w:sz w:val="20"/>
                <w:szCs w:val="22"/>
              </w:rPr>
              <w:t xml:space="preserve"> Brasília: Ed. UnB, 2007.</w:t>
            </w:r>
            <w:r>
              <w:rPr>
                <w:rFonts w:cs="Arial" w:ascii="Arial" w:hAnsi="Arial"/>
                <w:color w:val="00000A"/>
                <w:sz w:val="20"/>
                <w:szCs w:val="22"/>
              </w:rPr>
              <w:t xml:space="preserve"> </w:t>
            </w:r>
          </w:p>
          <w:p>
            <w:pPr>
              <w:pStyle w:val="Padro"/>
              <w:spacing w:lineRule="auto" w:line="240" w:before="0" w:after="0"/>
              <w:jc w:val="both"/>
              <w:rPr>
                <w:rFonts w:ascii="Arial" w:hAnsi="Arial" w:cs="Arial"/>
                <w:color w:val="00000A"/>
                <w:sz w:val="22"/>
                <w:szCs w:val="22"/>
              </w:rPr>
            </w:pPr>
            <w:r>
              <w:rPr>
                <w:rFonts w:cs="Arial" w:ascii="Arial" w:hAnsi="Arial"/>
                <w:color w:val="00000A"/>
                <w:sz w:val="20"/>
                <w:szCs w:val="22"/>
              </w:rPr>
              <w:t xml:space="preserve">SCHMIDT, Maria Auxiliadora; BARCA, Isabel; MARTINS, Estevão de Rezende. </w:t>
            </w:r>
            <w:r>
              <w:rPr>
                <w:rFonts w:cs="Arial" w:ascii="Arial" w:hAnsi="Arial"/>
                <w:i/>
                <w:color w:val="00000A"/>
                <w:sz w:val="20"/>
                <w:szCs w:val="22"/>
              </w:rPr>
              <w:t>Jörn Rüsen e o ensino de história</w:t>
            </w:r>
            <w:r>
              <w:rPr>
                <w:rFonts w:cs="Arial" w:ascii="Arial" w:hAnsi="Arial"/>
                <w:color w:val="00000A"/>
                <w:sz w:val="20"/>
                <w:szCs w:val="22"/>
              </w:rPr>
              <w:t>. Curitiba: Ed. UFPR, 2010.</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Unidade Curricular:</w:t>
            </w:r>
            <w:r>
              <w:rPr>
                <w:rFonts w:cs="Arial" w:ascii="Arial" w:hAnsi="Arial"/>
              </w:rPr>
              <w:t xml:space="preserve">  </w:t>
            </w:r>
            <w:r>
              <w:rPr>
                <w:rFonts w:cs="Arial" w:ascii="Arial" w:hAnsi="Arial"/>
                <w:b/>
                <w:u w:val="single"/>
              </w:rPr>
              <w:t>Tópicos em Ensino de História</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Período:</w:t>
            </w:r>
            <w:r>
              <w:rPr>
                <w:rFonts w:cs="Arial" w:ascii="Arial" w:hAnsi="Arial"/>
              </w:rPr>
              <w:t xml:space="preserve"> 1º, 4º, 5º, 6º, 7º, 8º (Eletiva do Grupo A)</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Ensino e pesquisa em história- componentes pedagógicos e historiográficos. A construção de conceitos históricos em espaços educativos. História pública e ensino de História. Perspectivas da formação e da profissão docente em história.</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DELGADO, Lucília de Almeida Neves; FERREIRA, Marieta de Moraes (org). </w:t>
            </w:r>
            <w:r>
              <w:rPr>
                <w:rFonts w:cs="Arial" w:ascii="Arial" w:hAnsi="Arial"/>
                <w:i/>
                <w:color w:val="00000A"/>
                <w:sz w:val="20"/>
                <w:szCs w:val="22"/>
              </w:rPr>
              <w:t>História do tempo presente</w:t>
            </w:r>
            <w:r>
              <w:rPr>
                <w:rFonts w:cs="Arial" w:ascii="Arial" w:hAnsi="Arial"/>
                <w:color w:val="00000A"/>
                <w:sz w:val="20"/>
                <w:szCs w:val="22"/>
              </w:rPr>
              <w:t>. Rio de Janeiro: Ed- FGV, 2014.</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MAUAD, Ana Maria. et all. (Orgs.). </w:t>
            </w:r>
            <w:r>
              <w:rPr>
                <w:rFonts w:cs="Arial" w:ascii="Arial" w:hAnsi="Arial"/>
                <w:i/>
                <w:color w:val="00000A"/>
                <w:sz w:val="20"/>
                <w:szCs w:val="22"/>
              </w:rPr>
              <w:t>História Pública no Brasil</w:t>
            </w:r>
            <w:r>
              <w:rPr>
                <w:rFonts w:cs="Arial" w:ascii="Arial" w:hAnsi="Arial"/>
                <w:color w:val="00000A"/>
                <w:sz w:val="20"/>
                <w:szCs w:val="22"/>
              </w:rPr>
              <w:t>: sentidos e itinerários. São Paulo: Letra e Voz, 2016.</w:t>
            </w:r>
          </w:p>
          <w:p>
            <w:pPr>
              <w:pStyle w:val="Normal"/>
              <w:spacing w:before="0" w:after="0"/>
              <w:jc w:val="both"/>
              <w:rPr>
                <w:rFonts w:ascii="Arial" w:hAnsi="Arial" w:cs="Arial"/>
                <w:b/>
                <w:b/>
              </w:rPr>
            </w:pPr>
            <w:r>
              <w:rPr>
                <w:rFonts w:cs="Arial" w:ascii="Arial" w:hAnsi="Arial"/>
                <w:sz w:val="20"/>
              </w:rPr>
              <w:t xml:space="preserve">ROCHA, Helenice A. Bastos, REZNIK, Luís; MAGALHÃES, Marcelo de Souza. </w:t>
            </w:r>
            <w:r>
              <w:rPr>
                <w:rFonts w:cs="Arial" w:ascii="Arial" w:hAnsi="Arial"/>
                <w:i/>
                <w:sz w:val="20"/>
              </w:rPr>
              <w:t>A história na escola</w:t>
            </w:r>
            <w:r>
              <w:rPr>
                <w:rFonts w:cs="Arial" w:ascii="Arial" w:hAnsi="Arial"/>
                <w:sz w:val="20"/>
              </w:rPr>
              <w:t>: autores, livros e leituras. Rio de Janeiro Ed. FGV, 2009.</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sz w:val="20"/>
                <w:szCs w:val="22"/>
              </w:rPr>
            </w:pPr>
            <w:r>
              <w:rPr>
                <w:rFonts w:cs="Arial" w:ascii="Arial" w:hAnsi="Arial"/>
                <w:color w:val="00000A"/>
                <w:sz w:val="20"/>
                <w:szCs w:val="22"/>
              </w:rPr>
              <w:t xml:space="preserve">BITTENCOURT, Circe. </w:t>
            </w:r>
            <w:r>
              <w:rPr>
                <w:rFonts w:cs="Arial" w:ascii="Arial" w:hAnsi="Arial"/>
                <w:i/>
                <w:color w:val="00000A"/>
                <w:sz w:val="20"/>
                <w:szCs w:val="22"/>
              </w:rPr>
              <w:t>Ensino de história</w:t>
            </w:r>
            <w:r>
              <w:rPr>
                <w:rFonts w:cs="Arial" w:ascii="Arial" w:hAnsi="Arial"/>
                <w:color w:val="00000A"/>
                <w:sz w:val="20"/>
                <w:szCs w:val="22"/>
              </w:rPr>
              <w:t>: fundamentos e métodos. São Paulo: Cortez, 2004.</w:t>
            </w:r>
            <w:r>
              <w:rPr>
                <w:rFonts w:cs="Arial" w:ascii="Arial" w:hAnsi="Arial"/>
                <w:sz w:val="20"/>
                <w:szCs w:val="22"/>
              </w:rPr>
              <w:t xml:space="preserve"> </w:t>
            </w:r>
          </w:p>
          <w:p>
            <w:pPr>
              <w:pStyle w:val="Padro"/>
              <w:spacing w:lineRule="auto" w:line="240" w:before="0" w:after="0"/>
              <w:jc w:val="both"/>
              <w:rPr>
                <w:rFonts w:ascii="Arial" w:hAnsi="Arial" w:cs="Arial"/>
                <w:color w:val="00000A"/>
                <w:sz w:val="20"/>
                <w:szCs w:val="22"/>
              </w:rPr>
            </w:pPr>
            <w:r>
              <w:rPr>
                <w:rFonts w:cs="Arial" w:ascii="Arial" w:hAnsi="Arial"/>
                <w:sz w:val="20"/>
                <w:szCs w:val="22"/>
              </w:rPr>
              <w:t xml:space="preserve">CAIMI, Flávia Eloísa. </w:t>
            </w:r>
            <w:r>
              <w:rPr>
                <w:rFonts w:cs="Arial" w:ascii="Arial" w:hAnsi="Arial"/>
                <w:i/>
                <w:sz w:val="20"/>
                <w:szCs w:val="22"/>
              </w:rPr>
              <w:t>Aprendendo a ser professor de história.</w:t>
            </w:r>
            <w:r>
              <w:rPr>
                <w:rFonts w:cs="Arial" w:ascii="Arial" w:hAnsi="Arial"/>
                <w:sz w:val="20"/>
                <w:szCs w:val="22"/>
              </w:rPr>
              <w:t xml:space="preserve"> Passo Fundo, UPF Ed. 2008.</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CARDOSO, C. F. </w:t>
            </w:r>
            <w:r>
              <w:rPr>
                <w:rFonts w:cs="Arial" w:ascii="Arial" w:hAnsi="Arial"/>
                <w:i/>
                <w:iCs/>
                <w:color w:val="00000A"/>
                <w:sz w:val="20"/>
                <w:szCs w:val="22"/>
              </w:rPr>
              <w:t>Domínios da História. </w:t>
            </w:r>
            <w:r>
              <w:rPr>
                <w:rFonts w:cs="Arial" w:ascii="Arial" w:hAnsi="Arial"/>
                <w:color w:val="00000A"/>
                <w:sz w:val="20"/>
                <w:szCs w:val="22"/>
              </w:rPr>
              <w:t>Rio de Janeiro: Editora Campus, 1997.</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FERREIRA, Marieta de Moraes; FRANCO, Renato. </w:t>
            </w:r>
            <w:r>
              <w:rPr>
                <w:rFonts w:cs="Arial" w:ascii="Arial" w:hAnsi="Arial"/>
                <w:i/>
                <w:color w:val="00000A"/>
                <w:sz w:val="20"/>
                <w:szCs w:val="22"/>
              </w:rPr>
              <w:t xml:space="preserve">Aprendendo história: </w:t>
            </w:r>
            <w:r>
              <w:rPr>
                <w:rFonts w:cs="Arial" w:ascii="Arial" w:hAnsi="Arial"/>
                <w:color w:val="00000A"/>
                <w:sz w:val="20"/>
                <w:szCs w:val="22"/>
              </w:rPr>
              <w:t>reflexão e ensino</w:t>
            </w:r>
            <w:r>
              <w:rPr>
                <w:rFonts w:cs="Arial" w:ascii="Arial" w:hAnsi="Arial"/>
                <w:i/>
                <w:color w:val="00000A"/>
                <w:sz w:val="20"/>
                <w:szCs w:val="22"/>
              </w:rPr>
              <w:t xml:space="preserve">. </w:t>
            </w:r>
            <w:r>
              <w:rPr>
                <w:rFonts w:cs="Arial" w:ascii="Arial" w:hAnsi="Arial"/>
                <w:color w:val="00000A"/>
                <w:sz w:val="20"/>
                <w:szCs w:val="22"/>
              </w:rPr>
              <w:t xml:space="preserve">Rio de Janeiro, FGV, 2013. </w:t>
            </w:r>
          </w:p>
          <w:p>
            <w:pPr>
              <w:pStyle w:val="Padro"/>
              <w:spacing w:lineRule="auto" w:line="240" w:before="0" w:after="0"/>
              <w:jc w:val="both"/>
              <w:rPr>
                <w:rFonts w:ascii="Arial" w:hAnsi="Arial" w:cs="Arial"/>
                <w:color w:val="00000A"/>
                <w:sz w:val="22"/>
                <w:szCs w:val="22"/>
              </w:rPr>
            </w:pPr>
            <w:r>
              <w:rPr>
                <w:rFonts w:cs="Arial" w:ascii="Arial" w:hAnsi="Arial"/>
                <w:color w:val="00000A"/>
                <w:sz w:val="20"/>
                <w:szCs w:val="22"/>
              </w:rPr>
              <w:t>HOBSBAWM, E. </w:t>
            </w:r>
            <w:r>
              <w:rPr>
                <w:rFonts w:cs="Arial" w:ascii="Arial" w:hAnsi="Arial"/>
                <w:i/>
                <w:iCs/>
                <w:color w:val="00000A"/>
                <w:sz w:val="20"/>
                <w:szCs w:val="22"/>
              </w:rPr>
              <w:t>Sobre História. </w:t>
            </w:r>
            <w:r>
              <w:rPr>
                <w:rFonts w:cs="Arial" w:ascii="Arial" w:hAnsi="Arial"/>
                <w:color w:val="00000A"/>
                <w:sz w:val="20"/>
                <w:szCs w:val="22"/>
              </w:rPr>
              <w:t>São Paulo: Cia. das Letras, 1998.</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Unidade Curricular:</w:t>
            </w:r>
            <w:r>
              <w:rPr>
                <w:rFonts w:cs="Arial" w:ascii="Arial" w:hAnsi="Arial"/>
              </w:rPr>
              <w:t xml:space="preserve">  </w:t>
            </w:r>
            <w:r>
              <w:rPr>
                <w:rFonts w:cs="Arial" w:ascii="Arial" w:hAnsi="Arial"/>
                <w:b/>
                <w:u w:val="single"/>
              </w:rPr>
              <w:t>Tópicos em História da Educação</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Período:</w:t>
            </w:r>
            <w:r>
              <w:rPr>
                <w:rFonts w:cs="Arial" w:ascii="Arial" w:hAnsi="Arial"/>
              </w:rPr>
              <w:t xml:space="preserve"> 1º, 4º, 5º, 6º, 7º, 8º (Eletiva do Grupo A)</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Perspectivas de pesquisa e historiografia da História da Educação Brasileira. História da educação escolar e não escolar. Cultura escolar. Perspectivas históricas educativas de gênero, etnia e geração. História das instituições escolares públicas e confessionais.</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before="0" w:after="0"/>
              <w:jc w:val="both"/>
              <w:rPr>
                <w:rFonts w:ascii="Arial" w:hAnsi="Arial" w:cs="Arial"/>
                <w:color w:val="00000A"/>
                <w:sz w:val="20"/>
                <w:szCs w:val="22"/>
              </w:rPr>
            </w:pPr>
            <w:r>
              <w:rPr>
                <w:rFonts w:cs="Arial" w:ascii="Arial" w:hAnsi="Arial"/>
                <w:color w:val="00000A"/>
                <w:sz w:val="20"/>
                <w:szCs w:val="22"/>
              </w:rPr>
              <w:t xml:space="preserve">FARIA FILHO, Luciano (org). </w:t>
            </w:r>
            <w:r>
              <w:rPr>
                <w:rFonts w:cs="Arial" w:ascii="Arial" w:hAnsi="Arial"/>
                <w:i/>
                <w:color w:val="00000A"/>
                <w:sz w:val="20"/>
                <w:szCs w:val="22"/>
              </w:rPr>
              <w:t xml:space="preserve">A infância e sua educação. </w:t>
            </w:r>
            <w:r>
              <w:rPr>
                <w:rFonts w:cs="Arial" w:ascii="Arial" w:hAnsi="Arial"/>
                <w:color w:val="00000A"/>
                <w:sz w:val="20"/>
                <w:szCs w:val="22"/>
              </w:rPr>
              <w:t>Materiais, práticas e representações (Portugal e Brasil)</w:t>
            </w:r>
            <w:r>
              <w:rPr>
                <w:rFonts w:cs="Arial" w:ascii="Arial" w:hAnsi="Arial"/>
                <w:i/>
                <w:color w:val="00000A"/>
                <w:sz w:val="20"/>
                <w:szCs w:val="22"/>
              </w:rPr>
              <w:t xml:space="preserve">. </w:t>
            </w:r>
            <w:r>
              <w:rPr>
                <w:rFonts w:cs="Arial" w:ascii="Arial" w:hAnsi="Arial"/>
                <w:color w:val="00000A"/>
                <w:sz w:val="20"/>
                <w:szCs w:val="22"/>
              </w:rPr>
              <w:t xml:space="preserve">Belo Horizonte: Autêntica, 2004. </w:t>
            </w:r>
          </w:p>
          <w:p>
            <w:pPr>
              <w:pStyle w:val="Padro"/>
              <w:spacing w:before="0" w:after="0"/>
              <w:jc w:val="both"/>
              <w:rPr>
                <w:rFonts w:ascii="Arial" w:hAnsi="Arial" w:cs="Arial"/>
                <w:color w:val="00000A"/>
                <w:sz w:val="20"/>
                <w:szCs w:val="22"/>
              </w:rPr>
            </w:pPr>
            <w:r>
              <w:rPr>
                <w:rFonts w:cs="Arial" w:ascii="Arial" w:hAnsi="Arial"/>
                <w:color w:val="00000A"/>
                <w:sz w:val="20"/>
                <w:szCs w:val="22"/>
              </w:rPr>
              <w:t>MIGUEL, Maria Elisabeth Blank; CORREA, Rosa Lydia (Orgs)</w:t>
            </w:r>
            <w:r>
              <w:rPr>
                <w:rFonts w:cs="Arial" w:ascii="Arial" w:hAnsi="Arial"/>
                <w:i/>
                <w:color w:val="00000A"/>
                <w:sz w:val="20"/>
                <w:szCs w:val="22"/>
              </w:rPr>
              <w:t xml:space="preserve"> A educação escolar em perspectiva histórica.</w:t>
            </w:r>
            <w:r>
              <w:rPr>
                <w:rFonts w:cs="Arial" w:ascii="Arial" w:hAnsi="Arial"/>
                <w:color w:val="00000A"/>
                <w:sz w:val="20"/>
                <w:szCs w:val="22"/>
              </w:rPr>
              <w:t xml:space="preserve"> Campinas: Autores Associados, 2005.</w:t>
            </w:r>
          </w:p>
          <w:p>
            <w:pPr>
              <w:pStyle w:val="Padro"/>
              <w:spacing w:before="0" w:after="0"/>
              <w:jc w:val="both"/>
              <w:rPr>
                <w:rFonts w:ascii="Arial" w:hAnsi="Arial" w:cs="Arial"/>
                <w:color w:val="00000A"/>
                <w:sz w:val="22"/>
                <w:szCs w:val="22"/>
              </w:rPr>
            </w:pPr>
            <w:r>
              <w:rPr>
                <w:rFonts w:cs="Arial" w:ascii="Arial" w:hAnsi="Arial"/>
                <w:color w:val="00000A"/>
                <w:sz w:val="20"/>
                <w:szCs w:val="22"/>
              </w:rPr>
              <w:t xml:space="preserve">VIDAL, Diana. </w:t>
            </w:r>
            <w:r>
              <w:rPr>
                <w:rFonts w:cs="Arial" w:ascii="Arial" w:hAnsi="Arial"/>
                <w:i/>
                <w:iCs/>
                <w:color w:val="00000A"/>
                <w:sz w:val="20"/>
                <w:szCs w:val="22"/>
              </w:rPr>
              <w:t xml:space="preserve">Culturas escolares. </w:t>
            </w:r>
            <w:r>
              <w:rPr>
                <w:rFonts w:cs="Arial" w:ascii="Arial" w:hAnsi="Arial"/>
                <w:iCs/>
                <w:color w:val="00000A"/>
                <w:sz w:val="20"/>
                <w:szCs w:val="22"/>
              </w:rPr>
              <w:t>Estudo sobre práticas de leitura e escrita na escola pública primária (Brasil e França, final do século XIX).</w:t>
            </w:r>
            <w:r>
              <w:rPr>
                <w:rFonts w:cs="Arial" w:ascii="Arial" w:hAnsi="Arial"/>
                <w:i/>
                <w:iCs/>
                <w:color w:val="00000A"/>
                <w:sz w:val="20"/>
                <w:szCs w:val="22"/>
              </w:rPr>
              <w:t xml:space="preserve"> </w:t>
            </w:r>
            <w:r>
              <w:rPr>
                <w:rFonts w:cs="Arial" w:ascii="Arial" w:hAnsi="Arial"/>
                <w:color w:val="00000A"/>
                <w:sz w:val="20"/>
                <w:szCs w:val="22"/>
              </w:rPr>
              <w:t>Campinas, SP: Autores Associados, 2005.</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before="0" w:after="0"/>
              <w:jc w:val="both"/>
              <w:rPr>
                <w:rFonts w:ascii="Arial" w:hAnsi="Arial" w:cs="Arial"/>
                <w:color w:val="00000A"/>
                <w:sz w:val="20"/>
                <w:szCs w:val="22"/>
              </w:rPr>
            </w:pPr>
            <w:r>
              <w:rPr>
                <w:rFonts w:cs="Arial" w:ascii="Arial" w:hAnsi="Arial"/>
                <w:color w:val="00000A"/>
                <w:sz w:val="20"/>
                <w:szCs w:val="22"/>
              </w:rPr>
              <w:t xml:space="preserve">ALMEIDA, Jane Soares. </w:t>
            </w:r>
            <w:r>
              <w:rPr>
                <w:rFonts w:cs="Arial" w:ascii="Arial" w:hAnsi="Arial"/>
                <w:i/>
                <w:iCs/>
                <w:color w:val="00000A"/>
                <w:sz w:val="20"/>
                <w:szCs w:val="22"/>
              </w:rPr>
              <w:t xml:space="preserve">Mulher e educação: </w:t>
            </w:r>
            <w:r>
              <w:rPr>
                <w:rFonts w:cs="Arial" w:ascii="Arial" w:hAnsi="Arial"/>
                <w:iCs/>
                <w:color w:val="00000A"/>
                <w:sz w:val="20"/>
                <w:szCs w:val="22"/>
              </w:rPr>
              <w:t>a paixão pelo possível</w:t>
            </w:r>
            <w:r>
              <w:rPr>
                <w:rFonts w:cs="Arial" w:ascii="Arial" w:hAnsi="Arial"/>
                <w:i/>
                <w:iCs/>
                <w:color w:val="00000A"/>
                <w:sz w:val="20"/>
                <w:szCs w:val="22"/>
              </w:rPr>
              <w:t>.</w:t>
            </w:r>
            <w:r>
              <w:rPr>
                <w:rFonts w:cs="Arial" w:ascii="Arial" w:hAnsi="Arial"/>
                <w:b/>
                <w:bCs/>
                <w:color w:val="00000A"/>
                <w:sz w:val="20"/>
                <w:szCs w:val="22"/>
              </w:rPr>
              <w:t xml:space="preserve"> </w:t>
            </w:r>
            <w:r>
              <w:rPr>
                <w:rFonts w:cs="Arial" w:ascii="Arial" w:hAnsi="Arial"/>
                <w:color w:val="00000A"/>
                <w:sz w:val="20"/>
                <w:szCs w:val="22"/>
              </w:rPr>
              <w:t>São Paulo: Editora UNESP, 1998.</w:t>
            </w:r>
          </w:p>
          <w:p>
            <w:pPr>
              <w:pStyle w:val="Padro"/>
              <w:spacing w:before="0" w:after="0"/>
              <w:jc w:val="both"/>
              <w:rPr>
                <w:rFonts w:ascii="Arial" w:hAnsi="Arial" w:cs="Arial"/>
                <w:color w:val="00000A"/>
                <w:sz w:val="20"/>
                <w:szCs w:val="22"/>
              </w:rPr>
            </w:pPr>
            <w:r>
              <w:rPr>
                <w:rFonts w:cs="Arial" w:ascii="Arial" w:hAnsi="Arial"/>
                <w:color w:val="00000A"/>
                <w:sz w:val="20"/>
                <w:szCs w:val="22"/>
              </w:rPr>
              <w:t xml:space="preserve">FARIA FILHO, Luciano. </w:t>
            </w:r>
            <w:r>
              <w:rPr>
                <w:rFonts w:cs="Arial" w:ascii="Arial" w:hAnsi="Arial"/>
                <w:i/>
                <w:color w:val="00000A"/>
                <w:sz w:val="20"/>
                <w:szCs w:val="22"/>
              </w:rPr>
              <w:t xml:space="preserve">Educação pública: </w:t>
            </w:r>
            <w:r>
              <w:rPr>
                <w:rFonts w:cs="Arial" w:ascii="Arial" w:hAnsi="Arial"/>
                <w:color w:val="00000A"/>
                <w:sz w:val="20"/>
                <w:szCs w:val="22"/>
              </w:rPr>
              <w:t>a invenção do presente</w:t>
            </w:r>
            <w:r>
              <w:rPr>
                <w:rFonts w:cs="Arial" w:ascii="Arial" w:hAnsi="Arial"/>
                <w:i/>
                <w:color w:val="00000A"/>
                <w:sz w:val="20"/>
                <w:szCs w:val="22"/>
              </w:rPr>
              <w:t>.</w:t>
            </w:r>
            <w:r>
              <w:rPr>
                <w:rFonts w:cs="Arial" w:ascii="Arial" w:hAnsi="Arial"/>
                <w:color w:val="00000A"/>
                <w:sz w:val="20"/>
                <w:szCs w:val="22"/>
              </w:rPr>
              <w:t xml:space="preserve"> Belo Horizonte: Mazza edições, 2012.</w:t>
            </w:r>
          </w:p>
          <w:p>
            <w:pPr>
              <w:pStyle w:val="Padro"/>
              <w:spacing w:before="0" w:after="0"/>
              <w:jc w:val="both"/>
              <w:rPr>
                <w:rFonts w:ascii="Arial" w:hAnsi="Arial" w:cs="Arial"/>
                <w:color w:val="00000A"/>
                <w:sz w:val="20"/>
                <w:szCs w:val="22"/>
              </w:rPr>
            </w:pPr>
            <w:r>
              <w:rPr>
                <w:rFonts w:cs="Arial" w:ascii="Arial" w:hAnsi="Arial"/>
                <w:color w:val="00000A"/>
                <w:sz w:val="20"/>
                <w:szCs w:val="22"/>
              </w:rPr>
              <w:t xml:space="preserve">LOMBARDI, José Claudinei (org). </w:t>
            </w:r>
            <w:r>
              <w:rPr>
                <w:rFonts w:cs="Arial" w:ascii="Arial" w:hAnsi="Arial"/>
                <w:i/>
                <w:color w:val="00000A"/>
                <w:sz w:val="20"/>
                <w:szCs w:val="22"/>
              </w:rPr>
              <w:t xml:space="preserve">O público e o privado na história da educação brasileira. </w:t>
            </w:r>
            <w:r>
              <w:rPr>
                <w:rFonts w:cs="Arial" w:ascii="Arial" w:hAnsi="Arial"/>
                <w:color w:val="00000A"/>
                <w:sz w:val="20"/>
                <w:szCs w:val="22"/>
              </w:rPr>
              <w:t>Concepções e práticas educativas. Campinas, SP: Autores Associados, 2005.</w:t>
            </w:r>
          </w:p>
          <w:p>
            <w:pPr>
              <w:pStyle w:val="Padro"/>
              <w:spacing w:before="0" w:after="0"/>
              <w:jc w:val="both"/>
              <w:rPr>
                <w:rFonts w:ascii="Arial" w:hAnsi="Arial" w:cs="Arial"/>
                <w:color w:val="00000A"/>
                <w:sz w:val="20"/>
                <w:szCs w:val="22"/>
              </w:rPr>
            </w:pPr>
            <w:r>
              <w:rPr>
                <w:rFonts w:cs="Arial" w:ascii="Arial" w:hAnsi="Arial"/>
                <w:color w:val="00000A"/>
                <w:sz w:val="20"/>
                <w:szCs w:val="22"/>
              </w:rPr>
              <w:t xml:space="preserve">NOSELLA, Paolo; BUFFA, Ester. </w:t>
            </w:r>
            <w:r>
              <w:rPr>
                <w:rFonts w:cs="Arial" w:ascii="Arial" w:hAnsi="Arial"/>
                <w:i/>
                <w:color w:val="00000A"/>
                <w:sz w:val="20"/>
                <w:szCs w:val="22"/>
              </w:rPr>
              <w:t>Instituições escolares.</w:t>
            </w:r>
            <w:r>
              <w:rPr>
                <w:rFonts w:cs="Arial" w:ascii="Arial" w:hAnsi="Arial"/>
                <w:color w:val="00000A"/>
                <w:sz w:val="20"/>
                <w:szCs w:val="22"/>
              </w:rPr>
              <w:t xml:space="preserve"> Por que e como pesquisar. Campinas: Alínea, 2009.</w:t>
            </w:r>
          </w:p>
          <w:p>
            <w:pPr>
              <w:pStyle w:val="Normal"/>
              <w:spacing w:before="0" w:after="0"/>
              <w:jc w:val="both"/>
              <w:rPr>
                <w:rFonts w:ascii="Arial" w:hAnsi="Arial" w:cs="Arial"/>
                <w:b/>
                <w:b/>
              </w:rPr>
            </w:pPr>
            <w:r>
              <w:rPr>
                <w:rFonts w:cs="Arial" w:ascii="Arial" w:hAnsi="Arial"/>
                <w:sz w:val="20"/>
              </w:rPr>
              <w:t xml:space="preserve">VIDAL, Diana Gonçalves (org). </w:t>
            </w:r>
            <w:r>
              <w:rPr>
                <w:rFonts w:cs="Arial" w:ascii="Arial" w:hAnsi="Arial"/>
                <w:i/>
                <w:sz w:val="20"/>
              </w:rPr>
              <w:t>Grupos escolares.</w:t>
            </w:r>
            <w:r>
              <w:rPr>
                <w:rFonts w:cs="Arial" w:ascii="Arial" w:hAnsi="Arial"/>
                <w:sz w:val="20"/>
              </w:rPr>
              <w:t xml:space="preserve"> Cultura escolar primária e escolarização da infância no Brasil (1893-1971). Campinas, SP: Mercado das Letras, 2006.</w:t>
            </w:r>
          </w:p>
        </w:tc>
      </w:tr>
    </w:tbl>
    <w:p>
      <w:pPr>
        <w:pStyle w:val="Padro"/>
        <w:spacing w:lineRule="auto" w:line="240"/>
        <w:jc w:val="center"/>
        <w:rPr>
          <w:rFonts w:ascii="Arial" w:hAnsi="Arial" w:cs="Arial"/>
          <w:b/>
          <w:b/>
          <w:color w:val="00000A"/>
        </w:rPr>
      </w:pPr>
      <w:r>
        <w:rPr>
          <w:rFonts w:cs="Arial" w:ascii="Arial" w:hAnsi="Arial"/>
          <w:b/>
          <w:color w:val="00000A"/>
        </w:rPr>
      </w:r>
    </w:p>
    <w:p>
      <w:pPr>
        <w:pStyle w:val="Padro"/>
        <w:spacing w:lineRule="auto" w:line="240"/>
        <w:jc w:val="center"/>
        <w:rPr>
          <w:rFonts w:ascii="Arial" w:hAnsi="Arial" w:cs="Arial"/>
          <w:b/>
          <w:b/>
          <w:color w:val="00000A"/>
        </w:rPr>
      </w:pPr>
      <w:r>
        <w:rPr>
          <w:rFonts w:cs="Arial" w:ascii="Arial" w:hAnsi="Arial"/>
          <w:b/>
          <w:color w:val="00000A"/>
        </w:rPr>
      </w:r>
    </w:p>
    <w:p>
      <w:pPr>
        <w:pStyle w:val="Padro"/>
        <w:spacing w:lineRule="auto" w:line="240"/>
        <w:jc w:val="center"/>
        <w:rPr>
          <w:rFonts w:ascii="Arial" w:hAnsi="Arial" w:cs="Arial"/>
          <w:b/>
          <w:b/>
          <w:color w:val="00000A"/>
        </w:rPr>
      </w:pPr>
      <w:r>
        <w:rPr>
          <w:rFonts w:cs="Arial" w:ascii="Arial" w:hAnsi="Arial"/>
          <w:b/>
          <w:color w:val="00000A"/>
        </w:rPr>
        <w:t>Eixo 2 – Formação Específica</w:t>
      </w:r>
    </w:p>
    <w:tbl>
      <w:tblPr>
        <w:tblStyle w:val="Tabelacomgrade"/>
        <w:tblW w:w="8494" w:type="dxa"/>
        <w:jc w:val="left"/>
        <w:tblInd w:w="0" w:type="dxa"/>
        <w:tblCellMar>
          <w:top w:w="0" w:type="dxa"/>
          <w:left w:w="108" w:type="dxa"/>
          <w:bottom w:w="0" w:type="dxa"/>
          <w:right w:w="108" w:type="dxa"/>
        </w:tblCellMar>
        <w:tblLook w:firstRow="1" w:noVBand="1" w:lastRow="0" w:firstColumn="1" w:lastColumn="0" w:noHBand="0" w:val="04a0"/>
      </w:tblPr>
      <w:tblGrid>
        <w:gridCol w:w="8494"/>
      </w:tblGrid>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Unidade Curricular:</w:t>
            </w:r>
            <w:r>
              <w:rPr>
                <w:rFonts w:cs="Arial" w:ascii="Arial" w:hAnsi="Arial"/>
              </w:rPr>
              <w:t xml:space="preserve">  </w:t>
            </w:r>
            <w:r>
              <w:rPr>
                <w:rFonts w:cs="Arial" w:ascii="Arial" w:hAnsi="Arial"/>
                <w:b/>
                <w:u w:val="single"/>
              </w:rPr>
              <w:t>História Antiga</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Período:</w:t>
            </w:r>
            <w:r>
              <w:rPr>
                <w:rFonts w:cs="Arial" w:ascii="Arial" w:hAnsi="Arial"/>
              </w:rPr>
              <w:t xml:space="preserve"> 1º</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w:t>
            </w:r>
            <w:r>
              <w:rPr>
                <w:rFonts w:eastAsia="Calibri" w:cs="Arial" w:ascii="Arial" w:hAnsi="Arial"/>
              </w:rPr>
              <w:t xml:space="preserve">Introdução à História Antiga: o conceito e seus usos. O ensino de História Antiga, entre mitos e preconceitos. A urbanização no mundo antigo: Mesopotâmia e Egito. “O rei oriental despótico”: uma construção historiográfica. História da Grécia: memórias e percepções da </w:t>
            </w:r>
            <w:r>
              <w:rPr>
                <w:rFonts w:eastAsia="Calibri" w:cs="Arial" w:ascii="Arial" w:hAnsi="Arial"/>
                <w:i/>
              </w:rPr>
              <w:t>polis</w:t>
            </w:r>
            <w:r>
              <w:rPr>
                <w:rFonts w:eastAsia="Calibri" w:cs="Arial" w:ascii="Arial" w:hAnsi="Arial"/>
              </w:rPr>
              <w:t xml:space="preserve">. A participação política e a Democracia ateniense. A sociedade romana, a elaboração do conceito de </w:t>
            </w:r>
            <w:r>
              <w:rPr>
                <w:rFonts w:eastAsia="Calibri" w:cs="Arial" w:ascii="Arial" w:hAnsi="Arial"/>
                <w:i/>
              </w:rPr>
              <w:t>res publica</w:t>
            </w:r>
            <w:r>
              <w:rPr>
                <w:rFonts w:eastAsia="Calibri" w:cs="Arial" w:ascii="Arial" w:hAnsi="Arial"/>
              </w:rPr>
              <w:t xml:space="preserve"> e os limites da cidadania. Debates sobre o escravismo antigo.</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shd w:fill="FFFFFF" w:val="clear"/>
              </w:rPr>
              <w:t xml:space="preserve">GUARINELLO, Norberto Luiz. </w:t>
            </w:r>
            <w:r>
              <w:rPr>
                <w:rFonts w:eastAsia="Calibri" w:cs="Arial" w:ascii="Arial" w:hAnsi="Arial"/>
                <w:i/>
                <w:color w:val="00000A"/>
                <w:sz w:val="20"/>
                <w:szCs w:val="22"/>
                <w:shd w:fill="FFFFFF" w:val="clear"/>
              </w:rPr>
              <w:t>História Antiga</w:t>
            </w:r>
            <w:r>
              <w:rPr>
                <w:rFonts w:eastAsia="Calibri" w:cs="Arial" w:ascii="Arial" w:hAnsi="Arial"/>
                <w:color w:val="00000A"/>
                <w:sz w:val="20"/>
                <w:szCs w:val="22"/>
                <w:shd w:fill="FFFFFF" w:val="clear"/>
              </w:rPr>
              <w:t>. São Paulo: Contexto, 2013.</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JOLY, Fábio; FAVERSANI, Fábio. </w:t>
            </w:r>
            <w:r>
              <w:rPr>
                <w:rFonts w:eastAsia="Calibri" w:cs="Arial" w:ascii="Arial" w:hAnsi="Arial"/>
                <w:i/>
                <w:color w:val="00000A"/>
                <w:sz w:val="20"/>
                <w:szCs w:val="22"/>
              </w:rPr>
              <w:t>As formas do Império Romano</w:t>
            </w:r>
            <w:r>
              <w:rPr>
                <w:rFonts w:eastAsia="Calibri" w:cs="Arial" w:ascii="Arial" w:hAnsi="Arial"/>
                <w:color w:val="00000A"/>
                <w:sz w:val="20"/>
                <w:szCs w:val="22"/>
              </w:rPr>
              <w:t>. Editora UFOP, 2014.</w:t>
            </w:r>
          </w:p>
          <w:p>
            <w:pPr>
              <w:pStyle w:val="Normal"/>
              <w:spacing w:before="0" w:after="0"/>
              <w:jc w:val="both"/>
              <w:rPr>
                <w:rFonts w:ascii="Arial" w:hAnsi="Arial" w:cs="Arial"/>
                <w:b/>
                <w:b/>
              </w:rPr>
            </w:pPr>
            <w:r>
              <w:rPr>
                <w:rFonts w:eastAsia="Calibri" w:cs="Arial" w:ascii="Arial" w:hAnsi="Arial"/>
                <w:sz w:val="20"/>
              </w:rPr>
              <w:t xml:space="preserve">SILVA, Glaydson José. </w:t>
            </w:r>
            <w:r>
              <w:rPr>
                <w:rFonts w:eastAsia="Calibri" w:cs="Arial" w:ascii="Arial" w:hAnsi="Arial"/>
                <w:i/>
                <w:sz w:val="20"/>
              </w:rPr>
              <w:t>História Antiga e usos do passado</w:t>
            </w:r>
            <w:r>
              <w:rPr>
                <w:rFonts w:eastAsia="Calibri" w:cs="Arial" w:ascii="Arial" w:hAnsi="Arial"/>
                <w:sz w:val="20"/>
              </w:rPr>
              <w:t>. São Paulo: Annablume, 2007.</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Normal"/>
              <w:spacing w:before="0" w:after="0"/>
              <w:jc w:val="both"/>
              <w:rPr>
                <w:rFonts w:ascii="Arial" w:hAnsi="Arial" w:cs="Arial"/>
                <w:b/>
                <w:b/>
                <w:sz w:val="20"/>
                <w:szCs w:val="20"/>
              </w:rPr>
            </w:pPr>
            <w:r>
              <w:rPr>
                <w:rFonts w:eastAsia="Calibri" w:cs="Arial" w:ascii="Arial" w:hAnsi="Arial"/>
                <w:bCs/>
                <w:sz w:val="20"/>
                <w:szCs w:val="20"/>
              </w:rPr>
              <w:t xml:space="preserve">CARDOSO, Ciro Flamarion. </w:t>
            </w:r>
            <w:r>
              <w:rPr>
                <w:rFonts w:eastAsia="Calibri" w:cs="Arial" w:ascii="Arial" w:hAnsi="Arial"/>
                <w:bCs/>
                <w:i/>
                <w:sz w:val="20"/>
                <w:szCs w:val="20"/>
              </w:rPr>
              <w:t>Sete olhares sobre a antiguidade</w:t>
            </w:r>
            <w:r>
              <w:rPr>
                <w:rFonts w:eastAsia="Calibri" w:cs="Arial" w:ascii="Arial" w:hAnsi="Arial"/>
                <w:bCs/>
                <w:sz w:val="20"/>
                <w:szCs w:val="20"/>
              </w:rPr>
              <w:t xml:space="preserve">. Brasília: Ed. UNB, 1994. </w:t>
            </w:r>
          </w:p>
          <w:p>
            <w:pPr>
              <w:pStyle w:val="Padro"/>
              <w:spacing w:lineRule="auto" w:line="240" w:before="0" w:after="0"/>
              <w:jc w:val="both"/>
              <w:rPr>
                <w:rFonts w:ascii="Arial" w:hAnsi="Arial" w:cs="Arial"/>
                <w:color w:val="00000A"/>
                <w:sz w:val="20"/>
                <w:szCs w:val="20"/>
              </w:rPr>
            </w:pPr>
            <w:r>
              <w:rPr>
                <w:rFonts w:eastAsia="Calibri" w:cs="Arial" w:ascii="Arial" w:hAnsi="Arial"/>
                <w:bCs/>
                <w:color w:val="00000A"/>
                <w:sz w:val="20"/>
                <w:szCs w:val="20"/>
              </w:rPr>
              <w:t xml:space="preserve">DESPLANCQUES, Sophie. </w:t>
            </w:r>
            <w:r>
              <w:rPr>
                <w:rFonts w:eastAsia="Calibri" w:cs="Arial" w:ascii="Arial" w:hAnsi="Arial"/>
                <w:bCs/>
                <w:i/>
                <w:color w:val="00000A"/>
                <w:sz w:val="20"/>
                <w:szCs w:val="20"/>
              </w:rPr>
              <w:t>Egito Antigo</w:t>
            </w:r>
            <w:r>
              <w:rPr>
                <w:rFonts w:eastAsia="Calibri" w:cs="Arial" w:ascii="Arial" w:hAnsi="Arial"/>
                <w:bCs/>
                <w:color w:val="00000A"/>
                <w:sz w:val="20"/>
                <w:szCs w:val="20"/>
              </w:rPr>
              <w:t>. Porto Alegre: L&amp;PM, 2009.</w:t>
            </w:r>
          </w:p>
          <w:p>
            <w:pPr>
              <w:pStyle w:val="Padro"/>
              <w:spacing w:lineRule="auto" w:line="240" w:before="0" w:after="0"/>
              <w:jc w:val="both"/>
              <w:rPr>
                <w:rFonts w:ascii="Arial" w:hAnsi="Arial" w:cs="Arial"/>
                <w:color w:val="00000A"/>
                <w:sz w:val="20"/>
                <w:szCs w:val="20"/>
              </w:rPr>
            </w:pPr>
            <w:r>
              <w:rPr>
                <w:rFonts w:eastAsia="Calibri" w:cs="Arial" w:ascii="Arial" w:hAnsi="Arial"/>
                <w:color w:val="00000A"/>
                <w:sz w:val="20"/>
                <w:szCs w:val="20"/>
              </w:rPr>
              <w:t xml:space="preserve">FINLEY, Moses. </w:t>
            </w:r>
            <w:r>
              <w:rPr>
                <w:rFonts w:eastAsia="Calibri" w:cs="Arial" w:ascii="Arial" w:hAnsi="Arial"/>
                <w:i/>
                <w:color w:val="00000A"/>
                <w:sz w:val="20"/>
                <w:szCs w:val="20"/>
              </w:rPr>
              <w:t>Democracia Antiga e Moderna</w:t>
            </w:r>
            <w:r>
              <w:rPr>
                <w:rFonts w:eastAsia="Calibri" w:cs="Arial" w:ascii="Arial" w:hAnsi="Arial"/>
                <w:color w:val="00000A"/>
                <w:sz w:val="20"/>
                <w:szCs w:val="20"/>
              </w:rPr>
              <w:t>. Rio de Janeiro: Graal, 1985.</w:t>
            </w:r>
          </w:p>
          <w:p>
            <w:pPr>
              <w:pStyle w:val="Padro"/>
              <w:spacing w:lineRule="auto" w:line="240" w:before="0" w:after="0"/>
              <w:jc w:val="both"/>
              <w:rPr>
                <w:rFonts w:ascii="Arial" w:hAnsi="Arial" w:cs="Arial"/>
                <w:color w:val="00000A"/>
                <w:sz w:val="20"/>
                <w:szCs w:val="20"/>
              </w:rPr>
            </w:pPr>
            <w:r>
              <w:rPr>
                <w:rFonts w:eastAsia="Calibri" w:cs="Arial" w:ascii="Arial" w:hAnsi="Arial"/>
                <w:bCs/>
                <w:color w:val="00000A"/>
                <w:sz w:val="20"/>
                <w:szCs w:val="20"/>
              </w:rPr>
              <w:t xml:space="preserve">GWENDOLYN, Leick. </w:t>
            </w:r>
            <w:r>
              <w:rPr>
                <w:rFonts w:eastAsia="Calibri" w:cs="Arial" w:ascii="Arial" w:hAnsi="Arial"/>
                <w:bCs/>
                <w:i/>
                <w:color w:val="00000A"/>
                <w:sz w:val="20"/>
                <w:szCs w:val="20"/>
              </w:rPr>
              <w:t xml:space="preserve">Mesopotâmia: </w:t>
            </w:r>
            <w:r>
              <w:rPr>
                <w:rFonts w:eastAsia="Calibri" w:cs="Arial" w:ascii="Arial" w:hAnsi="Arial"/>
                <w:bCs/>
                <w:color w:val="00000A"/>
                <w:sz w:val="20"/>
                <w:szCs w:val="20"/>
              </w:rPr>
              <w:t>a invenção da cidade. Rio de Janeiro: Imago, 2003.</w:t>
            </w:r>
          </w:p>
          <w:p>
            <w:pPr>
              <w:pStyle w:val="Normal"/>
              <w:spacing w:before="0" w:after="0"/>
              <w:jc w:val="both"/>
              <w:rPr>
                <w:rFonts w:ascii="Arial" w:hAnsi="Arial" w:cs="Arial"/>
                <w:b/>
                <w:b/>
              </w:rPr>
            </w:pPr>
            <w:r>
              <w:rPr>
                <w:rFonts w:eastAsia="Calibri" w:cs="Arial" w:ascii="Arial" w:hAnsi="Arial"/>
                <w:sz w:val="20"/>
                <w:szCs w:val="20"/>
              </w:rPr>
              <w:t xml:space="preserve">GUARINELLO, Norberto Luiz. </w:t>
            </w:r>
            <w:r>
              <w:rPr>
                <w:rFonts w:eastAsia="Calibri" w:cs="Arial" w:ascii="Arial" w:hAnsi="Arial"/>
                <w:i/>
                <w:sz w:val="20"/>
                <w:szCs w:val="20"/>
              </w:rPr>
              <w:t>Imperialismo Greco-romano</w:t>
            </w:r>
            <w:r>
              <w:rPr>
                <w:rFonts w:eastAsia="Calibri" w:cs="Arial" w:ascii="Arial" w:hAnsi="Arial"/>
                <w:sz w:val="20"/>
                <w:szCs w:val="20"/>
              </w:rPr>
              <w:t>. São Paulo: Ática, 1991.</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Unidade Curricular:</w:t>
            </w:r>
            <w:r>
              <w:rPr>
                <w:rFonts w:cs="Arial" w:ascii="Arial" w:hAnsi="Arial"/>
              </w:rPr>
              <w:t xml:space="preserve">  </w:t>
            </w:r>
            <w:r>
              <w:rPr>
                <w:rFonts w:cs="Arial" w:ascii="Arial" w:hAnsi="Arial"/>
                <w:b/>
                <w:u w:val="single"/>
              </w:rPr>
              <w:t>História da África</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Período:</w:t>
            </w:r>
            <w:r>
              <w:rPr>
                <w:rFonts w:cs="Arial" w:ascii="Arial" w:hAnsi="Arial"/>
              </w:rPr>
              <w:t xml:space="preserve"> 2º</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O </w:t>
            </w:r>
            <w:r>
              <w:rPr>
                <w:rFonts w:cs="Arial" w:ascii="Arial" w:hAnsi="Arial"/>
                <w:bCs/>
              </w:rPr>
              <w:t>debate historiográfico e a construção de uma história africana e seu ensino.</w:t>
            </w:r>
            <w:r>
              <w:rPr>
                <w:rFonts w:cs="Arial" w:ascii="Arial" w:hAnsi="Arial"/>
              </w:rPr>
              <w:t xml:space="preserve"> África saariana e a expansão do Islã. Formações sociais da África</w:t>
            </w:r>
            <w:r>
              <w:rPr>
                <w:rFonts w:cs="Arial" w:ascii="Arial" w:hAnsi="Arial"/>
                <w:shd w:fill="FFF9EE" w:val="clear"/>
              </w:rPr>
              <w:t xml:space="preserve"> </w:t>
            </w:r>
            <w:r>
              <w:rPr>
                <w:rFonts w:cs="Arial" w:ascii="Arial" w:hAnsi="Arial"/>
              </w:rPr>
              <w:t xml:space="preserve">Subsaariana. Escravidão: experiência histórica e suas transformações. Colonialismo e Neocolonialismo: métodos, instituições e repercussões sociais. Resistências, </w:t>
            </w:r>
            <w:r>
              <w:rPr>
                <w:rFonts w:cs="Arial" w:ascii="Arial" w:hAnsi="Arial"/>
                <w:bCs/>
              </w:rPr>
              <w:t xml:space="preserve">nacionalismos e a construção das identidades africanas. </w:t>
            </w:r>
            <w:r>
              <w:rPr>
                <w:rFonts w:cs="Arial" w:ascii="Arial" w:hAnsi="Arial"/>
              </w:rPr>
              <w:t>Descolonização. O Estado e a Sociedade no Pós-Colonial Africano.</w:t>
            </w:r>
            <w:r>
              <w:rPr>
                <w:rFonts w:eastAsia="Calibri" w:cs="Arial" w:ascii="Arial" w:hAnsi="Arial"/>
              </w:rPr>
              <w:t xml:space="preserve"> </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HERNANDEZ, Leila Leite. </w:t>
            </w:r>
            <w:r>
              <w:rPr>
                <w:rFonts w:cs="Arial" w:ascii="Arial" w:hAnsi="Arial"/>
                <w:i/>
                <w:color w:val="00000A"/>
                <w:sz w:val="20"/>
                <w:szCs w:val="22"/>
              </w:rPr>
              <w:t xml:space="preserve">A África na sala de aula: </w:t>
            </w:r>
            <w:r>
              <w:rPr>
                <w:rFonts w:cs="Arial" w:ascii="Arial" w:hAnsi="Arial"/>
                <w:color w:val="00000A"/>
                <w:sz w:val="20"/>
                <w:szCs w:val="22"/>
              </w:rPr>
              <w:t>visita à História contemporânea. São Paulo: Selo Negro, 2005.</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SILVA, Alberto da Costa e. </w:t>
            </w:r>
            <w:r>
              <w:rPr>
                <w:rFonts w:cs="Arial" w:ascii="Arial" w:hAnsi="Arial"/>
                <w:i/>
                <w:iCs/>
                <w:color w:val="00000A"/>
                <w:sz w:val="20"/>
                <w:szCs w:val="22"/>
              </w:rPr>
              <w:t xml:space="preserve">A enxada e a lança. </w:t>
            </w:r>
            <w:r>
              <w:rPr>
                <w:rFonts w:cs="Arial" w:ascii="Arial" w:hAnsi="Arial"/>
                <w:color w:val="00000A"/>
                <w:sz w:val="20"/>
                <w:szCs w:val="22"/>
              </w:rPr>
              <w:t>A África antes dos portugueses</w:t>
            </w:r>
            <w:r>
              <w:rPr>
                <w:rFonts w:cs="Arial" w:ascii="Arial" w:hAnsi="Arial"/>
                <w:i/>
                <w:iCs/>
                <w:color w:val="00000A"/>
                <w:sz w:val="20"/>
                <w:szCs w:val="22"/>
              </w:rPr>
              <w:t xml:space="preserve">. </w:t>
            </w:r>
            <w:r>
              <w:rPr>
                <w:rFonts w:cs="Arial" w:ascii="Arial" w:hAnsi="Arial"/>
                <w:color w:val="00000A"/>
                <w:sz w:val="20"/>
                <w:szCs w:val="22"/>
              </w:rPr>
              <w:t>Rio de Janeiro: Nova Fronteira, 1996.</w:t>
            </w:r>
          </w:p>
          <w:p>
            <w:pPr>
              <w:pStyle w:val="Normal"/>
              <w:spacing w:before="0" w:after="0"/>
              <w:jc w:val="both"/>
              <w:rPr>
                <w:rFonts w:ascii="Arial" w:hAnsi="Arial" w:cs="Arial"/>
                <w:b/>
                <w:b/>
              </w:rPr>
            </w:pPr>
            <w:r>
              <w:rPr>
                <w:rFonts w:cs="Arial" w:ascii="Arial" w:hAnsi="Arial"/>
                <w:sz w:val="20"/>
              </w:rPr>
              <w:t>UNESCO.</w:t>
            </w:r>
            <w:r>
              <w:rPr>
                <w:rStyle w:val="Appleconvertedspace"/>
                <w:rFonts w:cs="Arial" w:ascii="Arial" w:hAnsi="Arial"/>
                <w:sz w:val="20"/>
              </w:rPr>
              <w:t> </w:t>
            </w:r>
            <w:r>
              <w:rPr>
                <w:rFonts w:cs="Arial" w:ascii="Arial" w:hAnsi="Arial"/>
                <w:i/>
                <w:iCs/>
                <w:sz w:val="20"/>
              </w:rPr>
              <w:t>História Geral da África.</w:t>
            </w:r>
            <w:r>
              <w:rPr>
                <w:rStyle w:val="Appleconvertedspace"/>
                <w:rFonts w:cs="Arial" w:ascii="Arial" w:hAnsi="Arial"/>
                <w:sz w:val="20"/>
              </w:rPr>
              <w:t> </w:t>
            </w:r>
            <w:r>
              <w:rPr>
                <w:rFonts w:cs="Arial" w:ascii="Arial" w:hAnsi="Arial"/>
                <w:sz w:val="20"/>
              </w:rPr>
              <w:t>São Paulo: Ática / Unesco, 1982-91. (8 volumes).</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Normal"/>
              <w:spacing w:before="0" w:after="0"/>
              <w:rPr>
                <w:rFonts w:ascii="Arial" w:hAnsi="Arial" w:cs="Arial"/>
                <w:sz w:val="20"/>
              </w:rPr>
            </w:pPr>
            <w:r>
              <w:rPr>
                <w:rFonts w:cs="Arial" w:ascii="Arial" w:hAnsi="Arial"/>
                <w:sz w:val="20"/>
              </w:rPr>
              <w:t xml:space="preserve">APPIAH, Kwame Anthony. </w:t>
            </w:r>
            <w:r>
              <w:rPr>
                <w:rFonts w:cs="Arial" w:ascii="Arial" w:hAnsi="Arial"/>
                <w:i/>
                <w:iCs/>
                <w:sz w:val="20"/>
              </w:rPr>
              <w:t>Na casa de meu Pai</w:t>
            </w:r>
            <w:r>
              <w:rPr>
                <w:rFonts w:cs="Arial" w:ascii="Arial" w:hAnsi="Arial"/>
                <w:sz w:val="20"/>
              </w:rPr>
              <w:t>. A África na filosofia da cultura. Rio de Janeiro: Contraponto, 1997.</w:t>
            </w:r>
          </w:p>
          <w:p>
            <w:pPr>
              <w:pStyle w:val="Normal"/>
              <w:spacing w:before="0" w:after="0"/>
              <w:jc w:val="both"/>
              <w:rPr>
                <w:rFonts w:ascii="Arial" w:hAnsi="Arial" w:cs="Arial"/>
                <w:sz w:val="20"/>
              </w:rPr>
            </w:pPr>
            <w:r>
              <w:rPr>
                <w:rFonts w:cs="Arial" w:ascii="Arial" w:hAnsi="Arial"/>
                <w:sz w:val="20"/>
              </w:rPr>
              <w:t xml:space="preserve">GEBARA, Alexsander. </w:t>
            </w:r>
            <w:r>
              <w:rPr>
                <w:rFonts w:cs="Arial" w:ascii="Arial" w:hAnsi="Arial"/>
                <w:i/>
                <w:iCs/>
                <w:sz w:val="20"/>
              </w:rPr>
              <w:t>A África de Richard Francis Burton</w:t>
            </w:r>
            <w:r>
              <w:rPr>
                <w:rFonts w:cs="Arial" w:ascii="Arial" w:hAnsi="Arial"/>
                <w:sz w:val="20"/>
              </w:rPr>
              <w:t>: antropologia, política e livre-comércio, 1861-1865. São Paulo: Alameda, 2010.</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LOVEJOY, Paul. </w:t>
            </w:r>
            <w:r>
              <w:rPr>
                <w:rFonts w:cs="Arial" w:ascii="Arial" w:hAnsi="Arial"/>
                <w:i/>
                <w:color w:val="00000A"/>
                <w:sz w:val="20"/>
                <w:szCs w:val="22"/>
              </w:rPr>
              <w:t xml:space="preserve">A escravidão na África: </w:t>
            </w:r>
            <w:r>
              <w:rPr>
                <w:rFonts w:cs="Arial" w:ascii="Arial" w:hAnsi="Arial"/>
                <w:color w:val="00000A"/>
                <w:sz w:val="20"/>
                <w:szCs w:val="22"/>
              </w:rPr>
              <w:t>uma história de suas transformações. Rio de Janeiro: Civilização Brasileira, 2002.</w:t>
            </w:r>
          </w:p>
          <w:p>
            <w:pPr>
              <w:pStyle w:val="Normal"/>
              <w:spacing w:before="0" w:after="0"/>
              <w:jc w:val="both"/>
              <w:rPr>
                <w:rFonts w:ascii="Arial" w:hAnsi="Arial" w:cs="Arial"/>
                <w:sz w:val="20"/>
              </w:rPr>
            </w:pPr>
            <w:r>
              <w:rPr>
                <w:rFonts w:cs="Arial" w:ascii="Arial" w:hAnsi="Arial"/>
                <w:sz w:val="20"/>
              </w:rPr>
              <w:t xml:space="preserve">VISENTINI, Paulo Gilberto Fagundes. </w:t>
            </w:r>
            <w:r>
              <w:rPr>
                <w:rFonts w:cs="Arial" w:ascii="Arial" w:hAnsi="Arial"/>
                <w:i/>
                <w:iCs/>
                <w:sz w:val="20"/>
              </w:rPr>
              <w:t xml:space="preserve">A África moderna: </w:t>
            </w:r>
            <w:r>
              <w:rPr>
                <w:rFonts w:cs="Arial" w:ascii="Arial" w:hAnsi="Arial"/>
                <w:sz w:val="20"/>
              </w:rPr>
              <w:t>um continente em mudança (1960-2010). Porto Alegre: Leitura XXI, 2010.</w:t>
            </w:r>
          </w:p>
          <w:p>
            <w:pPr>
              <w:pStyle w:val="Normal"/>
              <w:spacing w:before="0" w:after="0"/>
              <w:jc w:val="both"/>
              <w:rPr>
                <w:rFonts w:ascii="Arial" w:hAnsi="Arial" w:cs="Arial"/>
                <w:b/>
                <w:b/>
              </w:rPr>
            </w:pPr>
            <w:r>
              <w:rPr>
                <w:rFonts w:cs="Arial" w:ascii="Arial" w:hAnsi="Arial"/>
                <w:sz w:val="20"/>
              </w:rPr>
              <w:t xml:space="preserve">WESSELING, H. L. </w:t>
            </w:r>
            <w:r>
              <w:rPr>
                <w:rFonts w:cs="Arial" w:ascii="Arial" w:hAnsi="Arial"/>
                <w:i/>
                <w:iCs/>
                <w:sz w:val="20"/>
              </w:rPr>
              <w:t xml:space="preserve">Dividir para dominar: </w:t>
            </w:r>
            <w:r>
              <w:rPr>
                <w:rFonts w:cs="Arial" w:ascii="Arial" w:hAnsi="Arial"/>
                <w:sz w:val="20"/>
              </w:rPr>
              <w:t>a partilha da África (1880-1914). Rio de Janeiro: UFRJ / Revan, 1998.</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Unidade Curricular:</w:t>
            </w:r>
            <w:r>
              <w:rPr>
                <w:rFonts w:cs="Arial" w:ascii="Arial" w:hAnsi="Arial"/>
              </w:rPr>
              <w:t xml:space="preserve">  </w:t>
            </w:r>
            <w:r>
              <w:rPr>
                <w:rFonts w:cs="Arial" w:ascii="Arial" w:hAnsi="Arial"/>
                <w:b/>
                <w:u w:val="single"/>
              </w:rPr>
              <w:t>História Indígena nas Américas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Período:</w:t>
            </w:r>
            <w:r>
              <w:rPr>
                <w:rFonts w:cs="Arial" w:ascii="Arial" w:hAnsi="Arial"/>
              </w:rPr>
              <w:t xml:space="preserve"> 2º</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Historiografia da história indígena e do indigenismo. Estudo das sociedades ameríndias pré-colombianas desde o povoamento do continente americano até 1492. Diversidades culturais e sociais das populações indígenas no Brasil e nas Américas. Resistência indígena em diferentes temporalidades. </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ALMEIDA, Maria Regina Celestino de. </w:t>
            </w:r>
            <w:r>
              <w:rPr>
                <w:rFonts w:cs="Arial" w:ascii="Arial" w:hAnsi="Arial"/>
                <w:i/>
                <w:color w:val="00000A"/>
                <w:sz w:val="20"/>
                <w:szCs w:val="22"/>
              </w:rPr>
              <w:t>Os índios na história do Brasil.</w:t>
            </w:r>
            <w:r>
              <w:rPr>
                <w:rFonts w:cs="Arial" w:ascii="Arial" w:hAnsi="Arial"/>
                <w:color w:val="00000A"/>
                <w:sz w:val="20"/>
                <w:szCs w:val="22"/>
              </w:rPr>
              <w:t xml:space="preserve"> Rio de Janeiro: Ed. FGV, 2010. </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CARREDANO, Juan B. Amores. [Coord.] </w:t>
            </w:r>
            <w:r>
              <w:rPr>
                <w:rFonts w:cs="Arial" w:ascii="Arial" w:hAnsi="Arial"/>
                <w:i/>
                <w:color w:val="00000A"/>
                <w:sz w:val="20"/>
                <w:szCs w:val="22"/>
              </w:rPr>
              <w:t>Historia de América.</w:t>
            </w:r>
            <w:r>
              <w:rPr>
                <w:rFonts w:cs="Arial" w:ascii="Arial" w:hAnsi="Arial"/>
                <w:color w:val="00000A"/>
                <w:sz w:val="20"/>
                <w:szCs w:val="22"/>
              </w:rPr>
              <w:t xml:space="preserve"> Barcelona: Ariel, 2012.</w:t>
            </w:r>
          </w:p>
          <w:p>
            <w:pPr>
              <w:pStyle w:val="Normal"/>
              <w:spacing w:before="0" w:after="0"/>
              <w:jc w:val="both"/>
              <w:rPr>
                <w:rFonts w:ascii="Arial" w:hAnsi="Arial" w:cs="Arial"/>
                <w:b/>
                <w:b/>
              </w:rPr>
            </w:pPr>
            <w:r>
              <w:rPr>
                <w:rFonts w:cs="Arial" w:ascii="Arial" w:hAnsi="Arial"/>
                <w:sz w:val="20"/>
              </w:rPr>
              <w:t>CUNHA, Manuela Carneiro da Cunha (org). </w:t>
            </w:r>
            <w:r>
              <w:rPr>
                <w:rFonts w:cs="Arial" w:ascii="Arial" w:hAnsi="Arial"/>
                <w:i/>
                <w:sz w:val="20"/>
              </w:rPr>
              <w:t>História dos índios do Brasil.</w:t>
            </w:r>
            <w:r>
              <w:rPr>
                <w:rFonts w:cs="Arial" w:ascii="Arial" w:hAnsi="Arial"/>
                <w:sz w:val="20"/>
              </w:rPr>
              <w:t xml:space="preserve"> São Paulo: Cia das Letras, 2009.</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lang w:val="es-ES"/>
              </w:rPr>
            </w:pPr>
            <w:r>
              <w:rPr>
                <w:rFonts w:cs="Arial" w:ascii="Arial" w:hAnsi="Arial"/>
                <w:color w:val="00000A"/>
                <w:sz w:val="20"/>
                <w:szCs w:val="22"/>
              </w:rPr>
              <w:t xml:space="preserve">BONILLA, Heraclio (org). </w:t>
            </w:r>
            <w:r>
              <w:rPr>
                <w:rFonts w:cs="Arial" w:ascii="Arial" w:hAnsi="Arial"/>
                <w:i/>
                <w:color w:val="00000A"/>
                <w:sz w:val="20"/>
                <w:szCs w:val="22"/>
              </w:rPr>
              <w:t>Os Conquistados</w:t>
            </w:r>
            <w:r>
              <w:rPr>
                <w:rFonts w:cs="Arial" w:ascii="Arial" w:hAnsi="Arial"/>
                <w:color w:val="00000A"/>
                <w:sz w:val="20"/>
                <w:szCs w:val="22"/>
              </w:rPr>
              <w:t xml:space="preserve">: 1492 e a população indígena das Américas. </w:t>
            </w:r>
            <w:r>
              <w:rPr>
                <w:rFonts w:cs="Arial" w:ascii="Arial" w:hAnsi="Arial"/>
                <w:color w:val="00000A"/>
                <w:sz w:val="20"/>
                <w:szCs w:val="22"/>
                <w:lang w:val="es-ES"/>
              </w:rPr>
              <w:t>São Paulo: Hucitec, 2006.</w:t>
            </w:r>
          </w:p>
          <w:p>
            <w:pPr>
              <w:pStyle w:val="Padro"/>
              <w:spacing w:lineRule="auto" w:line="240" w:before="0" w:after="0"/>
              <w:jc w:val="both"/>
              <w:rPr>
                <w:rFonts w:ascii="Arial" w:hAnsi="Arial" w:cs="Arial"/>
                <w:color w:val="00000A"/>
                <w:sz w:val="20"/>
                <w:szCs w:val="22"/>
                <w:lang w:val="es-ES"/>
              </w:rPr>
            </w:pPr>
            <w:r>
              <w:rPr>
                <w:rFonts w:cs="Arial" w:ascii="Arial" w:hAnsi="Arial"/>
                <w:color w:val="00000A"/>
                <w:sz w:val="20"/>
                <w:szCs w:val="22"/>
                <w:lang w:val="es-ES"/>
              </w:rPr>
              <w:t xml:space="preserve">GARAVAGLIA, Juan Carlos; MARCHENA, Juan. </w:t>
            </w:r>
            <w:r>
              <w:rPr>
                <w:rFonts w:cs="Arial" w:ascii="Arial" w:hAnsi="Arial"/>
                <w:i/>
                <w:color w:val="00000A"/>
                <w:sz w:val="20"/>
                <w:szCs w:val="22"/>
                <w:lang w:val="es-ES"/>
              </w:rPr>
              <w:t>América Latina de los Orígenes a la Independencia.</w:t>
            </w:r>
            <w:r>
              <w:rPr>
                <w:rFonts w:cs="Arial" w:ascii="Arial" w:hAnsi="Arial"/>
                <w:color w:val="00000A"/>
                <w:sz w:val="20"/>
                <w:szCs w:val="22"/>
                <w:lang w:val="es-ES"/>
              </w:rPr>
              <w:t xml:space="preserve"> Vol. I: América Precolombina y la consolidación del espacio colonial. Barcelona: Crítica, 2005.</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lang w:val="es-ES"/>
              </w:rPr>
              <w:t xml:space="preserve">LIENHARD, Martin (org). </w:t>
            </w:r>
            <w:r>
              <w:rPr>
                <w:rFonts w:cs="Arial" w:ascii="Arial" w:hAnsi="Arial"/>
                <w:i/>
                <w:color w:val="00000A"/>
                <w:sz w:val="20"/>
                <w:szCs w:val="22"/>
                <w:lang w:val="es-ES"/>
              </w:rPr>
              <w:t>Testimonios, cartas y manifiestos indígenas:</w:t>
            </w:r>
            <w:r>
              <w:rPr>
                <w:rFonts w:cs="Arial" w:ascii="Arial" w:hAnsi="Arial"/>
                <w:color w:val="00000A"/>
                <w:sz w:val="20"/>
                <w:szCs w:val="22"/>
                <w:lang w:val="es-ES"/>
              </w:rPr>
              <w:t xml:space="preserve"> desde la conquista hasta comienzos del siglo XX. </w:t>
            </w:r>
            <w:r>
              <w:rPr>
                <w:rFonts w:cs="Arial" w:ascii="Arial" w:hAnsi="Arial"/>
                <w:color w:val="00000A"/>
                <w:sz w:val="20"/>
                <w:szCs w:val="22"/>
              </w:rPr>
              <w:t>Caracas: Biblioteca Ayacucho, 1992.</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MONTEIRO, John Manuel. </w:t>
            </w:r>
            <w:r>
              <w:rPr>
                <w:rFonts w:cs="Arial" w:ascii="Arial" w:hAnsi="Arial"/>
                <w:i/>
                <w:color w:val="00000A"/>
                <w:sz w:val="20"/>
                <w:szCs w:val="22"/>
              </w:rPr>
              <w:t>Negros da terra.</w:t>
            </w:r>
            <w:r>
              <w:rPr>
                <w:rFonts w:cs="Arial" w:ascii="Arial" w:hAnsi="Arial"/>
                <w:color w:val="00000A"/>
                <w:sz w:val="20"/>
                <w:szCs w:val="22"/>
              </w:rPr>
              <w:t xml:space="preserve"> São Paulo: Cia. das Letras, 1995.</w:t>
            </w:r>
          </w:p>
          <w:p>
            <w:pPr>
              <w:pStyle w:val="Normal"/>
              <w:spacing w:before="0" w:after="0"/>
              <w:jc w:val="both"/>
              <w:rPr>
                <w:rFonts w:ascii="Arial" w:hAnsi="Arial" w:cs="Arial"/>
                <w:b/>
                <w:b/>
              </w:rPr>
            </w:pPr>
            <w:r>
              <w:rPr>
                <w:rFonts w:cs="Arial" w:ascii="Arial" w:hAnsi="Arial"/>
                <w:sz w:val="20"/>
              </w:rPr>
              <w:t xml:space="preserve">SILVA, A. L., GRUPIONI, L. D. B. (org). A </w:t>
            </w:r>
            <w:r>
              <w:rPr>
                <w:rFonts w:cs="Arial" w:ascii="Arial" w:hAnsi="Arial"/>
                <w:i/>
                <w:sz w:val="20"/>
              </w:rPr>
              <w:t>temática indígena na escola:</w:t>
            </w:r>
            <w:r>
              <w:rPr>
                <w:rFonts w:cs="Arial" w:ascii="Arial" w:hAnsi="Arial"/>
                <w:sz w:val="20"/>
              </w:rPr>
              <w:t xml:space="preserve"> novos subsídios para professores de 1º e 2º graus. Brasília: MEC/MARI/UNESCO, 1995.</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Unidade Curricular:</w:t>
            </w:r>
            <w:r>
              <w:rPr>
                <w:rFonts w:cs="Arial" w:ascii="Arial" w:hAnsi="Arial"/>
              </w:rPr>
              <w:t xml:space="preserve">  </w:t>
            </w:r>
            <w:r>
              <w:rPr>
                <w:rFonts w:cs="Arial" w:ascii="Arial" w:hAnsi="Arial"/>
                <w:b/>
                <w:u w:val="single"/>
              </w:rPr>
              <w:t>História Medieval</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Período:</w:t>
            </w:r>
            <w:r>
              <w:rPr>
                <w:rFonts w:cs="Arial" w:ascii="Arial" w:hAnsi="Arial"/>
              </w:rPr>
              <w:t xml:space="preserve"> 2º</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w:t>
            </w:r>
            <w:r>
              <w:rPr>
                <w:rFonts w:eastAsia="Calibri" w:cs="Arial" w:ascii="Arial" w:hAnsi="Arial"/>
              </w:rPr>
              <w:t>Debate historiográfico do termo "Idade Média" e sua vulgarização. A Antiguidade Tardia e a expansão do Cristianismo.  A formação dos Reinos romano-germânicos. O Império Bizantino. Surgimento e expansão do Islamismo. A “reforma gregoriana” e os debates em torno do Ano Mil. Cavalaria e Cruzadas. Ordens monásticas e Filosofia Medieval. A Baixa Idade Média.</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BARTHÉLEMY, Dominique. </w:t>
            </w:r>
            <w:r>
              <w:rPr>
                <w:rFonts w:eastAsia="Calibri" w:cs="Arial" w:ascii="Arial" w:hAnsi="Arial"/>
                <w:i/>
                <w:color w:val="00000A"/>
                <w:sz w:val="20"/>
                <w:szCs w:val="22"/>
              </w:rPr>
              <w:t>A cavalaria</w:t>
            </w:r>
            <w:r>
              <w:rPr>
                <w:rFonts w:eastAsia="Calibri" w:cs="Arial" w:ascii="Arial" w:hAnsi="Arial"/>
                <w:color w:val="00000A"/>
                <w:sz w:val="20"/>
                <w:szCs w:val="22"/>
              </w:rPr>
              <w:t>. Da Germânia antiga à França do século XII. Capinas: Ed. Unicamp, 2011.</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CROSSAN, John Dominic. </w:t>
            </w:r>
            <w:r>
              <w:rPr>
                <w:rFonts w:eastAsia="Calibri" w:cs="Arial" w:ascii="Arial" w:hAnsi="Arial"/>
                <w:i/>
                <w:color w:val="00000A"/>
                <w:sz w:val="20"/>
                <w:szCs w:val="22"/>
              </w:rPr>
              <w:t>O nascimento do Cristianismo</w:t>
            </w:r>
            <w:r>
              <w:rPr>
                <w:rFonts w:eastAsia="Calibri" w:cs="Arial" w:ascii="Arial" w:hAnsi="Arial"/>
                <w:color w:val="00000A"/>
                <w:sz w:val="20"/>
                <w:szCs w:val="22"/>
              </w:rPr>
              <w:t xml:space="preserve">. São Paulo: Paulinas, 2004. </w:t>
            </w:r>
          </w:p>
          <w:p>
            <w:pPr>
              <w:pStyle w:val="Normal"/>
              <w:spacing w:before="0" w:after="0"/>
              <w:jc w:val="both"/>
              <w:rPr>
                <w:rFonts w:ascii="Arial" w:hAnsi="Arial" w:cs="Arial"/>
                <w:b/>
                <w:b/>
              </w:rPr>
            </w:pPr>
            <w:r>
              <w:rPr>
                <w:rFonts w:eastAsia="Calibri" w:cs="Arial" w:ascii="Arial" w:hAnsi="Arial"/>
                <w:sz w:val="20"/>
              </w:rPr>
              <w:t xml:space="preserve">GEARY, Patrick. </w:t>
            </w:r>
            <w:r>
              <w:rPr>
                <w:rFonts w:eastAsia="Calibri" w:cs="Arial" w:ascii="Arial" w:hAnsi="Arial"/>
                <w:i/>
                <w:sz w:val="20"/>
              </w:rPr>
              <w:t>O mito das nações</w:t>
            </w:r>
            <w:r>
              <w:rPr>
                <w:rFonts w:eastAsia="Calibri" w:cs="Arial" w:ascii="Arial" w:hAnsi="Arial"/>
                <w:sz w:val="20"/>
              </w:rPr>
              <w:t>. A invenção do nacionalismo. São Paulo: Conrad, 2005.</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DEMURGER, Alain. </w:t>
            </w:r>
            <w:r>
              <w:rPr>
                <w:rFonts w:eastAsia="Calibri" w:cs="Arial" w:ascii="Arial" w:hAnsi="Arial"/>
                <w:i/>
                <w:color w:val="00000A"/>
                <w:sz w:val="20"/>
                <w:szCs w:val="22"/>
              </w:rPr>
              <w:t>Os cavaleiros de Cristo</w:t>
            </w:r>
            <w:r>
              <w:rPr>
                <w:rFonts w:eastAsia="Calibri" w:cs="Arial" w:ascii="Arial" w:hAnsi="Arial"/>
                <w:color w:val="00000A"/>
                <w:sz w:val="20"/>
                <w:szCs w:val="22"/>
              </w:rPr>
              <w:t>. Templários, Teutônicos, Hospitalários e outras ordens militares na Idade Média. Rio de Janeiro: Zahar, 2002.</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HOURANI, Albert. </w:t>
            </w:r>
            <w:r>
              <w:rPr>
                <w:rFonts w:eastAsia="Calibri" w:cs="Arial" w:ascii="Arial" w:hAnsi="Arial"/>
                <w:i/>
                <w:color w:val="00000A"/>
                <w:sz w:val="20"/>
                <w:szCs w:val="22"/>
              </w:rPr>
              <w:t>Uma História dos povos árabes</w:t>
            </w:r>
            <w:r>
              <w:rPr>
                <w:rFonts w:eastAsia="Calibri" w:cs="Arial" w:ascii="Arial" w:hAnsi="Arial"/>
                <w:color w:val="00000A"/>
                <w:sz w:val="20"/>
                <w:szCs w:val="22"/>
              </w:rPr>
              <w:t>. São Paulo: Companhia das Letras, 2006.</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lang w:val="fr-BE"/>
              </w:rPr>
              <w:t xml:space="preserve">LE GOFF, Jacques ; SCHMITT, Jean Claude (org). </w:t>
            </w:r>
            <w:r>
              <w:rPr>
                <w:rFonts w:eastAsia="Calibri" w:cs="Arial" w:ascii="Arial" w:hAnsi="Arial"/>
                <w:i/>
                <w:color w:val="00000A"/>
                <w:sz w:val="20"/>
                <w:szCs w:val="22"/>
              </w:rPr>
              <w:t>Dicionário temático do Ocidente Medieval</w:t>
            </w:r>
            <w:r>
              <w:rPr>
                <w:rFonts w:eastAsia="Calibri" w:cs="Arial" w:ascii="Arial" w:hAnsi="Arial"/>
                <w:color w:val="00000A"/>
                <w:sz w:val="20"/>
                <w:szCs w:val="22"/>
              </w:rPr>
              <w:t>. Bauru: EDUSC, 2002. 2 v.</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RUST, Leandro D. </w:t>
            </w:r>
            <w:r>
              <w:rPr>
                <w:rFonts w:eastAsia="Calibri" w:cs="Arial" w:ascii="Arial" w:hAnsi="Arial"/>
                <w:i/>
                <w:color w:val="00000A"/>
                <w:sz w:val="20"/>
                <w:szCs w:val="22"/>
              </w:rPr>
              <w:t>A Reforma Papal (1050-1150).</w:t>
            </w:r>
            <w:r>
              <w:rPr>
                <w:rFonts w:eastAsia="Calibri" w:cs="Arial" w:ascii="Arial" w:hAnsi="Arial"/>
                <w:color w:val="00000A"/>
                <w:sz w:val="20"/>
                <w:szCs w:val="22"/>
              </w:rPr>
              <w:t xml:space="preserve"> Trajetórias e críticas de uma história. Cuiabá: EdUFTM, 2013.</w:t>
            </w:r>
          </w:p>
          <w:p>
            <w:pPr>
              <w:pStyle w:val="Normal"/>
              <w:spacing w:before="0" w:after="0"/>
              <w:jc w:val="both"/>
              <w:rPr>
                <w:rFonts w:ascii="Arial" w:hAnsi="Arial" w:cs="Arial"/>
                <w:b/>
                <w:b/>
              </w:rPr>
            </w:pPr>
            <w:r>
              <w:rPr>
                <w:rFonts w:eastAsia="Calibri" w:cs="Arial" w:ascii="Arial" w:hAnsi="Arial"/>
                <w:sz w:val="20"/>
              </w:rPr>
              <w:t xml:space="preserve">VEYNE, Paul. </w:t>
            </w:r>
            <w:r>
              <w:rPr>
                <w:rFonts w:eastAsia="Calibri" w:cs="Arial" w:ascii="Arial" w:hAnsi="Arial"/>
                <w:i/>
                <w:sz w:val="20"/>
              </w:rPr>
              <w:t>Quando o nosso mundo se tornou Cristão</w:t>
            </w:r>
            <w:r>
              <w:rPr>
                <w:rFonts w:eastAsia="Calibri" w:cs="Arial" w:ascii="Arial" w:hAnsi="Arial"/>
                <w:sz w:val="20"/>
              </w:rPr>
              <w:t>? Lisboa: Texto e Grafia, 2009.</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rPr>
              <w:t xml:space="preserve">  </w:t>
            </w:r>
            <w:r>
              <w:rPr>
                <w:rFonts w:cs="Arial" w:ascii="Arial" w:hAnsi="Arial"/>
                <w:b/>
                <w:u w:val="single"/>
              </w:rPr>
              <w:t>História Moderna</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Período:</w:t>
            </w:r>
            <w:r>
              <w:rPr>
                <w:rFonts w:cs="Arial" w:ascii="Arial" w:hAnsi="Arial"/>
              </w:rPr>
              <w:t xml:space="preserve"> 3º</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 e 15 h/a práticas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w:t>
            </w:r>
            <w:r>
              <w:rPr>
                <w:rFonts w:eastAsia="Calibri" w:cs="Arial" w:ascii="Arial" w:hAnsi="Arial"/>
              </w:rPr>
              <w:t>Transformações da sociedade europeia entre os séculos XVI e XVIII. Debate historiográfico sobre o processo de transição da sociedade feudal para a sociedade capitalista. Estudo de movimentos filosófico-culturais: Imprensa, Humanismo, Renascimento, Reformas Religiosas e Ilustração. A crise do século XVII. As Revoluções Inglesas e a Revolução Industrial. A formação dos Estados modernos e a crise do Antigo Regime. Prática do ensino de história e do campo historiográfico.</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ANDERSON. Perry. </w:t>
            </w:r>
            <w:r>
              <w:rPr>
                <w:rFonts w:eastAsia="Calibri" w:cs="Arial" w:ascii="Arial" w:hAnsi="Arial"/>
                <w:i/>
                <w:color w:val="00000A"/>
                <w:sz w:val="20"/>
                <w:szCs w:val="22"/>
              </w:rPr>
              <w:t>Linhagens do Estado Absolutista</w:t>
            </w:r>
            <w:r>
              <w:rPr>
                <w:rFonts w:eastAsia="Calibri" w:cs="Arial" w:ascii="Arial" w:hAnsi="Arial"/>
                <w:color w:val="00000A"/>
                <w:sz w:val="20"/>
                <w:szCs w:val="22"/>
              </w:rPr>
              <w:t>. 3. ed. São Paulo: Brasiliense, 1998.</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BRAUDEL, Fernand. </w:t>
            </w:r>
            <w:r>
              <w:rPr>
                <w:rFonts w:eastAsia="Calibri" w:cs="Arial" w:ascii="Arial" w:hAnsi="Arial"/>
                <w:i/>
                <w:color w:val="00000A"/>
                <w:sz w:val="20"/>
                <w:szCs w:val="22"/>
              </w:rPr>
              <w:t>Civilização material, economia e capitalismo: séculos XV-XVIII</w:t>
            </w:r>
            <w:r>
              <w:rPr>
                <w:rFonts w:eastAsia="Calibri" w:cs="Arial" w:ascii="Arial" w:hAnsi="Arial"/>
                <w:color w:val="00000A"/>
                <w:sz w:val="20"/>
                <w:szCs w:val="22"/>
              </w:rPr>
              <w:t>. 3 vols. São Paulo: Martins Fontes, 1995b (v. 1), 1996a (v. 2), 1996b (v. 3).</w:t>
            </w:r>
          </w:p>
          <w:p>
            <w:pPr>
              <w:pStyle w:val="Padro"/>
              <w:spacing w:lineRule="auto" w:line="240" w:before="0" w:after="0"/>
              <w:jc w:val="both"/>
              <w:rPr>
                <w:rFonts w:ascii="Arial" w:hAnsi="Arial" w:eastAsia="Calibri" w:cs="Arial"/>
                <w:color w:val="00000A"/>
                <w:sz w:val="22"/>
                <w:szCs w:val="22"/>
                <w:lang w:val="es-ES"/>
              </w:rPr>
            </w:pPr>
            <w:r>
              <w:rPr>
                <w:rFonts w:eastAsia="Calibri" w:cs="Arial" w:ascii="Arial" w:hAnsi="Arial"/>
                <w:color w:val="00000A"/>
                <w:sz w:val="20"/>
                <w:szCs w:val="22"/>
                <w:lang w:val="es-ES"/>
              </w:rPr>
              <w:t xml:space="preserve">FLORISTÁN, Alfredo (Coord.) </w:t>
            </w:r>
            <w:r>
              <w:rPr>
                <w:rFonts w:eastAsia="Calibri" w:cs="Arial" w:ascii="Arial" w:hAnsi="Arial"/>
                <w:i/>
                <w:color w:val="00000A"/>
                <w:sz w:val="20"/>
                <w:szCs w:val="22"/>
                <w:lang w:val="es-ES"/>
              </w:rPr>
              <w:t>Historia Moderna Universal.</w:t>
            </w:r>
            <w:r>
              <w:rPr>
                <w:rFonts w:eastAsia="Calibri" w:cs="Arial" w:ascii="Arial" w:hAnsi="Arial"/>
                <w:color w:val="00000A"/>
                <w:sz w:val="20"/>
                <w:szCs w:val="22"/>
                <w:lang w:val="es-ES"/>
              </w:rPr>
              <w:t xml:space="preserve"> Barcelona: Ariel, 2015.</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lang w:val="fr-BE"/>
              </w:rPr>
              <w:t xml:space="preserve">ARIÈS, Philippe; CHARTIER, Roger (org). </w:t>
            </w:r>
            <w:r>
              <w:rPr>
                <w:rFonts w:eastAsia="Calibri" w:cs="Arial" w:ascii="Arial" w:hAnsi="Arial"/>
                <w:i/>
                <w:color w:val="00000A"/>
                <w:sz w:val="20"/>
                <w:szCs w:val="22"/>
              </w:rPr>
              <w:t>História da Vida Privada</w:t>
            </w:r>
            <w:r>
              <w:rPr>
                <w:rFonts w:eastAsia="Calibri" w:cs="Arial" w:ascii="Arial" w:hAnsi="Arial"/>
                <w:color w:val="00000A"/>
                <w:sz w:val="20"/>
                <w:szCs w:val="22"/>
                <w:u w:val="single"/>
              </w:rPr>
              <w:t>:</w:t>
            </w:r>
            <w:r>
              <w:rPr>
                <w:rFonts w:eastAsia="Calibri" w:cs="Arial" w:ascii="Arial" w:hAnsi="Arial"/>
                <w:color w:val="00000A"/>
                <w:sz w:val="20"/>
                <w:szCs w:val="22"/>
              </w:rPr>
              <w:t xml:space="preserve"> da Renascença ao Século das Luzes. (vol. 3). São Paulo: Companhia das Letras, 2009.</w:t>
            </w:r>
          </w:p>
          <w:p>
            <w:pPr>
              <w:pStyle w:val="Padro"/>
              <w:spacing w:lineRule="auto" w:line="240" w:before="0" w:after="0"/>
              <w:jc w:val="both"/>
              <w:rPr>
                <w:rFonts w:ascii="Arial" w:hAnsi="Arial" w:cs="Arial"/>
                <w:color w:val="00000A"/>
                <w:sz w:val="20"/>
                <w:szCs w:val="22"/>
              </w:rPr>
            </w:pPr>
            <w:r>
              <w:rPr>
                <w:rFonts w:eastAsia="Calibri" w:cs="Arial" w:ascii="Arial" w:hAnsi="Arial"/>
                <w:iCs/>
                <w:color w:val="00000A"/>
                <w:sz w:val="20"/>
                <w:szCs w:val="22"/>
              </w:rPr>
              <w:t xml:space="preserve">ELIAS, Norbert. </w:t>
            </w:r>
            <w:r>
              <w:rPr>
                <w:rFonts w:eastAsia="Calibri" w:cs="Arial" w:ascii="Arial" w:hAnsi="Arial"/>
                <w:i/>
                <w:iCs/>
                <w:color w:val="00000A"/>
                <w:sz w:val="20"/>
                <w:szCs w:val="22"/>
              </w:rPr>
              <w:t>A Sociedade de corte</w:t>
            </w:r>
            <w:r>
              <w:rPr>
                <w:rFonts w:eastAsia="Calibri" w:cs="Arial" w:ascii="Arial" w:hAnsi="Arial"/>
                <w:color w:val="00000A"/>
                <w:sz w:val="20"/>
                <w:szCs w:val="22"/>
              </w:rPr>
              <w:t>. Rio de Janeiro: J. Zahar, 2001.</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KARNAL, Leandro (org). </w:t>
            </w:r>
            <w:r>
              <w:rPr>
                <w:rFonts w:eastAsia="Calibri" w:cs="Arial" w:ascii="Arial" w:hAnsi="Arial"/>
                <w:i/>
                <w:color w:val="00000A"/>
                <w:sz w:val="20"/>
                <w:szCs w:val="22"/>
              </w:rPr>
              <w:t>História na Sala de Aula</w:t>
            </w:r>
            <w:r>
              <w:rPr>
                <w:rFonts w:eastAsia="Calibri" w:cs="Arial" w:ascii="Arial" w:hAnsi="Arial"/>
                <w:color w:val="00000A"/>
                <w:sz w:val="20"/>
                <w:szCs w:val="22"/>
              </w:rPr>
              <w:t>: conceitos, práticas e propostas. São Paulo: Contexto, 2012. Pp. 127-142.</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MICELI, Paulo. </w:t>
            </w:r>
            <w:r>
              <w:rPr>
                <w:rFonts w:eastAsia="Calibri" w:cs="Arial" w:ascii="Arial" w:hAnsi="Arial"/>
                <w:i/>
                <w:color w:val="00000A"/>
                <w:sz w:val="20"/>
                <w:szCs w:val="22"/>
              </w:rPr>
              <w:t>História Moderna</w:t>
            </w:r>
            <w:r>
              <w:rPr>
                <w:rFonts w:eastAsia="Calibri" w:cs="Arial" w:ascii="Arial" w:hAnsi="Arial"/>
                <w:color w:val="00000A"/>
                <w:sz w:val="20"/>
                <w:szCs w:val="22"/>
              </w:rPr>
              <w:t>. São Paulo: Contexto, 2013.</w:t>
            </w:r>
          </w:p>
          <w:p>
            <w:pPr>
              <w:pStyle w:val="Normal"/>
              <w:spacing w:before="0" w:after="0"/>
              <w:jc w:val="both"/>
              <w:rPr>
                <w:rFonts w:ascii="Arial" w:hAnsi="Arial" w:cs="Arial"/>
                <w:b/>
                <w:b/>
              </w:rPr>
            </w:pPr>
            <w:r>
              <w:rPr>
                <w:rFonts w:eastAsia="Calibri" w:cs="Arial" w:ascii="Arial" w:hAnsi="Arial"/>
                <w:sz w:val="20"/>
              </w:rPr>
              <w:t xml:space="preserve">WOOD, Ellen Meiksins. </w:t>
            </w:r>
            <w:r>
              <w:rPr>
                <w:rFonts w:eastAsia="Calibri" w:cs="Arial" w:ascii="Arial" w:hAnsi="Arial"/>
                <w:i/>
                <w:sz w:val="20"/>
              </w:rPr>
              <w:t>A Origem do Capitalismo.</w:t>
            </w:r>
            <w:r>
              <w:rPr>
                <w:rFonts w:eastAsia="Calibri" w:cs="Arial" w:ascii="Arial" w:hAnsi="Arial"/>
                <w:sz w:val="20"/>
              </w:rPr>
              <w:t xml:space="preserve"> Rio de Janeiro: Jorge Zahar Editor, 2001.</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Unidade Curricular:</w:t>
            </w:r>
            <w:r>
              <w:rPr>
                <w:rFonts w:cs="Arial" w:ascii="Arial" w:hAnsi="Arial"/>
              </w:rPr>
              <w:t xml:space="preserve">  </w:t>
            </w:r>
            <w:r>
              <w:rPr>
                <w:rFonts w:cs="Arial" w:ascii="Arial" w:hAnsi="Arial"/>
                <w:b/>
                <w:u w:val="single"/>
              </w:rPr>
              <w:t>Metodologia da Pesquisa Histórica</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Período:</w:t>
            </w:r>
            <w:r>
              <w:rPr>
                <w:rFonts w:cs="Arial" w:ascii="Arial" w:hAnsi="Arial"/>
              </w:rPr>
              <w:t xml:space="preserve"> 3º</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A pesquisa científica: fundamentos epistemológicos. Metodologias da pesquisa em História. Elaboração, normalização e formatação de projetos de pesquisa. Os diferentes gêneros textuais da sistematização científica (artigo, monografia, relatório, resumo, etc.). Elaboração de projeto de pesquisa em História.</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BARROS, José D’Assunção. </w:t>
            </w:r>
            <w:r>
              <w:rPr>
                <w:rFonts w:cs="Arial" w:ascii="Arial" w:hAnsi="Arial"/>
                <w:i/>
                <w:color w:val="00000A"/>
                <w:sz w:val="20"/>
                <w:szCs w:val="22"/>
              </w:rPr>
              <w:t>O projeto de pesquisa em História</w:t>
            </w:r>
            <w:r>
              <w:rPr>
                <w:rFonts w:cs="Arial" w:ascii="Arial" w:hAnsi="Arial"/>
                <w:color w:val="00000A"/>
                <w:sz w:val="20"/>
                <w:szCs w:val="22"/>
              </w:rPr>
              <w:t>. Da escolha do tema ao quadro teórico. Petrópolis: Vozes, 2005.</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DEMO, Pedro. </w:t>
            </w:r>
            <w:r>
              <w:rPr>
                <w:rFonts w:cs="Arial" w:ascii="Arial" w:hAnsi="Arial"/>
                <w:bCs/>
                <w:i/>
                <w:color w:val="00000A"/>
                <w:sz w:val="20"/>
                <w:szCs w:val="22"/>
              </w:rPr>
              <w:t xml:space="preserve">Pesquisa: </w:t>
            </w:r>
            <w:r>
              <w:rPr>
                <w:rFonts w:cs="Arial" w:ascii="Arial" w:hAnsi="Arial"/>
                <w:bCs/>
                <w:color w:val="00000A"/>
                <w:sz w:val="20"/>
                <w:szCs w:val="22"/>
              </w:rPr>
              <w:t>princípio científico e educativo</w:t>
            </w:r>
            <w:r>
              <w:rPr>
                <w:rFonts w:cs="Arial" w:ascii="Arial" w:hAnsi="Arial"/>
                <w:color w:val="00000A"/>
                <w:sz w:val="20"/>
                <w:szCs w:val="22"/>
              </w:rPr>
              <w:t>. São Paulo: Cortez, 2001.</w:t>
            </w:r>
          </w:p>
          <w:p>
            <w:pPr>
              <w:pStyle w:val="Normal"/>
              <w:spacing w:before="0" w:after="0"/>
              <w:jc w:val="both"/>
              <w:rPr>
                <w:rFonts w:ascii="Arial" w:hAnsi="Arial" w:cs="Arial"/>
                <w:b/>
                <w:b/>
              </w:rPr>
            </w:pPr>
            <w:r>
              <w:rPr>
                <w:rFonts w:cs="Arial" w:ascii="Arial" w:hAnsi="Arial"/>
                <w:sz w:val="20"/>
              </w:rPr>
              <w:t xml:space="preserve">SAMPIERI, Roberto Hernandez; COLLADO, Carlos Fernández; LUCIO, Maria del Pilar Baptista. </w:t>
            </w:r>
            <w:r>
              <w:rPr>
                <w:rFonts w:cs="Arial" w:ascii="Arial" w:hAnsi="Arial"/>
                <w:i/>
                <w:sz w:val="20"/>
              </w:rPr>
              <w:t>Metodologia de pesquisa</w:t>
            </w:r>
            <w:r>
              <w:rPr>
                <w:rFonts w:cs="Arial" w:ascii="Arial" w:hAnsi="Arial"/>
                <w:sz w:val="20"/>
              </w:rPr>
              <w:t>. 5. ed. Porto Alegre: AMGH, 2013.</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BASSANEZI, Carla Pinsky (org). </w:t>
            </w:r>
            <w:r>
              <w:rPr>
                <w:rFonts w:cs="Arial" w:ascii="Arial" w:hAnsi="Arial"/>
                <w:i/>
                <w:color w:val="00000A"/>
                <w:sz w:val="20"/>
                <w:szCs w:val="22"/>
              </w:rPr>
              <w:t>Fontes históricas</w:t>
            </w:r>
            <w:r>
              <w:rPr>
                <w:rFonts w:cs="Arial" w:ascii="Arial" w:hAnsi="Arial"/>
                <w:color w:val="00000A"/>
                <w:sz w:val="20"/>
                <w:szCs w:val="22"/>
              </w:rPr>
              <w:t>. São Paulo: Contexto, 2005.</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BASSANEZI, Carla Pinsky; LUCA, Tânia Regina de. (org). </w:t>
            </w:r>
            <w:r>
              <w:rPr>
                <w:rFonts w:cs="Arial" w:ascii="Arial" w:hAnsi="Arial"/>
                <w:i/>
                <w:color w:val="00000A"/>
                <w:sz w:val="20"/>
                <w:szCs w:val="22"/>
              </w:rPr>
              <w:t>O historiador e suas fontes</w:t>
            </w:r>
            <w:r>
              <w:rPr>
                <w:rFonts w:cs="Arial" w:ascii="Arial" w:hAnsi="Arial"/>
                <w:color w:val="00000A"/>
                <w:sz w:val="20"/>
                <w:szCs w:val="22"/>
              </w:rPr>
              <w:t>. São Paulo: Contexto, 2005.</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CARDOSO, Ciro Flamarion, VAINFAS, Ronaldo (Orgs.). </w:t>
            </w:r>
            <w:r>
              <w:rPr>
                <w:rFonts w:cs="Arial" w:ascii="Arial" w:hAnsi="Arial"/>
                <w:i/>
                <w:iCs/>
                <w:color w:val="00000A"/>
                <w:sz w:val="20"/>
                <w:szCs w:val="22"/>
              </w:rPr>
              <w:t xml:space="preserve">Novos domínios da História. </w:t>
            </w:r>
            <w:r>
              <w:rPr>
                <w:rFonts w:cs="Arial" w:ascii="Arial" w:hAnsi="Arial"/>
                <w:color w:val="00000A"/>
                <w:sz w:val="20"/>
                <w:szCs w:val="22"/>
              </w:rPr>
              <w:t>Rio de Janeiro: Elsevier, 2012.</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CARDOSO, Ciro F.; VAINFAS, Ronaldo (Orgs.). </w:t>
            </w:r>
            <w:r>
              <w:rPr>
                <w:rFonts w:eastAsia="Calibri" w:cs="Arial" w:ascii="Arial" w:hAnsi="Arial"/>
                <w:i/>
                <w:color w:val="00000A"/>
                <w:sz w:val="20"/>
                <w:szCs w:val="22"/>
              </w:rPr>
              <w:t>Domínios da História</w:t>
            </w:r>
            <w:r>
              <w:rPr>
                <w:rFonts w:eastAsia="Calibri" w:cs="Arial" w:ascii="Arial" w:hAnsi="Arial"/>
                <w:color w:val="00000A"/>
                <w:sz w:val="20"/>
                <w:szCs w:val="22"/>
              </w:rPr>
              <w:t>. Ensaios de teoria e metodologia. RJ: Campus, 1997.</w:t>
            </w:r>
          </w:p>
          <w:p>
            <w:pPr>
              <w:pStyle w:val="Normal"/>
              <w:spacing w:before="0" w:after="0"/>
              <w:jc w:val="both"/>
              <w:rPr>
                <w:rFonts w:ascii="Arial" w:hAnsi="Arial" w:cs="Arial"/>
                <w:b/>
                <w:b/>
              </w:rPr>
            </w:pPr>
            <w:r>
              <w:rPr>
                <w:rFonts w:cs="Arial" w:ascii="Arial" w:hAnsi="Arial"/>
                <w:sz w:val="20"/>
              </w:rPr>
              <w:t xml:space="preserve">MEDEIROS, João Bosco. </w:t>
            </w:r>
            <w:r>
              <w:rPr>
                <w:rFonts w:cs="Arial" w:ascii="Arial" w:hAnsi="Arial"/>
                <w:bCs/>
                <w:i/>
                <w:sz w:val="20"/>
              </w:rPr>
              <w:t>Redação científica; a prática de fichamentos, resumos, resenhas</w:t>
            </w:r>
            <w:r>
              <w:rPr>
                <w:rFonts w:cs="Arial" w:ascii="Arial" w:hAnsi="Arial"/>
                <w:sz w:val="20"/>
              </w:rPr>
              <w:t>. 6. ed. São Paulo: Atlas, 2004.</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Unidade Curricular:</w:t>
            </w:r>
            <w:r>
              <w:rPr>
                <w:rFonts w:cs="Arial" w:ascii="Arial" w:hAnsi="Arial"/>
              </w:rPr>
              <w:t xml:space="preserve">  </w:t>
            </w:r>
            <w:r>
              <w:rPr>
                <w:rFonts w:cs="Arial" w:ascii="Arial" w:hAnsi="Arial"/>
                <w:b/>
                <w:u w:val="single"/>
              </w:rPr>
              <w:t>Teoria da História</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Período:</w:t>
            </w:r>
            <w:r>
              <w:rPr>
                <w:rFonts w:cs="Arial" w:ascii="Arial" w:hAnsi="Arial"/>
              </w:rPr>
              <w:t xml:space="preserve"> 3º</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Epistemologia da História. Filosofias de História. Teorias de História e interpretação do processo histórico na modernidade ocidental. Escolas históricas dos séculos XIX-XXI; vertentes teóricas.</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BOURDÉ, G.; MARTIN, H. </w:t>
            </w:r>
            <w:r>
              <w:rPr>
                <w:rFonts w:cs="Arial" w:ascii="Arial" w:hAnsi="Arial"/>
                <w:i/>
                <w:color w:val="00000A"/>
                <w:sz w:val="20"/>
                <w:szCs w:val="22"/>
              </w:rPr>
              <w:t>As escolas históricas</w:t>
            </w:r>
            <w:r>
              <w:rPr>
                <w:rFonts w:cs="Arial" w:ascii="Arial" w:hAnsi="Arial"/>
                <w:color w:val="00000A"/>
                <w:sz w:val="20"/>
                <w:szCs w:val="22"/>
              </w:rPr>
              <w:t>. Martins, Portugal: Publicações Europa-América, 1990.</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MALERBA, Jurandir (org). </w:t>
            </w:r>
            <w:r>
              <w:rPr>
                <w:rFonts w:cs="Arial" w:ascii="Arial" w:hAnsi="Arial"/>
                <w:i/>
                <w:color w:val="00000A"/>
                <w:sz w:val="20"/>
                <w:szCs w:val="22"/>
              </w:rPr>
              <w:t>A História escrita</w:t>
            </w:r>
            <w:r>
              <w:rPr>
                <w:rFonts w:cs="Arial" w:ascii="Arial" w:hAnsi="Arial"/>
                <w:color w:val="00000A"/>
                <w:sz w:val="20"/>
                <w:szCs w:val="22"/>
              </w:rPr>
              <w:t>: teoria e história da historiografia. São Paulo: Contexto, 2006.</w:t>
            </w:r>
          </w:p>
          <w:p>
            <w:pPr>
              <w:pStyle w:val="Normal"/>
              <w:spacing w:before="0" w:after="0"/>
              <w:jc w:val="both"/>
              <w:rPr>
                <w:rFonts w:ascii="Arial" w:hAnsi="Arial" w:cs="Arial"/>
                <w:b/>
                <w:b/>
              </w:rPr>
            </w:pPr>
            <w:r>
              <w:rPr>
                <w:rFonts w:cs="Arial" w:ascii="Arial" w:hAnsi="Arial"/>
                <w:bCs/>
                <w:sz w:val="20"/>
                <w:shd w:fill="FFFFFF" w:val="clear"/>
              </w:rPr>
              <w:t>REIS, José Carlos.</w:t>
            </w:r>
            <w:r>
              <w:rPr>
                <w:rStyle w:val="Appleconvertedspace"/>
                <w:rFonts w:cs="Arial" w:ascii="Arial" w:hAnsi="Arial"/>
                <w:bCs/>
                <w:sz w:val="20"/>
                <w:shd w:fill="FFFFFF" w:val="clear"/>
              </w:rPr>
              <w:t> </w:t>
            </w:r>
            <w:r>
              <w:rPr>
                <w:rFonts w:cs="Arial" w:ascii="Arial" w:hAnsi="Arial"/>
                <w:bCs/>
                <w:i/>
                <w:iCs/>
                <w:sz w:val="20"/>
                <w:shd w:fill="FFFFFF" w:val="clear"/>
              </w:rPr>
              <w:t>História e Teoria. Historicismo, Modernidade, Temporalidade e Verdade</w:t>
            </w:r>
            <w:r>
              <w:rPr>
                <w:rFonts w:cs="Arial" w:ascii="Arial" w:hAnsi="Arial"/>
                <w:bCs/>
                <w:sz w:val="20"/>
                <w:shd w:fill="FFFFFF" w:val="clear"/>
              </w:rPr>
              <w:t>. 3. ed. Rio de Janeiro: ed. FGV, 2006.</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tabs>
                <w:tab w:val="left" w:pos="708" w:leader="none"/>
                <w:tab w:val="left" w:pos="7790" w:leader="none"/>
              </w:tabs>
              <w:spacing w:lineRule="auto" w:line="240" w:before="0" w:after="0"/>
              <w:jc w:val="both"/>
              <w:rPr>
                <w:rFonts w:ascii="Arial" w:hAnsi="Arial" w:cs="Arial"/>
                <w:color w:val="00000A"/>
                <w:sz w:val="20"/>
                <w:szCs w:val="22"/>
              </w:rPr>
            </w:pPr>
            <w:r>
              <w:rPr>
                <w:rFonts w:cs="Arial" w:ascii="Arial" w:hAnsi="Arial"/>
                <w:color w:val="00000A"/>
                <w:sz w:val="20"/>
                <w:szCs w:val="22"/>
              </w:rPr>
              <w:t xml:space="preserve">BURKE, Peter. </w:t>
            </w:r>
            <w:r>
              <w:rPr>
                <w:rFonts w:cs="Arial" w:ascii="Arial" w:hAnsi="Arial"/>
                <w:i/>
                <w:color w:val="00000A"/>
                <w:sz w:val="20"/>
                <w:szCs w:val="22"/>
              </w:rPr>
              <w:t>História e teoria social</w:t>
            </w:r>
            <w:r>
              <w:rPr>
                <w:rFonts w:cs="Arial" w:ascii="Arial" w:hAnsi="Arial"/>
                <w:color w:val="00000A"/>
                <w:sz w:val="20"/>
                <w:szCs w:val="22"/>
              </w:rPr>
              <w:t>. São Paulo: Editora da UNESP, 2011.</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COLLINGWOOD, R.G. A </w:t>
            </w:r>
            <w:r>
              <w:rPr>
                <w:rFonts w:cs="Arial" w:ascii="Arial" w:hAnsi="Arial"/>
                <w:i/>
                <w:iCs/>
                <w:color w:val="00000A"/>
                <w:sz w:val="20"/>
                <w:szCs w:val="22"/>
              </w:rPr>
              <w:t>idéia da História</w:t>
            </w:r>
            <w:r>
              <w:rPr>
                <w:rFonts w:cs="Arial" w:ascii="Arial" w:hAnsi="Arial"/>
                <w:color w:val="00000A"/>
                <w:sz w:val="20"/>
                <w:szCs w:val="22"/>
              </w:rPr>
              <w:t>. 9. ed. Portugal: Presença, 2001.</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GARDINER, Patrick. </w:t>
            </w:r>
            <w:r>
              <w:rPr>
                <w:rFonts w:cs="Arial" w:ascii="Arial" w:hAnsi="Arial"/>
                <w:i/>
                <w:iCs/>
                <w:color w:val="00000A"/>
                <w:sz w:val="20"/>
                <w:szCs w:val="22"/>
              </w:rPr>
              <w:t xml:space="preserve">Teorias da História. </w:t>
            </w:r>
            <w:r>
              <w:rPr>
                <w:rFonts w:cs="Arial" w:ascii="Arial" w:hAnsi="Arial"/>
                <w:color w:val="00000A"/>
                <w:sz w:val="20"/>
                <w:szCs w:val="22"/>
              </w:rPr>
              <w:t>Lisboa: Fundação Calouste Gulbenkian, 2008.</w:t>
            </w:r>
          </w:p>
          <w:p>
            <w:pPr>
              <w:pStyle w:val="Padro"/>
              <w:spacing w:lineRule="auto" w:line="240" w:before="0" w:after="0"/>
              <w:jc w:val="both"/>
              <w:rPr>
                <w:rFonts w:ascii="Arial" w:hAnsi="Arial" w:cs="Arial"/>
                <w:color w:val="00000A"/>
                <w:sz w:val="20"/>
                <w:szCs w:val="22"/>
              </w:rPr>
            </w:pPr>
            <w:r>
              <w:rPr>
                <w:rFonts w:cs="Arial" w:ascii="Arial" w:hAnsi="Arial"/>
                <w:i/>
                <w:iCs/>
                <w:color w:val="00000A"/>
                <w:sz w:val="20"/>
                <w:szCs w:val="22"/>
              </w:rPr>
              <w:t>FONTANA, Josep. A história dos homens</w:t>
            </w:r>
            <w:r>
              <w:rPr>
                <w:rFonts w:cs="Arial" w:ascii="Arial" w:hAnsi="Arial"/>
                <w:color w:val="00000A"/>
                <w:sz w:val="20"/>
                <w:szCs w:val="22"/>
              </w:rPr>
              <w:t xml:space="preserve">. Bauru: EDUSC, 2001. </w:t>
            </w:r>
          </w:p>
          <w:p>
            <w:pPr>
              <w:pStyle w:val="Normal"/>
              <w:spacing w:before="0" w:after="0"/>
              <w:jc w:val="both"/>
              <w:rPr>
                <w:rFonts w:ascii="Arial" w:hAnsi="Arial" w:cs="Arial"/>
                <w:b/>
                <w:b/>
              </w:rPr>
            </w:pPr>
            <w:r>
              <w:rPr>
                <w:rFonts w:cs="Arial" w:ascii="Arial" w:hAnsi="Arial"/>
                <w:sz w:val="20"/>
              </w:rPr>
              <w:t xml:space="preserve">MARTINS, Estevão de Rezende (org). </w:t>
            </w:r>
            <w:r>
              <w:rPr>
                <w:rFonts w:cs="Arial" w:ascii="Arial" w:hAnsi="Arial"/>
                <w:i/>
                <w:sz w:val="20"/>
              </w:rPr>
              <w:t>A história pensada</w:t>
            </w:r>
            <w:r>
              <w:rPr>
                <w:rFonts w:cs="Arial" w:ascii="Arial" w:hAnsi="Arial"/>
                <w:sz w:val="20"/>
              </w:rPr>
              <w:t>. Teoria e método na historiografia europeia do século XIX. São Paulo: Contexto, 2010.</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Unidade Curricular:</w:t>
            </w:r>
            <w:r>
              <w:rPr>
                <w:rFonts w:cs="Arial" w:ascii="Arial" w:hAnsi="Arial"/>
              </w:rPr>
              <w:t xml:space="preserve">  </w:t>
            </w:r>
            <w:r>
              <w:rPr>
                <w:rFonts w:eastAsia="Times New Roman" w:cs="Arial" w:ascii="Arial" w:hAnsi="Arial"/>
                <w:b/>
                <w:u w:val="single"/>
                <w:lang w:eastAsia="pt-BR"/>
              </w:rPr>
              <w:t>História da América Colonial</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Período:</w:t>
            </w:r>
            <w:r>
              <w:rPr>
                <w:rFonts w:cs="Arial" w:ascii="Arial" w:hAnsi="Arial"/>
              </w:rPr>
              <w:t xml:space="preserve"> 4º</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 e 15 h/a práticas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Conquista da América e historiografia. Análise dos aspectos sociais, econômicos, políticos e culturais da América Colonial. </w:t>
            </w:r>
            <w:r>
              <w:rPr>
                <w:rFonts w:eastAsia="Calibri" w:cs="Arial" w:ascii="Arial" w:hAnsi="Arial"/>
              </w:rPr>
              <w:t>Prática do ensino de história e do campo historiográfico.</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Bibliografia Básica:</w:t>
            </w:r>
          </w:p>
          <w:p>
            <w:pPr>
              <w:pStyle w:val="Normal"/>
              <w:tabs>
                <w:tab w:val="left" w:pos="708" w:leader="none"/>
              </w:tabs>
              <w:suppressAutoHyphens w:val="true"/>
              <w:spacing w:lineRule="auto" w:line="240" w:before="0" w:after="0"/>
              <w:jc w:val="both"/>
              <w:rPr>
                <w:rFonts w:ascii="Arial" w:hAnsi="Arial" w:eastAsia="Times New Roman" w:cs="Arial"/>
                <w:sz w:val="20"/>
                <w:lang w:eastAsia="pt-BR"/>
              </w:rPr>
            </w:pPr>
            <w:r>
              <w:rPr>
                <w:rFonts w:eastAsia="Calibri" w:cs="Arial" w:ascii="Arial" w:hAnsi="Arial"/>
                <w:sz w:val="20"/>
                <w:lang w:eastAsia="pt-BR"/>
              </w:rPr>
              <w:t xml:space="preserve">BETHEL, Leslie (org). </w:t>
            </w:r>
            <w:r>
              <w:rPr>
                <w:rFonts w:eastAsia="Calibri" w:cs="Arial" w:ascii="Arial" w:hAnsi="Arial"/>
                <w:i/>
                <w:sz w:val="20"/>
                <w:lang w:eastAsia="pt-BR"/>
              </w:rPr>
              <w:t>História da América Latina</w:t>
            </w:r>
            <w:r>
              <w:rPr>
                <w:rFonts w:eastAsia="Calibri" w:cs="Arial" w:ascii="Arial" w:hAnsi="Arial"/>
                <w:sz w:val="20"/>
                <w:lang w:eastAsia="pt-BR"/>
              </w:rPr>
              <w:t>: A América Latina Colonial. São Paulo: Editora da USP; Brasília, Fundação Alexandre Gusmão, 1999, 2v.</w:t>
            </w:r>
          </w:p>
          <w:p>
            <w:pPr>
              <w:pStyle w:val="Normal"/>
              <w:tabs>
                <w:tab w:val="left" w:pos="708" w:leader="none"/>
              </w:tabs>
              <w:suppressAutoHyphens w:val="true"/>
              <w:spacing w:lineRule="auto" w:line="240" w:before="0" w:after="0"/>
              <w:jc w:val="both"/>
              <w:rPr>
                <w:rFonts w:ascii="Arial" w:hAnsi="Arial" w:eastAsia="Calibri" w:cs="Arial"/>
                <w:sz w:val="20"/>
                <w:lang w:val="es-ES" w:eastAsia="pt-BR"/>
              </w:rPr>
            </w:pPr>
            <w:r>
              <w:rPr>
                <w:rFonts w:eastAsia="Calibri" w:cs="Arial" w:ascii="Arial" w:hAnsi="Arial"/>
                <w:sz w:val="20"/>
                <w:lang w:val="es-ES" w:eastAsia="pt-BR"/>
              </w:rPr>
              <w:t xml:space="preserve">CARREDANO, Juan B. Amores. [Coord.] </w:t>
            </w:r>
            <w:r>
              <w:rPr>
                <w:rFonts w:eastAsia="Calibri" w:cs="Arial" w:ascii="Arial" w:hAnsi="Arial"/>
                <w:i/>
                <w:sz w:val="20"/>
                <w:lang w:val="es-ES" w:eastAsia="pt-BR"/>
              </w:rPr>
              <w:t>Historia de América</w:t>
            </w:r>
            <w:r>
              <w:rPr>
                <w:rFonts w:eastAsia="Calibri" w:cs="Arial" w:ascii="Arial" w:hAnsi="Arial"/>
                <w:sz w:val="20"/>
                <w:lang w:val="es-ES" w:eastAsia="pt-BR"/>
              </w:rPr>
              <w:t>. Barcelona: Ariel, 2012.</w:t>
            </w:r>
          </w:p>
          <w:p>
            <w:pPr>
              <w:pStyle w:val="Normal"/>
              <w:spacing w:lineRule="auto" w:line="240" w:before="0" w:after="0"/>
              <w:jc w:val="both"/>
              <w:rPr>
                <w:rFonts w:ascii="Arial" w:hAnsi="Arial" w:cs="Arial"/>
                <w:b/>
                <w:b/>
              </w:rPr>
            </w:pPr>
            <w:r>
              <w:rPr>
                <w:rFonts w:eastAsia="Calibri" w:cs="Arial" w:ascii="Arial" w:hAnsi="Arial"/>
                <w:sz w:val="20"/>
                <w:lang w:val="es-ES" w:eastAsia="pt-BR"/>
              </w:rPr>
              <w:t xml:space="preserve">GARAVAGLIA, Juan Carlos; MARCHENA, Juan. </w:t>
            </w:r>
            <w:r>
              <w:rPr>
                <w:rFonts w:eastAsia="Calibri" w:cs="Arial" w:ascii="Arial" w:hAnsi="Arial"/>
                <w:i/>
                <w:sz w:val="20"/>
                <w:lang w:val="es-ES" w:eastAsia="pt-BR"/>
              </w:rPr>
              <w:t>América Latina de los Orígenes a la Independencia</w:t>
            </w:r>
            <w:r>
              <w:rPr>
                <w:rFonts w:eastAsia="Calibri" w:cs="Arial" w:ascii="Arial" w:hAnsi="Arial"/>
                <w:sz w:val="20"/>
                <w:lang w:val="es-ES" w:eastAsia="pt-BR"/>
              </w:rPr>
              <w:t>. Vol. I: América Precolombina y la consolidación del espacio colonial. Barcelona: Crítica, 2005.</w:t>
            </w:r>
          </w:p>
        </w:tc>
      </w:tr>
      <w:tr>
        <w:trPr/>
        <w:tc>
          <w:tcPr>
            <w:tcW w:w="8494" w:type="dxa"/>
            <w:tcBorders>
              <w:top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Bibliografia Complementar:</w:t>
            </w:r>
          </w:p>
          <w:p>
            <w:pPr>
              <w:pStyle w:val="Normal"/>
              <w:tabs>
                <w:tab w:val="left" w:pos="708" w:leader="none"/>
              </w:tabs>
              <w:suppressAutoHyphens w:val="true"/>
              <w:spacing w:lineRule="auto" w:line="240" w:before="0" w:after="0"/>
              <w:jc w:val="both"/>
              <w:rPr>
                <w:rFonts w:ascii="Arial" w:hAnsi="Arial" w:eastAsia="Times New Roman" w:cs="Arial"/>
                <w:sz w:val="20"/>
                <w:lang w:eastAsia="pt-BR"/>
              </w:rPr>
            </w:pPr>
            <w:r>
              <w:rPr>
                <w:rFonts w:eastAsia="Calibri" w:cs="Arial" w:ascii="Arial" w:hAnsi="Arial"/>
                <w:sz w:val="20"/>
                <w:lang w:eastAsia="pt-BR"/>
              </w:rPr>
              <w:t xml:space="preserve">O’GORMAN. Edmundo. </w:t>
            </w:r>
            <w:r>
              <w:rPr>
                <w:rFonts w:eastAsia="Calibri" w:cs="Arial" w:ascii="Arial" w:hAnsi="Arial"/>
                <w:i/>
                <w:sz w:val="20"/>
                <w:lang w:eastAsia="pt-BR"/>
              </w:rPr>
              <w:t>A invenção da América</w:t>
            </w:r>
            <w:r>
              <w:rPr>
                <w:rFonts w:eastAsia="Calibri" w:cs="Arial" w:ascii="Arial" w:hAnsi="Arial"/>
                <w:sz w:val="20"/>
                <w:lang w:eastAsia="pt-BR"/>
              </w:rPr>
              <w:t>: reflexão a respeito da estrutura histórica do Novo Mundo e do sentido do seu devir. São Paulo: Unesp, 1992.</w:t>
            </w:r>
          </w:p>
          <w:p>
            <w:pPr>
              <w:pStyle w:val="Normal"/>
              <w:tabs>
                <w:tab w:val="left" w:pos="708" w:leader="none"/>
              </w:tabs>
              <w:suppressAutoHyphens w:val="true"/>
              <w:spacing w:lineRule="auto" w:line="240" w:before="0" w:after="0"/>
              <w:jc w:val="both"/>
              <w:rPr>
                <w:rFonts w:ascii="Arial" w:hAnsi="Arial" w:eastAsia="Calibri" w:cs="Arial"/>
                <w:sz w:val="20"/>
                <w:lang w:eastAsia="pt-BR"/>
              </w:rPr>
            </w:pPr>
            <w:r>
              <w:rPr>
                <w:rFonts w:eastAsia="Calibri" w:cs="Arial" w:ascii="Arial" w:hAnsi="Arial"/>
                <w:sz w:val="20"/>
                <w:lang w:eastAsia="pt-BR"/>
              </w:rPr>
              <w:t xml:space="preserve">RAMINELLI, Ronald. </w:t>
            </w:r>
            <w:r>
              <w:rPr>
                <w:rFonts w:eastAsia="Calibri" w:cs="Arial" w:ascii="Arial" w:hAnsi="Arial"/>
                <w:i/>
                <w:sz w:val="20"/>
                <w:lang w:eastAsia="pt-BR"/>
              </w:rPr>
              <w:t>A Era das Conquistas</w:t>
            </w:r>
            <w:r>
              <w:rPr>
                <w:rFonts w:eastAsia="Calibri" w:cs="Arial" w:ascii="Arial" w:hAnsi="Arial"/>
                <w:sz w:val="20"/>
                <w:lang w:eastAsia="pt-BR"/>
              </w:rPr>
              <w:t>: América espanhola, séculos XVI e XVII. Rio de Janeiro: FGV, 2013.</w:t>
            </w:r>
          </w:p>
          <w:p>
            <w:pPr>
              <w:pStyle w:val="Normal"/>
              <w:tabs>
                <w:tab w:val="left" w:pos="708" w:leader="none"/>
              </w:tabs>
              <w:suppressAutoHyphens w:val="true"/>
              <w:spacing w:lineRule="auto" w:line="240" w:before="0" w:after="0"/>
              <w:jc w:val="both"/>
              <w:rPr>
                <w:rFonts w:ascii="Arial" w:hAnsi="Arial" w:eastAsia="Times New Roman" w:cs="Arial"/>
                <w:sz w:val="20"/>
                <w:lang w:eastAsia="pt-BR"/>
              </w:rPr>
            </w:pPr>
            <w:r>
              <w:rPr>
                <w:rFonts w:eastAsia="Times New Roman" w:cs="Arial" w:ascii="Arial" w:hAnsi="Arial"/>
                <w:sz w:val="20"/>
                <w:lang w:eastAsia="pt-BR"/>
              </w:rPr>
              <w:t xml:space="preserve">SCHWARTZ, Stuart B &amp; LOCKHART, James. </w:t>
            </w:r>
            <w:r>
              <w:rPr>
                <w:rFonts w:eastAsia="Times New Roman" w:cs="Arial" w:ascii="Arial" w:hAnsi="Arial"/>
                <w:i/>
                <w:sz w:val="20"/>
                <w:lang w:eastAsia="pt-BR"/>
              </w:rPr>
              <w:t>A América Latina na época colonial</w:t>
            </w:r>
            <w:r>
              <w:rPr>
                <w:rFonts w:eastAsia="Times New Roman" w:cs="Arial" w:ascii="Arial" w:hAnsi="Arial"/>
                <w:sz w:val="20"/>
                <w:lang w:eastAsia="pt-BR"/>
              </w:rPr>
              <w:t>. Rio de Janeiro: Civilização Brasileira, 2002.</w:t>
            </w:r>
          </w:p>
          <w:p>
            <w:pPr>
              <w:pStyle w:val="Normal"/>
              <w:tabs>
                <w:tab w:val="left" w:pos="708" w:leader="none"/>
              </w:tabs>
              <w:suppressAutoHyphens w:val="true"/>
              <w:spacing w:lineRule="auto" w:line="240" w:before="0" w:after="0"/>
              <w:jc w:val="both"/>
              <w:rPr>
                <w:rFonts w:ascii="Arial" w:hAnsi="Arial" w:eastAsia="Times New Roman" w:cs="Arial"/>
                <w:sz w:val="20"/>
                <w:lang w:eastAsia="pt-BR"/>
              </w:rPr>
            </w:pPr>
            <w:r>
              <w:rPr>
                <w:rFonts w:eastAsia="Calibri" w:cs="Arial" w:ascii="Arial" w:hAnsi="Arial"/>
                <w:sz w:val="20"/>
                <w:lang w:eastAsia="pt-BR"/>
              </w:rPr>
              <w:t xml:space="preserve">TODOROV, Tzvetan. </w:t>
            </w:r>
            <w:r>
              <w:rPr>
                <w:rFonts w:eastAsia="Calibri" w:cs="Arial" w:ascii="Arial" w:hAnsi="Arial"/>
                <w:i/>
                <w:sz w:val="20"/>
                <w:lang w:eastAsia="pt-BR"/>
              </w:rPr>
              <w:t>A Conquista da América</w:t>
            </w:r>
            <w:r>
              <w:rPr>
                <w:rFonts w:eastAsia="Calibri" w:cs="Arial" w:ascii="Arial" w:hAnsi="Arial"/>
                <w:sz w:val="20"/>
                <w:lang w:eastAsia="pt-BR"/>
              </w:rPr>
              <w:t>. São Paulo: Martins Fontes: 1991.</w:t>
            </w:r>
          </w:p>
          <w:p>
            <w:pPr>
              <w:pStyle w:val="Normal"/>
              <w:spacing w:lineRule="auto" w:line="240" w:before="0" w:after="0"/>
              <w:jc w:val="both"/>
              <w:rPr>
                <w:rFonts w:ascii="Arial" w:hAnsi="Arial" w:cs="Arial"/>
                <w:b/>
                <w:b/>
              </w:rPr>
            </w:pPr>
            <w:r>
              <w:rPr>
                <w:rFonts w:eastAsia="Calibri" w:cs="Arial" w:ascii="Arial" w:hAnsi="Arial"/>
                <w:sz w:val="20"/>
                <w:lang w:eastAsia="pt-BR"/>
              </w:rPr>
              <w:t xml:space="preserve">WASSERMANN, Claudia (Coord.) </w:t>
            </w:r>
            <w:r>
              <w:rPr>
                <w:rFonts w:eastAsia="Calibri" w:cs="Arial" w:ascii="Arial" w:hAnsi="Arial"/>
                <w:i/>
                <w:sz w:val="20"/>
                <w:lang w:eastAsia="pt-BR"/>
              </w:rPr>
              <w:t>História da América Latina</w:t>
            </w:r>
            <w:r>
              <w:rPr>
                <w:rFonts w:eastAsia="Calibri" w:cs="Arial" w:ascii="Arial" w:hAnsi="Arial"/>
                <w:sz w:val="20"/>
                <w:u w:val="single"/>
                <w:lang w:eastAsia="pt-BR"/>
              </w:rPr>
              <w:t>:</w:t>
            </w:r>
            <w:r>
              <w:rPr>
                <w:rFonts w:eastAsia="Calibri" w:cs="Arial" w:ascii="Arial" w:hAnsi="Arial"/>
                <w:sz w:val="20"/>
                <w:lang w:eastAsia="pt-BR"/>
              </w:rPr>
              <w:t xml:space="preserve"> Cinco Séculos. Porto Alegre: Editora da Universidade/UFRGS, 2000.</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rHeight w:val="6745" w:hRule="atLeast"/>
        </w:trPr>
        <w:tc>
          <w:tcPr>
            <w:tcW w:w="8494" w:type="dxa"/>
            <w:tcBorders/>
            <w:shd w:fill="auto" w:val="clear"/>
            <w:tcMar>
              <w:left w:w="108" w:type="dxa"/>
            </w:tcMar>
          </w:tcPr>
          <w:p>
            <w:pPr>
              <w:pStyle w:val="Normal"/>
              <w:spacing w:before="0" w:after="0"/>
              <w:jc w:val="both"/>
              <w:rPr>
                <w:rFonts w:ascii="Arial" w:hAnsi="Arial" w:cs="Arial"/>
                <w:b/>
                <w:b/>
                <w:u w:val="single"/>
              </w:rPr>
            </w:pPr>
            <w:r>
              <w:rPr>
                <w:rFonts w:cs="Arial" w:ascii="Arial" w:hAnsi="Arial"/>
                <w:b/>
              </w:rPr>
              <w:t>Unidade Curricular:</w:t>
            </w:r>
            <w:r>
              <w:rPr>
                <w:rFonts w:cs="Arial" w:ascii="Arial" w:hAnsi="Arial"/>
              </w:rPr>
              <w:t xml:space="preserve">  </w:t>
            </w:r>
            <w:r>
              <w:rPr>
                <w:rFonts w:cs="Arial" w:ascii="Arial" w:hAnsi="Arial"/>
                <w:b/>
                <w:u w:val="single"/>
              </w:rPr>
              <w:t>História da América Portuguesa</w:t>
            </w:r>
          </w:p>
          <w:p>
            <w:pPr>
              <w:pStyle w:val="Normal"/>
              <w:spacing w:before="0" w:after="0"/>
              <w:jc w:val="both"/>
              <w:rPr>
                <w:rFonts w:ascii="Arial" w:hAnsi="Arial" w:cs="Arial"/>
              </w:rPr>
            </w:pPr>
            <w:r>
              <w:rPr>
                <w:rFonts w:cs="Arial" w:ascii="Arial" w:hAnsi="Arial"/>
                <w:b/>
              </w:rPr>
              <w:t>Período:</w:t>
            </w:r>
            <w:r>
              <w:rPr>
                <w:rFonts w:cs="Arial" w:ascii="Arial" w:hAnsi="Arial"/>
              </w:rPr>
              <w:t xml:space="preserve"> 4º</w:t>
            </w:r>
          </w:p>
          <w:p>
            <w:pPr>
              <w:pStyle w:val="Normal"/>
              <w:spacing w:before="0" w:after="0"/>
              <w:jc w:val="both"/>
              <w:rPr>
                <w:rFonts w:ascii="Arial" w:hAnsi="Arial" w:cs="Arial"/>
                <w:b/>
                <w:b/>
              </w:rPr>
            </w:pPr>
            <w:r>
              <w:rPr>
                <w:rFonts w:cs="Arial" w:ascii="Arial" w:hAnsi="Arial"/>
                <w:b/>
              </w:rPr>
              <w:t xml:space="preserve">Carga Horária: </w:t>
            </w:r>
            <w:r>
              <w:rPr>
                <w:rFonts w:cs="Arial" w:ascii="Arial" w:hAnsi="Arial"/>
              </w:rPr>
              <w:t>60 h/a teóricas e 15 h/a práticas</w:t>
            </w:r>
          </w:p>
          <w:p>
            <w:pPr>
              <w:pStyle w:val="Normal"/>
              <w:spacing w:before="0" w:after="0"/>
              <w:jc w:val="both"/>
              <w:rPr>
                <w:rFonts w:ascii="Arial" w:hAnsi="Arial" w:cs="Arial"/>
                <w:b/>
                <w:b/>
              </w:rPr>
            </w:pPr>
            <w:r>
              <w:rPr>
                <w:rFonts w:cs="Arial" w:ascii="Arial" w:hAnsi="Arial"/>
                <w:b/>
              </w:rPr>
              <w:t>Ementa:</w:t>
            </w:r>
            <w:r>
              <w:rPr>
                <w:rFonts w:cs="Arial" w:ascii="Arial" w:hAnsi="Arial"/>
              </w:rPr>
              <w:t xml:space="preserve"> Conceitos e estudos para a análise da sociedade colonial. Historiografia sobre o ensino de história da América portuguesa. Expansão marítima e construção do Império luso. Grupos indígenas e ocupação do território. Igreja e religiosidade. Estrutura econômica e política colonial. A União Ibérica. Sociedade escravista e hierarquias sociais. Economia e sociedade mineira. </w:t>
            </w:r>
            <w:r>
              <w:rPr>
                <w:rFonts w:cs="Arial" w:ascii="Arial" w:hAnsi="Arial"/>
                <w:bCs/>
              </w:rPr>
              <w:t>A crise do Antigo Regime e o fim do Antigo Sistema Colonial.</w:t>
            </w:r>
            <w:r>
              <w:rPr>
                <w:rFonts w:cs="Arial" w:ascii="Arial" w:hAnsi="Arial"/>
              </w:rPr>
              <w:t xml:space="preserve"> </w:t>
            </w:r>
            <w:r>
              <w:rPr>
                <w:rFonts w:eastAsia="Calibri" w:cs="Arial" w:ascii="Arial" w:hAnsi="Arial"/>
              </w:rPr>
              <w:t>Prática do ensino de história e do campo historiográfico.</w:t>
            </w:r>
          </w:p>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ALENCASTRO, Luiz Felipe de. </w:t>
            </w:r>
            <w:r>
              <w:rPr>
                <w:rFonts w:cs="Arial" w:ascii="Arial" w:hAnsi="Arial"/>
                <w:i/>
                <w:iCs/>
                <w:color w:val="00000A"/>
                <w:sz w:val="20"/>
                <w:szCs w:val="22"/>
              </w:rPr>
              <w:t>O</w:t>
            </w:r>
            <w:r>
              <w:rPr>
                <w:rFonts w:cs="Arial" w:ascii="Arial" w:hAnsi="Arial"/>
                <w:b/>
                <w:i/>
                <w:iCs/>
                <w:color w:val="00000A"/>
                <w:sz w:val="20"/>
                <w:szCs w:val="22"/>
              </w:rPr>
              <w:t xml:space="preserve"> </w:t>
            </w:r>
            <w:r>
              <w:rPr>
                <w:rFonts w:cs="Arial" w:ascii="Arial" w:hAnsi="Arial"/>
                <w:i/>
                <w:iCs/>
                <w:color w:val="00000A"/>
                <w:sz w:val="20"/>
                <w:szCs w:val="22"/>
              </w:rPr>
              <w:t>trato dos viventes</w:t>
            </w:r>
            <w:r>
              <w:rPr>
                <w:rFonts w:cs="Arial" w:ascii="Arial" w:hAnsi="Arial"/>
                <w:iCs/>
                <w:color w:val="00000A"/>
                <w:sz w:val="20"/>
                <w:szCs w:val="22"/>
              </w:rPr>
              <w:t>: formação do Brasil no atlântico sul</w:t>
            </w:r>
            <w:r>
              <w:rPr>
                <w:rFonts w:cs="Arial" w:ascii="Arial" w:hAnsi="Arial"/>
                <w:i/>
                <w:iCs/>
                <w:color w:val="00000A"/>
                <w:sz w:val="20"/>
                <w:szCs w:val="22"/>
              </w:rPr>
              <w:t xml:space="preserve">. </w:t>
            </w:r>
            <w:r>
              <w:rPr>
                <w:rFonts w:cs="Arial" w:ascii="Arial" w:hAnsi="Arial"/>
                <w:color w:val="00000A"/>
                <w:sz w:val="20"/>
                <w:szCs w:val="22"/>
              </w:rPr>
              <w:t>São Paulo: Companhia das Letras, 2000.</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ALMEIDA, Maria Regina Celestino de. </w:t>
            </w:r>
            <w:r>
              <w:rPr>
                <w:rFonts w:cs="Arial" w:ascii="Arial" w:hAnsi="Arial"/>
                <w:i/>
                <w:iCs/>
                <w:color w:val="00000A"/>
                <w:sz w:val="20"/>
                <w:szCs w:val="22"/>
              </w:rPr>
              <w:t xml:space="preserve">Metamorfoses indígenas: </w:t>
            </w:r>
            <w:r>
              <w:rPr>
                <w:rFonts w:cs="Arial" w:ascii="Arial" w:hAnsi="Arial"/>
                <w:iCs/>
                <w:color w:val="00000A"/>
                <w:sz w:val="20"/>
                <w:szCs w:val="22"/>
              </w:rPr>
              <w:t>identidade e cultura nas aldeias coloniais do Rio de Janeiro</w:t>
            </w:r>
            <w:r>
              <w:rPr>
                <w:rFonts w:cs="Arial" w:ascii="Arial" w:hAnsi="Arial"/>
                <w:i/>
                <w:iCs/>
                <w:color w:val="00000A"/>
                <w:sz w:val="20"/>
                <w:szCs w:val="22"/>
              </w:rPr>
              <w:t>.</w:t>
            </w:r>
            <w:r>
              <w:rPr>
                <w:rFonts w:cs="Arial" w:ascii="Arial" w:hAnsi="Arial"/>
                <w:color w:val="00000A"/>
                <w:sz w:val="20"/>
                <w:szCs w:val="22"/>
              </w:rPr>
              <w:t xml:space="preserve"> Rio de Janeiro: Arquivo Nacional, 2003.</w:t>
            </w:r>
          </w:p>
          <w:p>
            <w:pPr>
              <w:pStyle w:val="Normal"/>
              <w:spacing w:before="0" w:after="0"/>
              <w:jc w:val="both"/>
              <w:rPr>
                <w:rFonts w:ascii="Arial" w:hAnsi="Arial" w:cs="Arial"/>
                <w:b/>
                <w:b/>
              </w:rPr>
            </w:pPr>
            <w:r>
              <w:rPr>
                <w:rFonts w:cs="Arial" w:ascii="Arial" w:hAnsi="Arial"/>
                <w:sz w:val="20"/>
              </w:rPr>
              <w:t xml:space="preserve">FRAGOSO João; BICALHO, Maria Fernanda; GOUVÊA, Maria de Fátima (Orgs.). </w:t>
            </w:r>
            <w:r>
              <w:rPr>
                <w:rFonts w:cs="Arial" w:ascii="Arial" w:hAnsi="Arial"/>
                <w:i/>
                <w:iCs/>
                <w:sz w:val="20"/>
              </w:rPr>
              <w:t>O Antigo Regime nos trópicos</w:t>
            </w:r>
            <w:r>
              <w:rPr>
                <w:rFonts w:cs="Arial" w:ascii="Arial" w:hAnsi="Arial"/>
                <w:sz w:val="20"/>
              </w:rPr>
              <w:t>. A dinâmica imperial portuguesa (séculos XVI-XVIII). Rio de Janeiro: Civilização Brasileira, 2001.</w:t>
            </w:r>
          </w:p>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BETHENCOURT, Francisco &amp; CHAUDHURI, Kirki (Dir.). </w:t>
            </w:r>
            <w:r>
              <w:rPr>
                <w:rFonts w:cs="Arial" w:ascii="Arial" w:hAnsi="Arial"/>
                <w:i/>
                <w:color w:val="00000A"/>
                <w:sz w:val="20"/>
                <w:szCs w:val="22"/>
              </w:rPr>
              <w:t>História da Expansão Portuguesa</w:t>
            </w:r>
            <w:r>
              <w:rPr>
                <w:rFonts w:cs="Arial" w:ascii="Arial" w:hAnsi="Arial"/>
                <w:color w:val="00000A"/>
                <w:sz w:val="20"/>
                <w:szCs w:val="22"/>
              </w:rPr>
              <w:t>. Lisboa: Círculo de Leitores, 1998. (3 volumes).</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BOXER, Charles.</w:t>
            </w:r>
            <w:r>
              <w:rPr>
                <w:rFonts w:cs="Arial" w:ascii="Arial" w:hAnsi="Arial"/>
                <w:b/>
                <w:color w:val="00000A"/>
                <w:sz w:val="20"/>
                <w:szCs w:val="22"/>
              </w:rPr>
              <w:t xml:space="preserve"> </w:t>
            </w:r>
            <w:r>
              <w:rPr>
                <w:rFonts w:cs="Arial" w:ascii="Arial" w:hAnsi="Arial"/>
                <w:i/>
                <w:color w:val="00000A"/>
                <w:sz w:val="20"/>
                <w:szCs w:val="22"/>
              </w:rPr>
              <w:t>O império colonial português</w:t>
            </w:r>
            <w:r>
              <w:rPr>
                <w:rFonts w:cs="Arial" w:ascii="Arial" w:hAnsi="Arial"/>
                <w:color w:val="00000A"/>
                <w:sz w:val="20"/>
                <w:szCs w:val="22"/>
              </w:rPr>
              <w:t xml:space="preserve"> (1415-1825). São Paulo: Companhia das Letras, 2002.</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FRAGOSO, João; GOUVÊA, Maria de Fátima (Orgs.). </w:t>
            </w:r>
            <w:r>
              <w:rPr>
                <w:rFonts w:cs="Arial" w:ascii="Arial" w:hAnsi="Arial"/>
                <w:i/>
                <w:color w:val="00000A"/>
                <w:sz w:val="20"/>
                <w:szCs w:val="22"/>
              </w:rPr>
              <w:t xml:space="preserve">O Brasil colonial. </w:t>
            </w:r>
            <w:r>
              <w:rPr>
                <w:rFonts w:cs="Arial" w:ascii="Arial" w:hAnsi="Arial"/>
                <w:color w:val="00000A"/>
                <w:sz w:val="20"/>
                <w:szCs w:val="22"/>
              </w:rPr>
              <w:t>Rio de Janeiro: Civilização Brasileira, 2014. (3 volumes).</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FURTADO, Júnia Ferreira (org). </w:t>
            </w:r>
            <w:r>
              <w:rPr>
                <w:rFonts w:cs="Arial" w:ascii="Arial" w:hAnsi="Arial"/>
                <w:i/>
                <w:color w:val="00000A"/>
                <w:sz w:val="20"/>
                <w:szCs w:val="22"/>
              </w:rPr>
              <w:t>Diálogos oceânicos:</w:t>
            </w:r>
            <w:r>
              <w:rPr>
                <w:rFonts w:cs="Arial" w:ascii="Arial" w:hAnsi="Arial"/>
                <w:color w:val="00000A"/>
                <w:sz w:val="20"/>
                <w:szCs w:val="22"/>
              </w:rPr>
              <w:t xml:space="preserve"> Minas Gerais e as novas abordagens para uma história do império ultramarino português. Belo Horizonte: Ed. UFMG, 2001.</w:t>
            </w:r>
          </w:p>
          <w:p>
            <w:pPr>
              <w:pStyle w:val="Padro"/>
              <w:spacing w:lineRule="auto" w:line="240" w:before="0" w:after="0"/>
              <w:jc w:val="both"/>
              <w:rPr>
                <w:rFonts w:ascii="Arial" w:hAnsi="Arial" w:cs="Arial"/>
                <w:b/>
                <w:b/>
              </w:rPr>
            </w:pPr>
            <w:r>
              <w:rPr>
                <w:rFonts w:cs="Arial" w:ascii="Arial" w:hAnsi="Arial"/>
                <w:color w:val="00000A"/>
                <w:sz w:val="20"/>
                <w:szCs w:val="22"/>
              </w:rPr>
              <w:t xml:space="preserve">RESENDE, Maria Efigênia Lage de; VILLALTA, Luiz Carlos (Orgs.). </w:t>
            </w:r>
            <w:r>
              <w:rPr>
                <w:rFonts w:cs="Arial" w:ascii="Arial" w:hAnsi="Arial"/>
                <w:i/>
                <w:color w:val="00000A"/>
                <w:sz w:val="20"/>
                <w:szCs w:val="22"/>
              </w:rPr>
              <w:t>História de Minas Gerais</w:t>
            </w:r>
            <w:r>
              <w:rPr>
                <w:rFonts w:cs="Arial" w:ascii="Arial" w:hAnsi="Arial"/>
                <w:color w:val="00000A"/>
                <w:sz w:val="20"/>
                <w:szCs w:val="22"/>
              </w:rPr>
              <w:t>. Belo Horizonte: Autêntica; Companhia do Tempo, 2007. (2 volumes</w:t>
            </w:r>
            <w:r>
              <w:rPr>
                <w:rFonts w:cs="Arial" w:ascii="Arial" w:hAnsi="Arial"/>
                <w:color w:val="00000A"/>
                <w:sz w:val="22"/>
              </w:rPr>
              <w:t>)</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rPr>
              <w:t xml:space="preserve">  </w:t>
            </w:r>
            <w:r>
              <w:rPr>
                <w:rFonts w:cs="Arial" w:ascii="Arial" w:hAnsi="Arial"/>
                <w:b/>
                <w:u w:val="single"/>
              </w:rPr>
              <w:t xml:space="preserve">História da América Independente </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5º</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 e 15 h/a práticas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w:t>
            </w:r>
            <w:r>
              <w:rPr>
                <w:rFonts w:eastAsia="Calibri" w:cs="Arial" w:ascii="Arial" w:hAnsi="Arial"/>
              </w:rPr>
              <w:t>A crise do sistema colonial. Estudo dos movimentos de independência na América Hispânica. A formação e organização do Estado Nacional na América Latina. O modelo oligárquico exportador. Imperialismo e capitalismo industrial: modernização das oligarquias na América Hispânica. Autoritarismo, caudilhismo, democracia e modernização. Movimentos revoltosos. Prática do ensino de história e do campo historiográfico.</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BETHEL, Leslie (org). </w:t>
            </w:r>
            <w:r>
              <w:rPr>
                <w:rFonts w:eastAsia="Calibri" w:cs="Arial" w:ascii="Arial" w:hAnsi="Arial"/>
                <w:i/>
                <w:color w:val="00000A"/>
                <w:sz w:val="20"/>
                <w:szCs w:val="22"/>
              </w:rPr>
              <w:t>História da América Latina</w:t>
            </w:r>
            <w:r>
              <w:rPr>
                <w:rFonts w:eastAsia="Calibri" w:cs="Arial" w:ascii="Arial" w:hAnsi="Arial"/>
                <w:color w:val="00000A"/>
                <w:sz w:val="20"/>
                <w:szCs w:val="22"/>
              </w:rPr>
              <w:t>: Da Independência a 1870. São Paulo: Editora da USP; Brasília, Fundação Alexandre Gusmão, 1999, 3v.</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BETHEL, Leslie (org). </w:t>
            </w:r>
            <w:r>
              <w:rPr>
                <w:rFonts w:eastAsia="Calibri" w:cs="Arial" w:ascii="Arial" w:hAnsi="Arial"/>
                <w:i/>
                <w:color w:val="00000A"/>
                <w:sz w:val="20"/>
                <w:szCs w:val="22"/>
              </w:rPr>
              <w:t>História da América Latina</w:t>
            </w:r>
            <w:r>
              <w:rPr>
                <w:rFonts w:eastAsia="Calibri" w:cs="Arial" w:ascii="Arial" w:hAnsi="Arial"/>
                <w:color w:val="00000A"/>
                <w:sz w:val="20"/>
                <w:szCs w:val="22"/>
              </w:rPr>
              <w:t>: De 1870 a 1930. São Paulo: Editora da USP; Brasília, Fundação Alexandre Gusmão, 2002, 4v e 5v.</w:t>
            </w:r>
          </w:p>
          <w:p>
            <w:pPr>
              <w:pStyle w:val="Normal"/>
              <w:spacing w:before="0" w:after="0"/>
              <w:jc w:val="both"/>
              <w:rPr>
                <w:rFonts w:ascii="Arial" w:hAnsi="Arial" w:cs="Arial"/>
                <w:b/>
                <w:b/>
              </w:rPr>
            </w:pPr>
            <w:r>
              <w:rPr>
                <w:rFonts w:eastAsia="Calibri" w:cs="Arial" w:ascii="Arial" w:hAnsi="Arial"/>
                <w:sz w:val="20"/>
                <w:lang w:val="es-ES"/>
              </w:rPr>
              <w:t xml:space="preserve">CARREDANO, Juan B. Amores. [Coord.] </w:t>
            </w:r>
            <w:r>
              <w:rPr>
                <w:rFonts w:eastAsia="Calibri" w:cs="Arial" w:ascii="Arial" w:hAnsi="Arial"/>
                <w:i/>
                <w:sz w:val="20"/>
                <w:lang w:val="es-ES"/>
              </w:rPr>
              <w:t>Historia de América</w:t>
            </w:r>
            <w:r>
              <w:rPr>
                <w:rFonts w:eastAsia="Calibri" w:cs="Arial" w:ascii="Arial" w:hAnsi="Arial"/>
                <w:sz w:val="20"/>
                <w:lang w:val="es-ES"/>
              </w:rPr>
              <w:t>. Barcelona: Ariel, 2012.</w:t>
            </w:r>
          </w:p>
        </w:tc>
      </w:tr>
      <w:tr>
        <w:trPr/>
        <w:tc>
          <w:tcPr>
            <w:tcW w:w="8494" w:type="dxa"/>
            <w:tcBorders>
              <w:top w:val="nil"/>
            </w:tcBorders>
            <w:shd w:fill="auto" w:val="clear"/>
            <w:tcMar>
              <w:left w:w="108" w:type="dxa"/>
            </w:tcMar>
          </w:tcPr>
          <w:p>
            <w:pPr>
              <w:pStyle w:val="Normal"/>
              <w:spacing w:before="0" w:after="0"/>
              <w:jc w:val="both"/>
              <w:rPr>
                <w:rFonts w:ascii="Arial" w:hAnsi="Arial" w:cs="Arial"/>
                <w:b/>
                <w:b/>
                <w:lang w:val="es-ES"/>
              </w:rPr>
            </w:pPr>
            <w:r>
              <w:rPr>
                <w:rFonts w:cs="Arial" w:ascii="Arial" w:hAnsi="Arial"/>
                <w:b/>
                <w:lang w:val="es-ES"/>
              </w:rPr>
              <w:t>Bibliografia Complementar:</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lang w:val="es-ES"/>
              </w:rPr>
              <w:t xml:space="preserve">CARMAGNANI, Marcello. </w:t>
            </w:r>
            <w:r>
              <w:rPr>
                <w:rFonts w:eastAsia="Calibri" w:cs="Arial" w:ascii="Arial" w:hAnsi="Arial"/>
                <w:i/>
                <w:color w:val="00000A"/>
                <w:sz w:val="20"/>
                <w:szCs w:val="22"/>
                <w:lang w:val="es-ES"/>
              </w:rPr>
              <w:t>Estado y Sociedad en América Latina</w:t>
            </w:r>
            <w:r>
              <w:rPr>
                <w:rFonts w:eastAsia="Calibri" w:cs="Arial" w:ascii="Arial" w:hAnsi="Arial"/>
                <w:color w:val="00000A"/>
                <w:sz w:val="20"/>
                <w:szCs w:val="22"/>
                <w:lang w:val="es-ES"/>
              </w:rPr>
              <w:t xml:space="preserve">: 1850-1930. </w:t>
            </w:r>
            <w:r>
              <w:rPr>
                <w:rFonts w:eastAsia="Calibri" w:cs="Arial" w:ascii="Arial" w:hAnsi="Arial"/>
                <w:color w:val="00000A"/>
                <w:sz w:val="20"/>
                <w:szCs w:val="22"/>
              </w:rPr>
              <w:t>Barcelona: Grijalbo, 1984.</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DONGHI, Tulio Halperin. </w:t>
            </w:r>
            <w:r>
              <w:rPr>
                <w:rFonts w:eastAsia="Calibri" w:cs="Arial" w:ascii="Arial" w:hAnsi="Arial"/>
                <w:i/>
                <w:color w:val="00000A"/>
                <w:sz w:val="20"/>
                <w:szCs w:val="22"/>
              </w:rPr>
              <w:t>História da América Latina.</w:t>
            </w:r>
            <w:r>
              <w:rPr>
                <w:rFonts w:eastAsia="Calibri" w:cs="Arial" w:ascii="Arial" w:hAnsi="Arial"/>
                <w:color w:val="00000A"/>
                <w:sz w:val="20"/>
                <w:szCs w:val="22"/>
              </w:rPr>
              <w:t xml:space="preserve"> Rio de Janeiro: Paz e Terra, 2012.</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PELLEGRINO, Gabriela; PRADO, Maria Lígia. </w:t>
            </w:r>
            <w:r>
              <w:rPr>
                <w:rFonts w:eastAsia="Calibri" w:cs="Arial" w:ascii="Arial" w:hAnsi="Arial"/>
                <w:i/>
                <w:color w:val="00000A"/>
                <w:sz w:val="20"/>
                <w:szCs w:val="22"/>
              </w:rPr>
              <w:t>História da América Latina</w:t>
            </w:r>
            <w:r>
              <w:rPr>
                <w:rFonts w:eastAsia="Calibri" w:cs="Arial" w:ascii="Arial" w:hAnsi="Arial"/>
                <w:color w:val="00000A"/>
                <w:sz w:val="20"/>
                <w:szCs w:val="22"/>
              </w:rPr>
              <w:t>. São Paulo: Contexto, 2014.</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POZO, José del. </w:t>
            </w:r>
            <w:r>
              <w:rPr>
                <w:rFonts w:eastAsia="Calibri" w:cs="Arial" w:ascii="Arial" w:hAnsi="Arial"/>
                <w:i/>
                <w:color w:val="00000A"/>
                <w:sz w:val="20"/>
                <w:szCs w:val="22"/>
              </w:rPr>
              <w:t>História da América Latina e do Caribe</w:t>
            </w:r>
            <w:r>
              <w:rPr>
                <w:rFonts w:eastAsia="Calibri" w:cs="Arial" w:ascii="Arial" w:hAnsi="Arial"/>
                <w:color w:val="00000A"/>
                <w:sz w:val="20"/>
                <w:szCs w:val="22"/>
                <w:u w:val="single"/>
              </w:rPr>
              <w:t>:</w:t>
            </w:r>
            <w:r>
              <w:rPr>
                <w:rFonts w:eastAsia="Calibri" w:cs="Arial" w:ascii="Arial" w:hAnsi="Arial"/>
                <w:color w:val="00000A"/>
                <w:sz w:val="20"/>
                <w:szCs w:val="22"/>
              </w:rPr>
              <w:t xml:space="preserve"> dos processos de Independência aos dias atuais. Rio de Janeiro: Ed. Vozes, 2002.</w:t>
            </w:r>
          </w:p>
          <w:p>
            <w:pPr>
              <w:pStyle w:val="Normal"/>
              <w:spacing w:before="0" w:after="0"/>
              <w:jc w:val="both"/>
              <w:rPr>
                <w:rFonts w:ascii="Arial" w:hAnsi="Arial" w:cs="Arial"/>
                <w:b/>
                <w:b/>
              </w:rPr>
            </w:pPr>
            <w:r>
              <w:rPr>
                <w:rFonts w:eastAsia="Calibri" w:cs="Arial" w:ascii="Arial" w:hAnsi="Arial"/>
                <w:sz w:val="20"/>
              </w:rPr>
              <w:t xml:space="preserve">PRADO, Maria Lígia. </w:t>
            </w:r>
            <w:r>
              <w:rPr>
                <w:rFonts w:eastAsia="Calibri" w:cs="Arial" w:ascii="Arial" w:hAnsi="Arial"/>
                <w:i/>
                <w:sz w:val="20"/>
              </w:rPr>
              <w:t>A Formação das Nações Latino-Americanas</w:t>
            </w:r>
            <w:r>
              <w:rPr>
                <w:rFonts w:eastAsia="Calibri" w:cs="Arial" w:ascii="Arial" w:hAnsi="Arial"/>
                <w:sz w:val="20"/>
              </w:rPr>
              <w:t>. São Paulo/Campinas, Atual/UNICAMP, 1987.</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rPr>
              <w:t xml:space="preserve">  </w:t>
            </w:r>
            <w:r>
              <w:rPr>
                <w:rFonts w:cs="Arial" w:ascii="Arial" w:hAnsi="Arial"/>
                <w:b/>
                <w:u w:val="single"/>
              </w:rPr>
              <w:t xml:space="preserve">História do Brasil Monárquico </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5º</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 e 15 h/a práticas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A crise do colonialismo e o processo de emancipação política. </w:t>
            </w:r>
            <w:r>
              <w:rPr>
                <w:rFonts w:eastAsia="Calibri" w:cs="Arial" w:ascii="Arial" w:hAnsi="Arial"/>
              </w:rPr>
              <w:t xml:space="preserve">Construção e consolidação do Estado brasileiro. Economia primário-exportadora e interprovincial. </w:t>
            </w:r>
            <w:r>
              <w:rPr>
                <w:rFonts w:cs="Arial" w:ascii="Arial" w:hAnsi="Arial"/>
              </w:rPr>
              <w:t xml:space="preserve">A sociedade e a vida cultural. </w:t>
            </w:r>
            <w:r>
              <w:rPr>
                <w:rFonts w:eastAsia="Calibri" w:cs="Arial" w:ascii="Arial" w:hAnsi="Arial"/>
              </w:rPr>
              <w:t>Conflitos provinciais e internacionais. O sistema escravista e o abolicionismo.</w:t>
            </w:r>
            <w:r>
              <w:rPr>
                <w:rFonts w:cs="Arial" w:ascii="Arial" w:hAnsi="Arial"/>
              </w:rPr>
              <w:t xml:space="preserve"> A crise do Império. </w:t>
            </w:r>
            <w:r>
              <w:rPr>
                <w:rFonts w:eastAsia="Calibri" w:cs="Arial" w:ascii="Arial" w:hAnsi="Arial"/>
              </w:rPr>
              <w:t>Prática do ensino de história e do campo historiográfico.</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lang w:eastAsia="ar-SA"/>
              </w:rPr>
              <w:t xml:space="preserve">GRINBERG, Keila; SALLES, Ricardo (Orgs.). </w:t>
            </w:r>
            <w:r>
              <w:rPr>
                <w:rFonts w:cs="Arial" w:ascii="Arial" w:hAnsi="Arial"/>
                <w:i/>
                <w:color w:val="00000A"/>
                <w:sz w:val="20"/>
                <w:szCs w:val="22"/>
                <w:lang w:eastAsia="ar-SA"/>
              </w:rPr>
              <w:t>O Brasil Imperial.</w:t>
            </w:r>
            <w:r>
              <w:rPr>
                <w:rFonts w:cs="Arial" w:ascii="Arial" w:hAnsi="Arial"/>
                <w:color w:val="00000A"/>
                <w:sz w:val="20"/>
                <w:szCs w:val="22"/>
                <w:lang w:eastAsia="ar-SA"/>
              </w:rPr>
              <w:t xml:space="preserve"> 3 vols. Rio de Janeiro, Ed. Civilização Brasileira, 2009.</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lang w:eastAsia="ar-SA"/>
              </w:rPr>
              <w:t xml:space="preserve">SALLES, Ricardo. </w:t>
            </w:r>
            <w:r>
              <w:rPr>
                <w:rFonts w:cs="Arial" w:ascii="Arial" w:hAnsi="Arial"/>
                <w:i/>
                <w:color w:val="00000A"/>
                <w:sz w:val="20"/>
                <w:szCs w:val="22"/>
                <w:lang w:eastAsia="ar-SA"/>
              </w:rPr>
              <w:t>Nostalgia Imperial:</w:t>
            </w:r>
            <w:r>
              <w:rPr>
                <w:rFonts w:cs="Arial" w:ascii="Arial" w:hAnsi="Arial"/>
                <w:color w:val="00000A"/>
                <w:sz w:val="20"/>
                <w:szCs w:val="22"/>
                <w:lang w:eastAsia="ar-SA"/>
              </w:rPr>
              <w:t xml:space="preserve"> escravidão e formação da identidade nacional no Brasil do Segundo Reinado. Rio de Janeiro: Ponteio, 2013.</w:t>
            </w:r>
          </w:p>
          <w:p>
            <w:pPr>
              <w:pStyle w:val="Normal"/>
              <w:spacing w:before="0" w:after="0"/>
              <w:jc w:val="both"/>
              <w:rPr>
                <w:rFonts w:ascii="Arial" w:hAnsi="Arial" w:cs="Arial"/>
                <w:b/>
                <w:b/>
              </w:rPr>
            </w:pPr>
            <w:r>
              <w:rPr>
                <w:rFonts w:cs="Arial" w:ascii="Arial" w:hAnsi="Arial"/>
                <w:sz w:val="20"/>
                <w:lang w:eastAsia="ar-SA"/>
              </w:rPr>
              <w:t>SCHWARCZ, Lilia Moritz; STARLING, Heloisa M.</w:t>
            </w:r>
            <w:r>
              <w:rPr>
                <w:rFonts w:cs="Arial" w:ascii="Arial" w:hAnsi="Arial"/>
                <w:i/>
                <w:iCs/>
                <w:sz w:val="20"/>
                <w:lang w:eastAsia="ar-SA"/>
              </w:rPr>
              <w:t xml:space="preserve"> Brasil:</w:t>
            </w:r>
            <w:r>
              <w:rPr>
                <w:rFonts w:cs="Arial" w:ascii="Arial" w:hAnsi="Arial"/>
                <w:iCs/>
                <w:sz w:val="20"/>
                <w:lang w:eastAsia="ar-SA"/>
              </w:rPr>
              <w:t xml:space="preserve"> Uma biografia.</w:t>
            </w:r>
            <w:r>
              <w:rPr>
                <w:rFonts w:cs="Arial" w:ascii="Arial" w:hAnsi="Arial"/>
                <w:sz w:val="20"/>
                <w:lang w:eastAsia="ar-SA"/>
              </w:rPr>
              <w:t xml:space="preserve"> São Paulo: Companhia das Letras, 2015.</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lang w:eastAsia="ar-SA"/>
              </w:rPr>
              <w:t xml:space="preserve">CARVALHO, José Murilo (Org). </w:t>
            </w:r>
            <w:r>
              <w:rPr>
                <w:rFonts w:cs="Arial" w:ascii="Arial" w:hAnsi="Arial"/>
                <w:i/>
                <w:color w:val="00000A"/>
                <w:sz w:val="20"/>
                <w:szCs w:val="22"/>
                <w:lang w:eastAsia="ar-SA"/>
              </w:rPr>
              <w:t>Nação e cidadania no Império</w:t>
            </w:r>
            <w:r>
              <w:rPr>
                <w:rFonts w:cs="Arial" w:ascii="Arial" w:hAnsi="Arial"/>
                <w:color w:val="00000A"/>
                <w:sz w:val="20"/>
                <w:szCs w:val="22"/>
                <w:lang w:eastAsia="ar-SA"/>
              </w:rPr>
              <w:t>. Novos horizontes. Rio de Janeiro: Civilização Brasileira, 2007.</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lang w:eastAsia="ar-SA"/>
              </w:rPr>
              <w:t xml:space="preserve">CARVALHO, José Murilo; NEVES, Lúcia Maria B. P. das (Orgs). </w:t>
            </w:r>
            <w:r>
              <w:rPr>
                <w:rFonts w:cs="Arial" w:ascii="Arial" w:hAnsi="Arial"/>
                <w:i/>
                <w:color w:val="00000A"/>
                <w:sz w:val="20"/>
                <w:szCs w:val="22"/>
                <w:lang w:eastAsia="ar-SA"/>
              </w:rPr>
              <w:t xml:space="preserve">Repensando o Brasil do Oitocentos: </w:t>
            </w:r>
            <w:r>
              <w:rPr>
                <w:rFonts w:cs="Arial" w:ascii="Arial" w:hAnsi="Arial"/>
                <w:color w:val="00000A"/>
                <w:sz w:val="20"/>
                <w:szCs w:val="22"/>
                <w:lang w:eastAsia="ar-SA"/>
              </w:rPr>
              <w:t>cidadania, política e liberdade. Rio de Janeiro: Civilização Brasileira, 2009.</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lang w:eastAsia="ar-SA"/>
              </w:rPr>
              <w:t xml:space="preserve">GUIMARÃES, Lúcia M Paschoal (org). </w:t>
            </w:r>
            <w:r>
              <w:rPr>
                <w:rFonts w:cs="Arial" w:ascii="Arial" w:hAnsi="Arial"/>
                <w:i/>
                <w:color w:val="00000A"/>
                <w:sz w:val="20"/>
                <w:szCs w:val="22"/>
                <w:lang w:eastAsia="ar-SA"/>
              </w:rPr>
              <w:t>Elites, fronteiras e cultura do Império do Brasil</w:t>
            </w:r>
            <w:r>
              <w:rPr>
                <w:rFonts w:cs="Arial" w:ascii="Arial" w:hAnsi="Arial"/>
                <w:color w:val="00000A"/>
                <w:sz w:val="20"/>
                <w:szCs w:val="22"/>
                <w:lang w:eastAsia="ar-SA"/>
              </w:rPr>
              <w:t xml:space="preserve">. Rio de Janeiro: Contra Capa, 2013. </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lang w:eastAsia="ar-SA"/>
              </w:rPr>
              <w:t xml:space="preserve">LUNA, Francisco Vidal; KLEIN, Herbert. </w:t>
            </w:r>
            <w:r>
              <w:rPr>
                <w:rFonts w:cs="Arial" w:ascii="Arial" w:hAnsi="Arial"/>
                <w:i/>
                <w:color w:val="00000A"/>
                <w:sz w:val="20"/>
                <w:szCs w:val="22"/>
                <w:lang w:eastAsia="ar-SA"/>
              </w:rPr>
              <w:t>Escravismo no Brasil</w:t>
            </w:r>
            <w:r>
              <w:rPr>
                <w:rFonts w:cs="Arial" w:ascii="Arial" w:hAnsi="Arial"/>
                <w:color w:val="00000A"/>
                <w:sz w:val="20"/>
                <w:szCs w:val="22"/>
                <w:lang w:eastAsia="ar-SA"/>
              </w:rPr>
              <w:t>. São Paulo: Edusp - Imprensa Oficial, 2010.</w:t>
            </w:r>
          </w:p>
          <w:p>
            <w:pPr>
              <w:pStyle w:val="Normal"/>
              <w:spacing w:before="0" w:after="0"/>
              <w:jc w:val="both"/>
              <w:rPr>
                <w:rFonts w:ascii="Arial" w:hAnsi="Arial" w:cs="Arial"/>
                <w:b/>
                <w:b/>
              </w:rPr>
            </w:pPr>
            <w:r>
              <w:rPr>
                <w:rFonts w:cs="Arial" w:ascii="Arial" w:hAnsi="Arial"/>
                <w:sz w:val="20"/>
                <w:lang w:eastAsia="ar-SA"/>
              </w:rPr>
              <w:t xml:space="preserve">SCHWARCZ, Lilia Moritz (Dir.). </w:t>
            </w:r>
            <w:r>
              <w:rPr>
                <w:rFonts w:cs="Arial" w:ascii="Arial" w:hAnsi="Arial"/>
                <w:i/>
                <w:sz w:val="20"/>
                <w:lang w:eastAsia="ar-SA"/>
              </w:rPr>
              <w:t>História do Brasil nação</w:t>
            </w:r>
            <w:r>
              <w:rPr>
                <w:rFonts w:cs="Arial" w:ascii="Arial" w:hAnsi="Arial"/>
                <w:sz w:val="20"/>
                <w:lang w:eastAsia="ar-SA"/>
              </w:rPr>
              <w:t xml:space="preserve">: 1808-2010. Vol 1. </w:t>
            </w:r>
            <w:r>
              <w:rPr>
                <w:rFonts w:cs="Arial" w:ascii="Arial" w:hAnsi="Arial"/>
                <w:i/>
                <w:sz w:val="20"/>
                <w:lang w:eastAsia="ar-SA"/>
              </w:rPr>
              <w:t>Crise colonial e independência.1808-1830.</w:t>
            </w:r>
            <w:r>
              <w:rPr>
                <w:rFonts w:cs="Arial" w:ascii="Arial" w:hAnsi="Arial"/>
                <w:sz w:val="20"/>
                <w:lang w:eastAsia="ar-SA"/>
              </w:rPr>
              <w:t xml:space="preserve"> Vol. 2. </w:t>
            </w:r>
            <w:r>
              <w:rPr>
                <w:rFonts w:cs="Arial" w:ascii="Arial" w:hAnsi="Arial"/>
                <w:i/>
                <w:sz w:val="20"/>
                <w:lang w:eastAsia="ar-SA"/>
              </w:rPr>
              <w:t xml:space="preserve">A construção nacional. 1830-1838. </w:t>
            </w:r>
            <w:r>
              <w:rPr>
                <w:rFonts w:cs="Arial" w:ascii="Arial" w:hAnsi="Arial"/>
                <w:sz w:val="20"/>
                <w:lang w:eastAsia="ar-SA"/>
              </w:rPr>
              <w:t>São Paulo: Fundación Mapfre/Objetiva, Madri/RJ, 2011 e 2012.</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rPr>
              <w:t xml:space="preserve"> </w:t>
            </w:r>
            <w:r>
              <w:rPr>
                <w:rFonts w:cs="Arial" w:ascii="Arial" w:hAnsi="Arial"/>
                <w:b/>
                <w:u w:val="single"/>
              </w:rPr>
              <w:t>Historiografia Contemporânea</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5º</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w:t>
            </w:r>
            <w:r>
              <w:rPr>
                <w:rFonts w:cs="Arial" w:ascii="Arial" w:hAnsi="Arial"/>
                <w:iCs/>
              </w:rPr>
              <w:t xml:space="preserve">Historiografia contemporânea: </w:t>
            </w:r>
            <w:r>
              <w:rPr>
                <w:rFonts w:cs="Arial" w:ascii="Arial" w:hAnsi="Arial"/>
                <w:shd w:fill="FFFFFF" w:val="clear"/>
              </w:rPr>
              <w:t>as tendências paradigmáticas dos séculos XX-XXI. T</w:t>
            </w:r>
            <w:r>
              <w:rPr>
                <w:rFonts w:cs="Arial" w:ascii="Arial" w:hAnsi="Arial"/>
                <w:iCs/>
              </w:rPr>
              <w:t>erritórios de trabalho; campos de investigação; vertentes teóricas; problemas de pesquisa; questão de método. Crítica historiográfica.</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CARDOSO, Ciro; VAINFAS, Ronaldo. </w:t>
            </w:r>
            <w:r>
              <w:rPr>
                <w:rFonts w:cs="Arial" w:ascii="Arial" w:hAnsi="Arial"/>
                <w:i/>
                <w:color w:val="00000A"/>
                <w:sz w:val="20"/>
                <w:szCs w:val="22"/>
              </w:rPr>
              <w:t>Novos domínios da história</w:t>
            </w:r>
            <w:r>
              <w:rPr>
                <w:rFonts w:cs="Arial" w:ascii="Arial" w:hAnsi="Arial"/>
                <w:color w:val="00000A"/>
                <w:sz w:val="20"/>
                <w:szCs w:val="22"/>
              </w:rPr>
              <w:t>. Rio de Janeiro: Elsevier, 2012.</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FONTANA, Josep. </w:t>
            </w:r>
            <w:r>
              <w:rPr>
                <w:rFonts w:cs="Arial" w:ascii="Arial" w:hAnsi="Arial"/>
                <w:i/>
                <w:color w:val="00000A"/>
                <w:sz w:val="20"/>
                <w:szCs w:val="22"/>
              </w:rPr>
              <w:t>História</w:t>
            </w:r>
            <w:r>
              <w:rPr>
                <w:rFonts w:cs="Arial" w:ascii="Arial" w:hAnsi="Arial"/>
                <w:color w:val="00000A"/>
                <w:sz w:val="20"/>
                <w:szCs w:val="22"/>
              </w:rPr>
              <w:t>: análise do passado e projeto social. Bauru, EDUSC, 1998.</w:t>
            </w:r>
          </w:p>
          <w:p>
            <w:pPr>
              <w:pStyle w:val="Normal"/>
              <w:spacing w:before="0" w:after="0"/>
              <w:jc w:val="both"/>
              <w:rPr>
                <w:rFonts w:ascii="Arial" w:hAnsi="Arial" w:cs="Arial"/>
                <w:b/>
                <w:b/>
              </w:rPr>
            </w:pPr>
            <w:r>
              <w:rPr>
                <w:rFonts w:cs="Arial" w:ascii="Arial" w:hAnsi="Arial"/>
                <w:sz w:val="20"/>
              </w:rPr>
              <w:t xml:space="preserve">MALERBA, J.; ROJAS, C. A. (org). </w:t>
            </w:r>
            <w:r>
              <w:rPr>
                <w:rFonts w:cs="Arial" w:ascii="Arial" w:hAnsi="Arial"/>
                <w:i/>
                <w:sz w:val="20"/>
              </w:rPr>
              <w:t>Historiografia contemporânea em perspectiva crítica</w:t>
            </w:r>
            <w:r>
              <w:rPr>
                <w:rFonts w:cs="Arial" w:ascii="Arial" w:hAnsi="Arial"/>
                <w:sz w:val="20"/>
              </w:rPr>
              <w:t>. Bauru: Edusc, 2007.</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ARRUDA, José Jobson de Andrade. </w:t>
            </w:r>
            <w:r>
              <w:rPr>
                <w:rFonts w:cs="Arial" w:ascii="Arial" w:hAnsi="Arial"/>
                <w:i/>
                <w:iCs/>
                <w:color w:val="00000A"/>
                <w:sz w:val="20"/>
                <w:szCs w:val="22"/>
              </w:rPr>
              <w:t>Historiografia: teoria e prática</w:t>
            </w:r>
            <w:r>
              <w:rPr>
                <w:rFonts w:cs="Arial" w:ascii="Arial" w:hAnsi="Arial"/>
                <w:color w:val="00000A"/>
                <w:sz w:val="20"/>
                <w:szCs w:val="22"/>
              </w:rPr>
              <w:t xml:space="preserve">. São Paulo: Alameda, 2014. </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BOUTIER, Jean; JULIA, Dominique. </w:t>
            </w:r>
            <w:r>
              <w:rPr>
                <w:rFonts w:cs="Arial" w:ascii="Arial" w:hAnsi="Arial"/>
                <w:i/>
                <w:iCs/>
                <w:color w:val="00000A"/>
                <w:sz w:val="20"/>
                <w:szCs w:val="22"/>
              </w:rPr>
              <w:t>Passados recompostos</w:t>
            </w:r>
            <w:r>
              <w:rPr>
                <w:rFonts w:cs="Arial" w:ascii="Arial" w:hAnsi="Arial"/>
                <w:color w:val="00000A"/>
                <w:sz w:val="20"/>
                <w:szCs w:val="22"/>
              </w:rPr>
              <w:t>: campos e canteiros da História. Rio de Janeiro: Ed. UFRJ/FGV, 1998.</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BURKE, Peter. </w:t>
            </w:r>
            <w:r>
              <w:rPr>
                <w:rFonts w:cs="Arial" w:ascii="Arial" w:hAnsi="Arial"/>
                <w:i/>
                <w:color w:val="00000A"/>
                <w:sz w:val="20"/>
                <w:szCs w:val="22"/>
              </w:rPr>
              <w:t>A escrita da história</w:t>
            </w:r>
            <w:r>
              <w:rPr>
                <w:rFonts w:cs="Arial" w:ascii="Arial" w:hAnsi="Arial"/>
                <w:color w:val="00000A"/>
                <w:sz w:val="20"/>
                <w:szCs w:val="22"/>
              </w:rPr>
              <w:t xml:space="preserve">: novas perspectivas. São Paulo: Editora da Unesp, 2011. </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CERTEAU, Michel de. </w:t>
            </w:r>
            <w:r>
              <w:rPr>
                <w:rFonts w:cs="Arial" w:ascii="Arial" w:hAnsi="Arial"/>
                <w:i/>
                <w:color w:val="00000A"/>
                <w:sz w:val="20"/>
                <w:szCs w:val="22"/>
              </w:rPr>
              <w:t>A escrita da história</w:t>
            </w:r>
            <w:r>
              <w:rPr>
                <w:rFonts w:cs="Arial" w:ascii="Arial" w:hAnsi="Arial"/>
                <w:color w:val="00000A"/>
                <w:sz w:val="20"/>
                <w:szCs w:val="22"/>
              </w:rPr>
              <w:t xml:space="preserve">. Trad. Maria de Lourdes Meneses. 2ª ed., Rio de Janeiro: Forense Universitária, 2006. </w:t>
            </w:r>
          </w:p>
          <w:p>
            <w:pPr>
              <w:pStyle w:val="Normal"/>
              <w:spacing w:before="0" w:after="0"/>
              <w:jc w:val="both"/>
              <w:rPr>
                <w:rFonts w:ascii="Arial" w:hAnsi="Arial" w:cs="Arial"/>
                <w:b/>
                <w:b/>
              </w:rPr>
            </w:pPr>
            <w:r>
              <w:rPr>
                <w:rFonts w:cs="Arial" w:ascii="Arial" w:hAnsi="Arial"/>
                <w:sz w:val="20"/>
              </w:rPr>
              <w:t xml:space="preserve">VEYNE, Paul. </w:t>
            </w:r>
            <w:r>
              <w:rPr>
                <w:rFonts w:cs="Arial" w:ascii="Arial" w:hAnsi="Arial"/>
                <w:i/>
                <w:sz w:val="20"/>
              </w:rPr>
              <w:t>Como se escreve a história</w:t>
            </w:r>
            <w:r>
              <w:rPr>
                <w:rFonts w:cs="Arial" w:ascii="Arial" w:hAnsi="Arial"/>
                <w:sz w:val="20"/>
              </w:rPr>
              <w:t>; Foucault revoluciona a história. Trad. de Alda Baltar e Maria Auxiliadora Kneipp. 4ª ed., reimpressão. Brasília: Ed. UnB, 2008.</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rPr>
              <w:t xml:space="preserve"> </w:t>
            </w:r>
            <w:r>
              <w:rPr>
                <w:rFonts w:cs="Arial" w:ascii="Arial" w:hAnsi="Arial"/>
                <w:b/>
                <w:u w:val="single"/>
              </w:rPr>
              <w:t xml:space="preserve"> História Contemporânea no século XIX</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6º</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 e 15 h/a práticas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Sociedades contemporâneas no século XIX. Revoluções, transformações revolucionárias e poderes estabelecidos. Capitalismo. Movimento operário. Socialismo. A questão nacional. Neocolonialismo. Debates historiográficos sobre estudos de História Contemporânea. Abordagem do conteúdo em âmbito do ensino de História. </w:t>
            </w:r>
            <w:r>
              <w:rPr>
                <w:rFonts w:eastAsia="Calibri" w:cs="Arial" w:ascii="Arial" w:hAnsi="Arial"/>
              </w:rPr>
              <w:t>Prática do ensino de história e do campo historiográfico.</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BALAKRISHNAN, Gopal (org). </w:t>
            </w:r>
            <w:r>
              <w:rPr>
                <w:rFonts w:cs="Arial" w:ascii="Arial" w:hAnsi="Arial"/>
                <w:bCs/>
                <w:i/>
                <w:color w:val="00000A"/>
                <w:sz w:val="20"/>
                <w:szCs w:val="22"/>
              </w:rPr>
              <w:t>Um mapa da questão nacional</w:t>
            </w:r>
            <w:r>
              <w:rPr>
                <w:rFonts w:cs="Arial" w:ascii="Arial" w:hAnsi="Arial"/>
                <w:color w:val="00000A"/>
                <w:sz w:val="20"/>
                <w:szCs w:val="22"/>
              </w:rPr>
              <w:t>. Rio de Janeiro, Contraponto, 2000.</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HOBSBAWM,</w:t>
            </w:r>
            <w:r>
              <w:rPr>
                <w:rFonts w:eastAsia="Arial" w:cs="Arial" w:ascii="Arial" w:hAnsi="Arial"/>
                <w:color w:val="00000A"/>
                <w:sz w:val="20"/>
                <w:szCs w:val="22"/>
              </w:rPr>
              <w:t xml:space="preserve"> </w:t>
            </w:r>
            <w:r>
              <w:rPr>
                <w:rFonts w:cs="Arial" w:ascii="Arial" w:hAnsi="Arial"/>
                <w:color w:val="00000A"/>
                <w:sz w:val="20"/>
                <w:szCs w:val="22"/>
              </w:rPr>
              <w:t xml:space="preserve">Eric. </w:t>
            </w:r>
            <w:r>
              <w:rPr>
                <w:rFonts w:cs="Arial" w:ascii="Arial" w:hAnsi="Arial"/>
                <w:i/>
                <w:iCs/>
                <w:color w:val="00000A"/>
                <w:sz w:val="20"/>
                <w:szCs w:val="22"/>
              </w:rPr>
              <w:t xml:space="preserve"> A</w:t>
            </w:r>
            <w:r>
              <w:rPr>
                <w:rFonts w:eastAsia="Arial" w:cs="Arial" w:ascii="Arial" w:hAnsi="Arial"/>
                <w:i/>
                <w:iCs/>
                <w:color w:val="00000A"/>
                <w:sz w:val="20"/>
                <w:szCs w:val="22"/>
              </w:rPr>
              <w:t xml:space="preserve"> </w:t>
            </w:r>
            <w:r>
              <w:rPr>
                <w:rFonts w:cs="Arial" w:ascii="Arial" w:hAnsi="Arial"/>
                <w:i/>
                <w:iCs/>
                <w:color w:val="00000A"/>
                <w:sz w:val="20"/>
                <w:szCs w:val="22"/>
              </w:rPr>
              <w:t>era</w:t>
            </w:r>
            <w:r>
              <w:rPr>
                <w:rFonts w:eastAsia="Arial" w:cs="Arial" w:ascii="Arial" w:hAnsi="Arial"/>
                <w:i/>
                <w:iCs/>
                <w:color w:val="00000A"/>
                <w:sz w:val="20"/>
                <w:szCs w:val="22"/>
              </w:rPr>
              <w:t xml:space="preserve"> </w:t>
            </w:r>
            <w:r>
              <w:rPr>
                <w:rFonts w:cs="Arial" w:ascii="Arial" w:hAnsi="Arial"/>
                <w:i/>
                <w:iCs/>
                <w:color w:val="00000A"/>
                <w:sz w:val="20"/>
                <w:szCs w:val="22"/>
              </w:rPr>
              <w:t>das</w:t>
            </w:r>
            <w:r>
              <w:rPr>
                <w:rFonts w:eastAsia="Arial" w:cs="Arial" w:ascii="Arial" w:hAnsi="Arial"/>
                <w:i/>
                <w:iCs/>
                <w:color w:val="00000A"/>
                <w:sz w:val="20"/>
                <w:szCs w:val="22"/>
              </w:rPr>
              <w:t xml:space="preserve"> </w:t>
            </w:r>
            <w:r>
              <w:rPr>
                <w:rFonts w:cs="Arial" w:ascii="Arial" w:hAnsi="Arial"/>
                <w:i/>
                <w:iCs/>
                <w:color w:val="00000A"/>
                <w:sz w:val="20"/>
                <w:szCs w:val="22"/>
              </w:rPr>
              <w:t>revoluções</w:t>
            </w:r>
            <w:r>
              <w:rPr>
                <w:rFonts w:eastAsia="Arial" w:cs="Arial" w:ascii="Arial" w:hAnsi="Arial"/>
                <w:i/>
                <w:iCs/>
                <w:color w:val="00000A"/>
                <w:sz w:val="20"/>
                <w:szCs w:val="22"/>
              </w:rPr>
              <w:t xml:space="preserve"> </w:t>
            </w:r>
            <w:r>
              <w:rPr>
                <w:rFonts w:cs="Arial" w:ascii="Arial" w:hAnsi="Arial"/>
                <w:i/>
                <w:iCs/>
                <w:color w:val="00000A"/>
                <w:sz w:val="20"/>
                <w:szCs w:val="22"/>
              </w:rPr>
              <w:t>(1789-1840).</w:t>
            </w:r>
            <w:r>
              <w:rPr>
                <w:rFonts w:eastAsia="Arial" w:cs="Arial" w:ascii="Arial" w:hAnsi="Arial"/>
                <w:i/>
                <w:iCs/>
                <w:color w:val="00000A"/>
                <w:sz w:val="20"/>
                <w:szCs w:val="22"/>
              </w:rPr>
              <w:t xml:space="preserve"> </w:t>
            </w:r>
            <w:r>
              <w:rPr>
                <w:rFonts w:eastAsia="Arial" w:cs="Arial" w:ascii="Arial" w:hAnsi="Arial"/>
                <w:iCs/>
                <w:color w:val="00000A"/>
                <w:sz w:val="20"/>
                <w:szCs w:val="22"/>
              </w:rPr>
              <w:t>25ª ed.</w:t>
            </w:r>
            <w:r>
              <w:rPr>
                <w:rFonts w:eastAsia="Arial" w:cs="Arial" w:ascii="Arial" w:hAnsi="Arial"/>
                <w:i/>
                <w:iCs/>
                <w:color w:val="00000A"/>
                <w:sz w:val="20"/>
                <w:szCs w:val="22"/>
              </w:rPr>
              <w:t xml:space="preserve"> </w:t>
            </w:r>
            <w:r>
              <w:rPr>
                <w:rFonts w:eastAsia="Arial" w:cs="Arial" w:ascii="Arial" w:hAnsi="Arial"/>
                <w:iCs/>
                <w:color w:val="00000A"/>
                <w:sz w:val="20"/>
                <w:szCs w:val="22"/>
              </w:rPr>
              <w:t xml:space="preserve">São Paulo: </w:t>
            </w:r>
            <w:r>
              <w:rPr>
                <w:rFonts w:cs="Arial" w:ascii="Arial" w:hAnsi="Arial"/>
                <w:color w:val="00000A"/>
                <w:sz w:val="20"/>
                <w:szCs w:val="22"/>
              </w:rPr>
              <w:t>Paz</w:t>
            </w:r>
            <w:r>
              <w:rPr>
                <w:rFonts w:eastAsia="Arial" w:cs="Arial" w:ascii="Arial" w:hAnsi="Arial"/>
                <w:color w:val="00000A"/>
                <w:sz w:val="20"/>
                <w:szCs w:val="22"/>
              </w:rPr>
              <w:t xml:space="preserve"> </w:t>
            </w:r>
            <w:r>
              <w:rPr>
                <w:rFonts w:cs="Arial" w:ascii="Arial" w:hAnsi="Arial"/>
                <w:color w:val="00000A"/>
                <w:sz w:val="20"/>
                <w:szCs w:val="22"/>
              </w:rPr>
              <w:t>e</w:t>
            </w:r>
            <w:r>
              <w:rPr>
                <w:rFonts w:eastAsia="Arial" w:cs="Arial" w:ascii="Arial" w:hAnsi="Arial"/>
                <w:color w:val="00000A"/>
                <w:sz w:val="20"/>
                <w:szCs w:val="22"/>
              </w:rPr>
              <w:t xml:space="preserve"> </w:t>
            </w:r>
            <w:r>
              <w:rPr>
                <w:rFonts w:cs="Arial" w:ascii="Arial" w:hAnsi="Arial"/>
                <w:color w:val="00000A"/>
                <w:sz w:val="20"/>
                <w:szCs w:val="22"/>
              </w:rPr>
              <w:t>Terra, 2012.</w:t>
            </w:r>
          </w:p>
          <w:p>
            <w:pPr>
              <w:pStyle w:val="Normal"/>
              <w:spacing w:before="0" w:after="0"/>
              <w:jc w:val="both"/>
              <w:rPr>
                <w:rFonts w:ascii="Arial" w:hAnsi="Arial" w:cs="Arial"/>
                <w:b/>
                <w:b/>
              </w:rPr>
            </w:pPr>
            <w:r>
              <w:rPr>
                <w:rFonts w:cs="Arial" w:ascii="Arial" w:hAnsi="Arial"/>
                <w:sz w:val="20"/>
              </w:rPr>
              <w:t xml:space="preserve">MAYER, Arno. </w:t>
            </w:r>
            <w:r>
              <w:rPr>
                <w:rFonts w:cs="Arial" w:ascii="Arial" w:hAnsi="Arial"/>
                <w:i/>
                <w:iCs/>
                <w:sz w:val="20"/>
              </w:rPr>
              <w:t>A força da tradição</w:t>
            </w:r>
            <w:r>
              <w:rPr>
                <w:rFonts w:cs="Arial" w:ascii="Arial" w:hAnsi="Arial"/>
                <w:sz w:val="20"/>
              </w:rPr>
              <w:t>: a persistência do Antigo Regime, 1848/1914. São Paulo: Companhia das Letras, 1987.</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cs="Arial" w:ascii="Arial" w:hAnsi="Arial"/>
                <w:bCs/>
                <w:color w:val="00000A"/>
                <w:sz w:val="20"/>
                <w:szCs w:val="22"/>
              </w:rPr>
              <w:t>HUNT,</w:t>
            </w:r>
            <w:r>
              <w:rPr>
                <w:rFonts w:eastAsia="TimesNewRoman" w:cs="Arial" w:ascii="Arial" w:hAnsi="Arial"/>
                <w:bCs/>
                <w:color w:val="00000A"/>
                <w:sz w:val="20"/>
                <w:szCs w:val="22"/>
              </w:rPr>
              <w:t xml:space="preserve"> </w:t>
            </w:r>
            <w:r>
              <w:rPr>
                <w:rFonts w:eastAsia="Arial" w:cs="Arial" w:ascii="Arial" w:hAnsi="Arial"/>
                <w:bCs/>
                <w:color w:val="00000A"/>
                <w:sz w:val="20"/>
                <w:szCs w:val="22"/>
              </w:rPr>
              <w:t>Lynn.</w:t>
            </w:r>
            <w:r>
              <w:rPr>
                <w:rFonts w:eastAsia="TimesNewRoman" w:cs="Arial" w:ascii="Arial" w:hAnsi="Arial"/>
                <w:bCs/>
                <w:color w:val="00000A"/>
                <w:sz w:val="20"/>
                <w:szCs w:val="22"/>
              </w:rPr>
              <w:t xml:space="preserve"> </w:t>
            </w:r>
            <w:r>
              <w:rPr>
                <w:rFonts w:eastAsia="Arial" w:cs="Arial" w:ascii="Arial" w:hAnsi="Arial"/>
                <w:bCs/>
                <w:i/>
                <w:color w:val="00000A"/>
                <w:sz w:val="20"/>
                <w:szCs w:val="22"/>
              </w:rPr>
              <w:t>Política,</w:t>
            </w:r>
            <w:r>
              <w:rPr>
                <w:rFonts w:eastAsia="TimesNewRoman" w:cs="Arial" w:ascii="Arial" w:hAnsi="Arial"/>
                <w:bCs/>
                <w:i/>
                <w:color w:val="00000A"/>
                <w:sz w:val="20"/>
                <w:szCs w:val="22"/>
              </w:rPr>
              <w:t xml:space="preserve"> </w:t>
            </w:r>
            <w:r>
              <w:rPr>
                <w:rFonts w:eastAsia="Arial" w:cs="Arial" w:ascii="Arial" w:hAnsi="Arial"/>
                <w:bCs/>
                <w:i/>
                <w:color w:val="00000A"/>
                <w:sz w:val="20"/>
                <w:szCs w:val="22"/>
              </w:rPr>
              <w:t>cultura</w:t>
            </w:r>
            <w:r>
              <w:rPr>
                <w:rFonts w:eastAsia="TimesNewRoman" w:cs="Arial" w:ascii="Arial" w:hAnsi="Arial"/>
                <w:bCs/>
                <w:i/>
                <w:color w:val="00000A"/>
                <w:sz w:val="20"/>
                <w:szCs w:val="22"/>
              </w:rPr>
              <w:t xml:space="preserve"> </w:t>
            </w:r>
            <w:r>
              <w:rPr>
                <w:rFonts w:eastAsia="Arial" w:cs="Arial" w:ascii="Arial" w:hAnsi="Arial"/>
                <w:bCs/>
                <w:i/>
                <w:color w:val="00000A"/>
                <w:sz w:val="20"/>
                <w:szCs w:val="22"/>
              </w:rPr>
              <w:t>e</w:t>
            </w:r>
            <w:r>
              <w:rPr>
                <w:rFonts w:eastAsia="TimesNewRoman" w:cs="Arial" w:ascii="Arial" w:hAnsi="Arial"/>
                <w:bCs/>
                <w:i/>
                <w:color w:val="00000A"/>
                <w:sz w:val="20"/>
                <w:szCs w:val="22"/>
              </w:rPr>
              <w:t xml:space="preserve"> </w:t>
            </w:r>
            <w:r>
              <w:rPr>
                <w:rFonts w:eastAsia="Arial" w:cs="Arial" w:ascii="Arial" w:hAnsi="Arial"/>
                <w:bCs/>
                <w:i/>
                <w:color w:val="00000A"/>
                <w:sz w:val="20"/>
                <w:szCs w:val="22"/>
              </w:rPr>
              <w:t>classe</w:t>
            </w:r>
            <w:r>
              <w:rPr>
                <w:rFonts w:eastAsia="TimesNewRoman" w:cs="Arial" w:ascii="Arial" w:hAnsi="Arial"/>
                <w:bCs/>
                <w:i/>
                <w:color w:val="00000A"/>
                <w:sz w:val="20"/>
                <w:szCs w:val="22"/>
              </w:rPr>
              <w:t xml:space="preserve"> </w:t>
            </w:r>
            <w:r>
              <w:rPr>
                <w:rFonts w:eastAsia="Arial" w:cs="Arial" w:ascii="Arial" w:hAnsi="Arial"/>
                <w:bCs/>
                <w:i/>
                <w:color w:val="00000A"/>
                <w:sz w:val="20"/>
                <w:szCs w:val="22"/>
              </w:rPr>
              <w:t>na</w:t>
            </w:r>
            <w:r>
              <w:rPr>
                <w:rFonts w:eastAsia="TimesNewRoman" w:cs="Arial" w:ascii="Arial" w:hAnsi="Arial"/>
                <w:bCs/>
                <w:i/>
                <w:color w:val="00000A"/>
                <w:sz w:val="20"/>
                <w:szCs w:val="22"/>
              </w:rPr>
              <w:t xml:space="preserve"> </w:t>
            </w:r>
            <w:r>
              <w:rPr>
                <w:rFonts w:eastAsia="Arial" w:cs="Arial" w:ascii="Arial" w:hAnsi="Arial"/>
                <w:bCs/>
                <w:i/>
                <w:color w:val="00000A"/>
                <w:sz w:val="20"/>
                <w:szCs w:val="22"/>
              </w:rPr>
              <w:t>Revolução</w:t>
            </w:r>
            <w:r>
              <w:rPr>
                <w:rFonts w:eastAsia="TimesNewRoman" w:cs="Arial" w:ascii="Arial" w:hAnsi="Arial"/>
                <w:bCs/>
                <w:i/>
                <w:color w:val="00000A"/>
                <w:sz w:val="20"/>
                <w:szCs w:val="22"/>
              </w:rPr>
              <w:t xml:space="preserve"> </w:t>
            </w:r>
            <w:r>
              <w:rPr>
                <w:rFonts w:eastAsia="Arial" w:cs="Arial" w:ascii="Arial" w:hAnsi="Arial"/>
                <w:bCs/>
                <w:i/>
                <w:color w:val="00000A"/>
                <w:sz w:val="20"/>
                <w:szCs w:val="22"/>
              </w:rPr>
              <w:t>Francesa</w:t>
            </w:r>
            <w:r>
              <w:rPr>
                <w:rFonts w:eastAsia="Arial" w:cs="Arial" w:ascii="Arial" w:hAnsi="Arial"/>
                <w:bCs/>
                <w:color w:val="00000A"/>
                <w:sz w:val="20"/>
                <w:szCs w:val="22"/>
              </w:rPr>
              <w:t>.</w:t>
            </w:r>
            <w:r>
              <w:rPr>
                <w:rFonts w:eastAsia="TimesNewRoman" w:cs="Arial" w:ascii="Arial" w:hAnsi="Arial"/>
                <w:bCs/>
                <w:color w:val="00000A"/>
                <w:sz w:val="20"/>
                <w:szCs w:val="22"/>
              </w:rPr>
              <w:t xml:space="preserve"> </w:t>
            </w:r>
            <w:r>
              <w:rPr>
                <w:rFonts w:eastAsia="Arial" w:cs="Arial" w:ascii="Arial" w:hAnsi="Arial"/>
                <w:bCs/>
                <w:color w:val="00000A"/>
                <w:sz w:val="20"/>
                <w:szCs w:val="22"/>
              </w:rPr>
              <w:t>São</w:t>
            </w:r>
            <w:r>
              <w:rPr>
                <w:rFonts w:eastAsia="TimesNewRoman" w:cs="Arial" w:ascii="Arial" w:hAnsi="Arial"/>
                <w:bCs/>
                <w:color w:val="00000A"/>
                <w:sz w:val="20"/>
                <w:szCs w:val="22"/>
              </w:rPr>
              <w:t xml:space="preserve"> </w:t>
            </w:r>
            <w:r>
              <w:rPr>
                <w:rFonts w:eastAsia="Arial" w:cs="Arial" w:ascii="Arial" w:hAnsi="Arial"/>
                <w:bCs/>
                <w:color w:val="00000A"/>
                <w:sz w:val="20"/>
                <w:szCs w:val="22"/>
              </w:rPr>
              <w:t>Paulo:</w:t>
            </w:r>
            <w:r>
              <w:rPr>
                <w:rFonts w:eastAsia="TimesNewRoman" w:cs="Arial" w:ascii="Arial" w:hAnsi="Arial"/>
                <w:bCs/>
                <w:color w:val="00000A"/>
                <w:sz w:val="20"/>
                <w:szCs w:val="22"/>
              </w:rPr>
              <w:t xml:space="preserve"> </w:t>
            </w:r>
            <w:r>
              <w:rPr>
                <w:rFonts w:eastAsia="Arial" w:cs="Arial" w:ascii="Arial" w:hAnsi="Arial"/>
                <w:bCs/>
                <w:color w:val="00000A"/>
                <w:sz w:val="20"/>
                <w:szCs w:val="22"/>
              </w:rPr>
              <w:t>Companhia</w:t>
            </w:r>
            <w:r>
              <w:rPr>
                <w:rFonts w:eastAsia="TimesNewRoman" w:cs="Arial" w:ascii="Arial" w:hAnsi="Arial"/>
                <w:bCs/>
                <w:color w:val="00000A"/>
                <w:sz w:val="20"/>
                <w:szCs w:val="22"/>
              </w:rPr>
              <w:t xml:space="preserve"> </w:t>
            </w:r>
            <w:r>
              <w:rPr>
                <w:rFonts w:eastAsia="Arial" w:cs="Arial" w:ascii="Arial" w:hAnsi="Arial"/>
                <w:bCs/>
                <w:color w:val="00000A"/>
                <w:sz w:val="20"/>
                <w:szCs w:val="22"/>
              </w:rPr>
              <w:t>das</w:t>
            </w:r>
            <w:r>
              <w:rPr>
                <w:rFonts w:eastAsia="TimesNewRoman" w:cs="Arial" w:ascii="Arial" w:hAnsi="Arial"/>
                <w:bCs/>
                <w:color w:val="00000A"/>
                <w:sz w:val="20"/>
                <w:szCs w:val="22"/>
              </w:rPr>
              <w:t xml:space="preserve"> </w:t>
            </w:r>
            <w:r>
              <w:rPr>
                <w:rFonts w:eastAsia="Arial" w:cs="Arial" w:ascii="Arial" w:hAnsi="Arial"/>
                <w:bCs/>
                <w:color w:val="00000A"/>
                <w:sz w:val="20"/>
                <w:szCs w:val="22"/>
              </w:rPr>
              <w:t>Letras,</w:t>
            </w:r>
            <w:r>
              <w:rPr>
                <w:rFonts w:eastAsia="TimesNewRoman" w:cs="Arial" w:ascii="Arial" w:hAnsi="Arial"/>
                <w:bCs/>
                <w:color w:val="00000A"/>
                <w:sz w:val="20"/>
                <w:szCs w:val="22"/>
              </w:rPr>
              <w:t xml:space="preserve"> </w:t>
            </w:r>
            <w:r>
              <w:rPr>
                <w:rFonts w:eastAsia="Arial" w:cs="Arial" w:ascii="Arial" w:hAnsi="Arial"/>
                <w:bCs/>
                <w:color w:val="00000A"/>
                <w:sz w:val="20"/>
                <w:szCs w:val="22"/>
              </w:rPr>
              <w:t>2007.</w:t>
            </w:r>
            <w:r>
              <w:rPr>
                <w:rFonts w:eastAsia="TimesNewRoman" w:cs="Arial" w:ascii="Arial" w:hAnsi="Arial"/>
                <w:bCs/>
                <w:color w:val="00000A"/>
                <w:sz w:val="20"/>
                <w:szCs w:val="22"/>
              </w:rPr>
              <w:t xml:space="preserve"> </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MARX, Karl e ENGELS, F. </w:t>
            </w:r>
            <w:r>
              <w:rPr>
                <w:rFonts w:cs="Arial" w:ascii="Arial" w:hAnsi="Arial"/>
                <w:i/>
                <w:iCs/>
                <w:color w:val="00000A"/>
                <w:sz w:val="20"/>
                <w:szCs w:val="22"/>
              </w:rPr>
              <w:t xml:space="preserve">Obras escolhidas. </w:t>
            </w:r>
            <w:r>
              <w:rPr>
                <w:rFonts w:cs="Arial" w:ascii="Arial" w:hAnsi="Arial"/>
                <w:iCs/>
                <w:color w:val="00000A"/>
                <w:sz w:val="20"/>
                <w:szCs w:val="22"/>
              </w:rPr>
              <w:t>Lisboa: Edições Avante, 1997. 3 v.</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RIOUX, Jean-Pierre. </w:t>
            </w:r>
            <w:r>
              <w:rPr>
                <w:rFonts w:cs="Arial" w:ascii="Arial" w:hAnsi="Arial"/>
                <w:i/>
                <w:iCs/>
                <w:color w:val="00000A"/>
                <w:sz w:val="20"/>
                <w:szCs w:val="22"/>
              </w:rPr>
              <w:t>A Revolução Industrial</w:t>
            </w:r>
            <w:r>
              <w:rPr>
                <w:rFonts w:cs="Arial" w:ascii="Arial" w:hAnsi="Arial"/>
                <w:color w:val="00000A"/>
                <w:sz w:val="20"/>
                <w:szCs w:val="22"/>
              </w:rPr>
              <w:t>. Lisboa: Publicações Dom Quixote, 1977.</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SAID, E.W. </w:t>
            </w:r>
            <w:r>
              <w:rPr>
                <w:rFonts w:cs="Arial" w:ascii="Arial" w:hAnsi="Arial"/>
                <w:i/>
                <w:iCs/>
                <w:color w:val="00000A"/>
                <w:sz w:val="20"/>
                <w:szCs w:val="22"/>
              </w:rPr>
              <w:t>Orientalismo</w:t>
            </w:r>
            <w:r>
              <w:rPr>
                <w:rFonts w:cs="Arial" w:ascii="Arial" w:hAnsi="Arial"/>
                <w:color w:val="00000A"/>
                <w:sz w:val="20"/>
                <w:szCs w:val="22"/>
              </w:rPr>
              <w:t>. O Oriente como invenção do Ocidente. São Paulo: 2007.</w:t>
            </w:r>
          </w:p>
          <w:p>
            <w:pPr>
              <w:pStyle w:val="Normal"/>
              <w:spacing w:before="0" w:after="0"/>
              <w:jc w:val="both"/>
              <w:rPr>
                <w:rFonts w:ascii="Arial" w:hAnsi="Arial" w:cs="Arial"/>
                <w:b/>
                <w:b/>
              </w:rPr>
            </w:pPr>
            <w:r>
              <w:rPr>
                <w:rFonts w:cs="Arial" w:ascii="Arial" w:hAnsi="Arial"/>
                <w:sz w:val="20"/>
              </w:rPr>
              <w:t xml:space="preserve">SARAIVA, José Flávio. </w:t>
            </w:r>
            <w:r>
              <w:rPr>
                <w:rFonts w:cs="Arial" w:ascii="Arial" w:hAnsi="Arial"/>
                <w:i/>
                <w:sz w:val="20"/>
              </w:rPr>
              <w:t>História das relações internacionais contemporâneas</w:t>
            </w:r>
            <w:r>
              <w:rPr>
                <w:rFonts w:cs="Arial" w:ascii="Arial" w:hAnsi="Arial"/>
                <w:sz w:val="20"/>
              </w:rPr>
              <w:t>: da sociedade internacional do século XIX à era da globalização. São Paulo: Saraiva, 2008.</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rPr>
              <w:t xml:space="preserve"> </w:t>
            </w:r>
            <w:r>
              <w:rPr>
                <w:rFonts w:cs="Arial" w:ascii="Arial" w:hAnsi="Arial"/>
                <w:b/>
                <w:u w:val="single"/>
              </w:rPr>
              <w:t xml:space="preserve"> História da América Latina Contemporânea</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6º</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 e 15 h/a práticas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Estudo da América Latina contemporânea e sua historiografia. Expansão e políticas imperialistas. A crise do modelo agroexportador. Modernização capitalista, industrialização e urbanização. Experiências populistas. Movimentos sociais na América Latina e a Militarização do Estado. Redemocratização e crise econômica. A América latina do tempo presente. </w:t>
            </w:r>
            <w:r>
              <w:rPr>
                <w:rFonts w:eastAsia="Calibri" w:cs="Arial" w:ascii="Arial" w:hAnsi="Arial"/>
              </w:rPr>
              <w:t>Prática do ensino de história e do campo historiográfico.</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CARREDANO, Juan B. Amores. [Coord.] </w:t>
            </w:r>
            <w:r>
              <w:rPr>
                <w:rFonts w:eastAsia="Calibri" w:cs="Arial" w:ascii="Arial" w:hAnsi="Arial"/>
                <w:i/>
                <w:color w:val="00000A"/>
                <w:sz w:val="20"/>
                <w:szCs w:val="22"/>
              </w:rPr>
              <w:t>Historia de América</w:t>
            </w:r>
            <w:r>
              <w:rPr>
                <w:rFonts w:eastAsia="Calibri" w:cs="Arial" w:ascii="Arial" w:hAnsi="Arial"/>
                <w:color w:val="00000A"/>
                <w:sz w:val="20"/>
                <w:szCs w:val="22"/>
              </w:rPr>
              <w:t>. Barcelona: Ariel, 2012.</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GUAZZELLI, Cezar A. Barcellos. </w:t>
            </w:r>
            <w:r>
              <w:rPr>
                <w:rFonts w:eastAsia="Calibri" w:cs="Arial" w:ascii="Arial" w:hAnsi="Arial"/>
                <w:i/>
                <w:color w:val="00000A"/>
                <w:sz w:val="20"/>
                <w:szCs w:val="22"/>
              </w:rPr>
              <w:t>História Contemporânea da América Latina</w:t>
            </w:r>
            <w:r>
              <w:rPr>
                <w:rFonts w:eastAsia="Calibri" w:cs="Arial" w:ascii="Arial" w:hAnsi="Arial"/>
                <w:color w:val="00000A"/>
                <w:sz w:val="20"/>
                <w:szCs w:val="22"/>
              </w:rPr>
              <w:t xml:space="preserve"> (1960-1990). Porto Alegre: EDUFRGS,1993.</w:t>
            </w:r>
          </w:p>
          <w:p>
            <w:pPr>
              <w:pStyle w:val="Normal"/>
              <w:spacing w:before="0" w:after="0"/>
              <w:jc w:val="both"/>
              <w:rPr>
                <w:rFonts w:ascii="Arial" w:hAnsi="Arial" w:cs="Arial"/>
                <w:b/>
                <w:b/>
              </w:rPr>
            </w:pPr>
            <w:r>
              <w:rPr>
                <w:rFonts w:eastAsia="Calibri" w:cs="Arial" w:ascii="Arial" w:hAnsi="Arial"/>
                <w:sz w:val="20"/>
              </w:rPr>
              <w:t xml:space="preserve">POZO, José del. </w:t>
            </w:r>
            <w:r>
              <w:rPr>
                <w:rFonts w:eastAsia="Calibri" w:cs="Arial" w:ascii="Arial" w:hAnsi="Arial"/>
                <w:i/>
                <w:sz w:val="20"/>
              </w:rPr>
              <w:t xml:space="preserve">História da América Latina e do Caribe: </w:t>
            </w:r>
            <w:r>
              <w:rPr>
                <w:rFonts w:eastAsia="Calibri" w:cs="Arial" w:ascii="Arial" w:hAnsi="Arial"/>
                <w:sz w:val="20"/>
              </w:rPr>
              <w:t>dos processos de Independência aos dias atuais. Rio de Janeiro: Ed. Vozes, 2002.</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BETHEL, Leslie (org). </w:t>
            </w:r>
            <w:r>
              <w:rPr>
                <w:rFonts w:eastAsia="Calibri" w:cs="Arial" w:ascii="Arial" w:hAnsi="Arial"/>
                <w:i/>
                <w:color w:val="00000A"/>
                <w:sz w:val="20"/>
                <w:szCs w:val="22"/>
              </w:rPr>
              <w:t>História da América Latina</w:t>
            </w:r>
            <w:r>
              <w:rPr>
                <w:rFonts w:eastAsia="Calibri" w:cs="Arial" w:ascii="Arial" w:hAnsi="Arial"/>
                <w:color w:val="00000A"/>
                <w:sz w:val="20"/>
                <w:szCs w:val="22"/>
              </w:rPr>
              <w:t>: América Latina após 1930 – Economia e Sociedade. São Paulo: Editora da USP; Brasília, Fundação Alexandre Gusmão, 2005, 6v.</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BETHEL, Leslie (org). </w:t>
            </w:r>
            <w:r>
              <w:rPr>
                <w:rFonts w:eastAsia="Calibri" w:cs="Arial" w:ascii="Arial" w:hAnsi="Arial"/>
                <w:i/>
                <w:color w:val="00000A"/>
                <w:sz w:val="20"/>
                <w:szCs w:val="22"/>
              </w:rPr>
              <w:t>História da América Latina</w:t>
            </w:r>
            <w:r>
              <w:rPr>
                <w:rFonts w:eastAsia="Calibri" w:cs="Arial" w:ascii="Arial" w:hAnsi="Arial"/>
                <w:color w:val="00000A"/>
                <w:sz w:val="20"/>
                <w:szCs w:val="22"/>
              </w:rPr>
              <w:t>: América Latina após 1930 – Estado e Política. São Paulo: Editora da USP; Brasília, Fundação Alexandre Gusmão, 2005, 7v.</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DONGHI, Tulio Halperin. </w:t>
            </w:r>
            <w:r>
              <w:rPr>
                <w:rFonts w:eastAsia="Calibri" w:cs="Arial" w:ascii="Arial" w:hAnsi="Arial"/>
                <w:i/>
                <w:color w:val="00000A"/>
                <w:sz w:val="20"/>
                <w:szCs w:val="22"/>
              </w:rPr>
              <w:t>História da América Latina.</w:t>
            </w:r>
            <w:r>
              <w:rPr>
                <w:rFonts w:eastAsia="Calibri" w:cs="Arial" w:ascii="Arial" w:hAnsi="Arial"/>
                <w:color w:val="00000A"/>
                <w:sz w:val="20"/>
                <w:szCs w:val="22"/>
              </w:rPr>
              <w:t xml:space="preserve"> Rio de Janeiro: Paz e Terra, 2012.</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PELLEGRINO, Gabriela; PRADO, Maria Lígia. </w:t>
            </w:r>
            <w:r>
              <w:rPr>
                <w:rFonts w:eastAsia="Calibri" w:cs="Arial" w:ascii="Arial" w:hAnsi="Arial"/>
                <w:i/>
                <w:color w:val="00000A"/>
                <w:sz w:val="20"/>
                <w:szCs w:val="22"/>
              </w:rPr>
              <w:t>História da América Latina</w:t>
            </w:r>
            <w:r>
              <w:rPr>
                <w:rFonts w:eastAsia="Calibri" w:cs="Arial" w:ascii="Arial" w:hAnsi="Arial"/>
                <w:color w:val="00000A"/>
                <w:sz w:val="20"/>
                <w:szCs w:val="22"/>
              </w:rPr>
              <w:t>. São Paulo: Contexto, 2014.</w:t>
            </w:r>
          </w:p>
          <w:p>
            <w:pPr>
              <w:pStyle w:val="Normal"/>
              <w:spacing w:before="0" w:after="0"/>
              <w:jc w:val="both"/>
              <w:rPr>
                <w:rFonts w:ascii="Arial" w:hAnsi="Arial" w:cs="Arial"/>
                <w:b/>
                <w:b/>
              </w:rPr>
            </w:pPr>
            <w:r>
              <w:rPr>
                <w:rFonts w:eastAsia="Calibri" w:cs="Arial" w:ascii="Arial" w:hAnsi="Arial"/>
                <w:sz w:val="20"/>
              </w:rPr>
              <w:t xml:space="preserve">WASSERMAN, Cláudia. </w:t>
            </w:r>
            <w:r>
              <w:rPr>
                <w:rFonts w:eastAsia="Calibri" w:cs="Arial" w:ascii="Arial" w:hAnsi="Arial"/>
                <w:i/>
                <w:sz w:val="20"/>
              </w:rPr>
              <w:t>Palavra de Presidente.</w:t>
            </w:r>
            <w:r>
              <w:rPr>
                <w:rFonts w:eastAsia="Calibri" w:cs="Arial" w:ascii="Arial" w:hAnsi="Arial"/>
                <w:sz w:val="20"/>
              </w:rPr>
              <w:t xml:space="preserve"> Porto Alegre: EDUFRGS, 2002.</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rPr>
              <w:t xml:space="preserve"> </w:t>
            </w:r>
            <w:r>
              <w:rPr>
                <w:rFonts w:cs="Arial" w:ascii="Arial" w:hAnsi="Arial"/>
                <w:b/>
                <w:u w:val="single"/>
              </w:rPr>
              <w:t xml:space="preserve"> História do Brasil Republicano</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6º</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 e 15 h/a práticas</w:t>
            </w:r>
          </w:p>
        </w:tc>
      </w:tr>
      <w:tr>
        <w:trPr/>
        <w:tc>
          <w:tcPr>
            <w:tcW w:w="8494" w:type="dxa"/>
            <w:tcBorders>
              <w:top w:val="nil"/>
              <w:bottom w:val="nil"/>
              <w:insideH w:val="nil"/>
            </w:tcBorders>
            <w:shd w:fill="auto" w:val="clear"/>
            <w:tcMar>
              <w:left w:w="108" w:type="dxa"/>
            </w:tcMar>
          </w:tcPr>
          <w:p>
            <w:pPr>
              <w:pStyle w:val="Normal"/>
              <w:tabs>
                <w:tab w:val="left" w:pos="1807" w:leader="none"/>
              </w:tabs>
              <w:spacing w:lineRule="auto" w:line="240" w:before="0" w:after="0"/>
              <w:jc w:val="both"/>
              <w:rPr>
                <w:rFonts w:ascii="Arial" w:hAnsi="Arial" w:cs="Arial"/>
                <w:b/>
                <w:b/>
              </w:rPr>
            </w:pPr>
            <w:r>
              <w:rPr>
                <w:rFonts w:cs="Arial" w:ascii="Arial" w:hAnsi="Arial"/>
                <w:b/>
              </w:rPr>
              <w:t>Ementa:</w:t>
            </w:r>
            <w:r>
              <w:rPr>
                <w:rFonts w:cs="Arial" w:ascii="Arial" w:hAnsi="Arial"/>
              </w:rPr>
              <w:t xml:space="preserve"> A implantação da República no Brasil. As características políticas, econômicas, sociais e culturais da sociedade brasileira entre 1889 e 1945. Projetos de construção do Estado, atores políticos e movimentos sociais de contestação rurais e urbanos. O estudo do Brasil republicano e as questões historiográficas, teóricas e metodológicas. A história do Brasil republicano no currículo do ensino médio e nos materiais didáticos. </w:t>
            </w:r>
            <w:r>
              <w:rPr>
                <w:rFonts w:eastAsia="Calibri" w:cs="Arial" w:ascii="Arial" w:hAnsi="Arial"/>
              </w:rPr>
              <w:t>Prática do ensino de história e do campo historiográfico.</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CARVALHO, José Murilo de. </w:t>
            </w:r>
            <w:r>
              <w:rPr>
                <w:rFonts w:cs="Arial" w:ascii="Arial" w:hAnsi="Arial"/>
                <w:i/>
                <w:color w:val="00000A"/>
                <w:sz w:val="20"/>
                <w:szCs w:val="22"/>
              </w:rPr>
              <w:t>A formação das almas</w:t>
            </w:r>
            <w:r>
              <w:rPr>
                <w:rFonts w:cs="Arial" w:ascii="Arial" w:hAnsi="Arial"/>
                <w:color w:val="00000A"/>
                <w:sz w:val="20"/>
                <w:szCs w:val="22"/>
              </w:rPr>
              <w:t>: o imaginário da República no Brasil. São Paulo: Companhia das Letras, 1990.</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FERREIRA, Jorge; DELGADO, Lucília de Almeida Neves (Orgs.) </w:t>
            </w:r>
            <w:r>
              <w:rPr>
                <w:rFonts w:cs="Arial" w:ascii="Arial" w:hAnsi="Arial"/>
                <w:i/>
                <w:color w:val="00000A"/>
                <w:sz w:val="20"/>
                <w:szCs w:val="22"/>
              </w:rPr>
              <w:t xml:space="preserve">O Brasil republicano </w:t>
            </w:r>
            <w:r>
              <w:rPr>
                <w:rFonts w:cs="Arial" w:ascii="Arial" w:hAnsi="Arial"/>
                <w:color w:val="00000A"/>
                <w:sz w:val="20"/>
                <w:szCs w:val="22"/>
              </w:rPr>
              <w:t>(2 vols). Rio de Janeiro: Civilização Brasileira, 2003. (Vol. 1: O tempo do liberalismo excludente. Vol. 2: O tempo do nacional-estatismo).</w:t>
            </w:r>
          </w:p>
          <w:p>
            <w:pPr>
              <w:pStyle w:val="Normal"/>
              <w:spacing w:before="0" w:after="0"/>
              <w:jc w:val="both"/>
              <w:rPr>
                <w:rFonts w:ascii="Arial" w:hAnsi="Arial" w:cs="Arial"/>
                <w:b/>
                <w:b/>
              </w:rPr>
            </w:pPr>
            <w:r>
              <w:rPr>
                <w:rStyle w:val="Txtarial8ptgray"/>
                <w:rFonts w:cs="Arial" w:ascii="Arial" w:hAnsi="Arial"/>
                <w:sz w:val="20"/>
              </w:rPr>
              <w:t xml:space="preserve">HARDMAN, Francisco Foot. </w:t>
            </w:r>
            <w:r>
              <w:rPr>
                <w:rStyle w:val="Txtarial8ptgray"/>
                <w:rFonts w:cs="Arial" w:ascii="Arial" w:hAnsi="Arial"/>
                <w:i/>
                <w:sz w:val="20"/>
              </w:rPr>
              <w:t>Morte e progresso</w:t>
            </w:r>
            <w:r>
              <w:rPr>
                <w:rStyle w:val="Txtarial8ptgray"/>
                <w:rFonts w:cs="Arial" w:ascii="Arial" w:hAnsi="Arial"/>
                <w:sz w:val="20"/>
              </w:rPr>
              <w:t>: cultura brasileira como apagamento de rastros. São Paulo: Editora Unesp, 1998.</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CARVALHO, José Murilo de. </w:t>
            </w:r>
            <w:r>
              <w:rPr>
                <w:rFonts w:cs="Arial" w:ascii="Arial" w:hAnsi="Arial"/>
                <w:i/>
                <w:color w:val="00000A"/>
                <w:sz w:val="20"/>
                <w:szCs w:val="22"/>
              </w:rPr>
              <w:t>Os bestializados</w:t>
            </w:r>
            <w:r>
              <w:rPr>
                <w:rFonts w:cs="Arial" w:ascii="Arial" w:hAnsi="Arial"/>
                <w:color w:val="00000A"/>
                <w:sz w:val="20"/>
                <w:szCs w:val="22"/>
              </w:rPr>
              <w:t>: o Rio de Janeiro e a República que não foi. 3. ed. São Paulo: Companhia das Letras, 1987.</w:t>
            </w:r>
          </w:p>
          <w:p>
            <w:pPr>
              <w:pStyle w:val="Padro"/>
              <w:spacing w:lineRule="auto" w:line="240" w:before="0" w:after="0"/>
              <w:jc w:val="both"/>
              <w:rPr>
                <w:rFonts w:ascii="Arial" w:hAnsi="Arial" w:cs="Arial"/>
                <w:color w:val="00000A"/>
                <w:sz w:val="20"/>
                <w:szCs w:val="22"/>
              </w:rPr>
            </w:pPr>
            <w:r>
              <w:rPr>
                <w:rStyle w:val="Txtarial8ptgray"/>
                <w:rFonts w:cs="Arial" w:ascii="Arial" w:hAnsi="Arial"/>
                <w:color w:val="00000A"/>
                <w:sz w:val="20"/>
                <w:szCs w:val="22"/>
              </w:rPr>
              <w:t xml:space="preserve">FAUSTO, Boris. </w:t>
            </w:r>
            <w:r>
              <w:rPr>
                <w:rStyle w:val="Txtarial8ptgray"/>
                <w:rFonts w:cs="Arial" w:ascii="Arial" w:hAnsi="Arial"/>
                <w:i/>
                <w:color w:val="00000A"/>
                <w:sz w:val="20"/>
                <w:szCs w:val="22"/>
              </w:rPr>
              <w:t>Revolução de 30</w:t>
            </w:r>
            <w:r>
              <w:rPr>
                <w:rStyle w:val="Txtarial8ptgray"/>
                <w:rFonts w:cs="Arial" w:ascii="Arial" w:hAnsi="Arial"/>
                <w:color w:val="00000A"/>
                <w:sz w:val="20"/>
                <w:szCs w:val="22"/>
              </w:rPr>
              <w:t>. História e historiografia. São Paulo: Brasiliense, 1979.</w:t>
            </w:r>
          </w:p>
          <w:p>
            <w:pPr>
              <w:pStyle w:val="Padro"/>
              <w:spacing w:lineRule="auto" w:line="240" w:before="0" w:after="0"/>
              <w:jc w:val="both"/>
              <w:rPr>
                <w:rFonts w:ascii="Arial" w:hAnsi="Arial" w:cs="Arial"/>
                <w:color w:val="00000A"/>
                <w:sz w:val="20"/>
                <w:szCs w:val="22"/>
              </w:rPr>
            </w:pPr>
            <w:r>
              <w:rPr>
                <w:rStyle w:val="Txtarial8ptgray"/>
                <w:rFonts w:cs="Arial" w:ascii="Arial" w:hAnsi="Arial"/>
                <w:color w:val="00000A"/>
                <w:sz w:val="20"/>
                <w:szCs w:val="22"/>
              </w:rPr>
              <w:t xml:space="preserve">FERREIRA, Jorge (org). </w:t>
            </w:r>
            <w:r>
              <w:rPr>
                <w:rStyle w:val="Txtarial8ptgray"/>
                <w:rFonts w:cs="Arial" w:ascii="Arial" w:hAnsi="Arial"/>
                <w:i/>
                <w:color w:val="00000A"/>
                <w:sz w:val="20"/>
                <w:szCs w:val="22"/>
              </w:rPr>
              <w:t>O populismo e sua história</w:t>
            </w:r>
            <w:r>
              <w:rPr>
                <w:rStyle w:val="Txtarial8ptgray"/>
                <w:rFonts w:cs="Arial" w:ascii="Arial" w:hAnsi="Arial"/>
                <w:color w:val="00000A"/>
                <w:sz w:val="20"/>
                <w:szCs w:val="22"/>
              </w:rPr>
              <w:t>: debate e crítica. Rio de Janeiro: Civilização Brasileira, 2001.</w:t>
            </w:r>
          </w:p>
          <w:p>
            <w:pPr>
              <w:pStyle w:val="Padro"/>
              <w:spacing w:lineRule="auto" w:line="240" w:before="0" w:after="0"/>
              <w:jc w:val="both"/>
              <w:rPr>
                <w:rFonts w:ascii="Arial" w:hAnsi="Arial" w:cs="Arial"/>
                <w:color w:val="00000A"/>
                <w:sz w:val="20"/>
                <w:szCs w:val="22"/>
              </w:rPr>
            </w:pPr>
            <w:r>
              <w:rPr>
                <w:rStyle w:val="Txtarial8ptgray"/>
                <w:rFonts w:cs="Arial" w:ascii="Arial" w:hAnsi="Arial"/>
                <w:color w:val="00000A"/>
                <w:sz w:val="20"/>
                <w:szCs w:val="22"/>
              </w:rPr>
              <w:t xml:space="preserve">LENHARO, Alcir. </w:t>
            </w:r>
            <w:r>
              <w:rPr>
                <w:rStyle w:val="Txtarial8ptgray"/>
                <w:rFonts w:cs="Arial" w:ascii="Arial" w:hAnsi="Arial"/>
                <w:i/>
                <w:color w:val="00000A"/>
                <w:sz w:val="20"/>
                <w:szCs w:val="22"/>
              </w:rPr>
              <w:t>A sacralização da política</w:t>
            </w:r>
            <w:r>
              <w:rPr>
                <w:rStyle w:val="Txtarial8ptgray"/>
                <w:rFonts w:cs="Arial" w:ascii="Arial" w:hAnsi="Arial"/>
                <w:color w:val="00000A"/>
                <w:sz w:val="20"/>
                <w:szCs w:val="22"/>
              </w:rPr>
              <w:t>. Campinas, Ed. Unicamp/Papirus, 1987.</w:t>
            </w:r>
          </w:p>
          <w:p>
            <w:pPr>
              <w:pStyle w:val="Normal"/>
              <w:spacing w:before="0" w:after="0"/>
              <w:jc w:val="both"/>
              <w:rPr>
                <w:rFonts w:ascii="Arial" w:hAnsi="Arial" w:cs="Arial"/>
                <w:b/>
                <w:b/>
              </w:rPr>
            </w:pPr>
            <w:r>
              <w:rPr>
                <w:rFonts w:cs="Arial" w:ascii="Arial" w:hAnsi="Arial"/>
                <w:sz w:val="20"/>
              </w:rPr>
              <w:t xml:space="preserve">LORENZO, Helena; COSTA, Wilma (Orgs). </w:t>
            </w:r>
            <w:r>
              <w:rPr>
                <w:rFonts w:cs="Arial" w:ascii="Arial" w:hAnsi="Arial"/>
                <w:i/>
                <w:sz w:val="20"/>
              </w:rPr>
              <w:t>A década de 20 e as origens do Brasil moderno</w:t>
            </w:r>
            <w:r>
              <w:rPr>
                <w:rFonts w:cs="Arial" w:ascii="Arial" w:hAnsi="Arial"/>
                <w:sz w:val="20"/>
              </w:rPr>
              <w:t>. São Paulo, UNESP/FAPESP, 1997.</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rPr>
              <w:t xml:space="preserve"> </w:t>
            </w:r>
            <w:r>
              <w:rPr>
                <w:rFonts w:cs="Arial" w:ascii="Arial" w:hAnsi="Arial"/>
                <w:b/>
                <w:u w:val="single"/>
              </w:rPr>
              <w:t xml:space="preserve"> História Contemporânea nos séculos XX e XXI</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7º</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 e 15 h/a práticas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S</w:t>
            </w:r>
            <w:r>
              <w:rPr>
                <w:rFonts w:eastAsia="Calibri" w:cs="Arial" w:ascii="Arial" w:hAnsi="Arial"/>
              </w:rPr>
              <w:t>ociedades</w:t>
            </w:r>
            <w:r>
              <w:rPr>
                <w:rFonts w:cs="Arial" w:ascii="Arial" w:hAnsi="Arial"/>
              </w:rPr>
              <w:t xml:space="preserve"> c</w:t>
            </w:r>
            <w:r>
              <w:rPr>
                <w:rFonts w:eastAsia="Calibri" w:cs="Arial" w:ascii="Arial" w:hAnsi="Arial"/>
              </w:rPr>
              <w:t xml:space="preserve">ontemporâneas, séculos </w:t>
            </w:r>
            <w:r>
              <w:rPr>
                <w:rFonts w:cs="Arial" w:ascii="Arial" w:hAnsi="Arial"/>
              </w:rPr>
              <w:t>XX-XXI; processos históricos mundiais. Conflitos, guerras e revoluções. Capitalismo; Socialismo; Fascismo. Lutas de libertação nacional. Cultura de massas e contestação. Globalização; nacionalismos. C</w:t>
            </w:r>
            <w:r>
              <w:rPr>
                <w:rFonts w:eastAsia="Calibri" w:cs="Arial" w:ascii="Arial" w:hAnsi="Arial"/>
              </w:rPr>
              <w:t>onflitos étnico</w:t>
            </w:r>
            <w:r>
              <w:rPr>
                <w:rFonts w:cs="Arial" w:ascii="Arial" w:hAnsi="Arial"/>
              </w:rPr>
              <w:t xml:space="preserve"> </w:t>
            </w:r>
            <w:r>
              <w:rPr>
                <w:rFonts w:eastAsia="Calibri" w:cs="Arial" w:ascii="Arial" w:hAnsi="Arial"/>
              </w:rPr>
              <w:t>políticos. Questão</w:t>
            </w:r>
            <w:r>
              <w:rPr>
                <w:rFonts w:cs="Arial" w:ascii="Arial" w:hAnsi="Arial"/>
              </w:rPr>
              <w:t xml:space="preserve"> </w:t>
            </w:r>
            <w:r>
              <w:rPr>
                <w:rFonts w:eastAsia="Calibri" w:cs="Arial" w:ascii="Arial" w:hAnsi="Arial"/>
              </w:rPr>
              <w:t xml:space="preserve">democrática. </w:t>
            </w:r>
            <w:r>
              <w:rPr>
                <w:rFonts w:cs="Arial" w:ascii="Arial" w:hAnsi="Arial"/>
              </w:rPr>
              <w:t xml:space="preserve">Debates historiográficos sobre estudos de História Contemporânea. </w:t>
            </w:r>
            <w:r>
              <w:rPr>
                <w:rFonts w:eastAsia="Calibri" w:cs="Arial" w:ascii="Arial" w:hAnsi="Arial"/>
              </w:rPr>
              <w:t>Prática do ensino de história e do campo historiográfico.</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HIRST, Paul; THOMPSON, Grahame. </w:t>
            </w:r>
            <w:r>
              <w:rPr>
                <w:rFonts w:cs="Arial" w:ascii="Arial" w:hAnsi="Arial"/>
                <w:i/>
                <w:color w:val="00000A"/>
                <w:sz w:val="20"/>
                <w:szCs w:val="22"/>
              </w:rPr>
              <w:t>Globalização em questã</w:t>
            </w:r>
            <w:r>
              <w:rPr>
                <w:rFonts w:cs="Arial" w:ascii="Arial" w:hAnsi="Arial"/>
                <w:color w:val="00000A"/>
                <w:sz w:val="20"/>
                <w:szCs w:val="22"/>
              </w:rPr>
              <w:t>o. Petrópolis: Vozes, 1998.</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shd w:fill="FFFFFF" w:val="clear"/>
              </w:rPr>
              <w:t xml:space="preserve">HOBSBAWM, Eric. </w:t>
            </w:r>
            <w:r>
              <w:rPr>
                <w:rFonts w:cs="Arial" w:ascii="Arial" w:hAnsi="Arial"/>
                <w:bCs/>
                <w:i/>
                <w:color w:val="00000A"/>
                <w:sz w:val="20"/>
                <w:szCs w:val="22"/>
                <w:shd w:fill="FFFFFF" w:val="clear"/>
              </w:rPr>
              <w:t>Era dos extremos</w:t>
            </w:r>
            <w:r>
              <w:rPr>
                <w:rFonts w:cs="Arial" w:ascii="Arial" w:hAnsi="Arial"/>
                <w:color w:val="00000A"/>
                <w:sz w:val="20"/>
                <w:szCs w:val="22"/>
                <w:shd w:fill="FFFFFF" w:val="clear"/>
              </w:rPr>
              <w:t>. São Paulo: Cia. das Letras, 1995.</w:t>
            </w:r>
          </w:p>
          <w:p>
            <w:pPr>
              <w:pStyle w:val="Normal"/>
              <w:spacing w:before="0" w:after="0"/>
              <w:jc w:val="both"/>
              <w:rPr>
                <w:rFonts w:ascii="Arial" w:hAnsi="Arial" w:cs="Arial"/>
                <w:b/>
                <w:b/>
              </w:rPr>
            </w:pPr>
            <w:r>
              <w:rPr>
                <w:rFonts w:cs="Arial" w:ascii="Arial" w:hAnsi="Arial"/>
                <w:sz w:val="20"/>
                <w:shd w:fill="FFFFFF" w:val="clear"/>
              </w:rPr>
              <w:t>REIS FILHO, Daniel A.; FERREIRA, Jorge; Zenha, Celeste (org).</w:t>
            </w:r>
            <w:r>
              <w:rPr>
                <w:rStyle w:val="Appleconvertedspace"/>
                <w:rFonts w:cs="Arial" w:ascii="Arial" w:hAnsi="Arial"/>
                <w:sz w:val="20"/>
                <w:shd w:fill="FFFFFF" w:val="clear"/>
              </w:rPr>
              <w:t> </w:t>
            </w:r>
            <w:r>
              <w:rPr>
                <w:rFonts w:cs="Arial" w:ascii="Arial" w:hAnsi="Arial"/>
                <w:i/>
                <w:iCs/>
                <w:sz w:val="20"/>
                <w:shd w:fill="FFFFFF" w:val="clear"/>
              </w:rPr>
              <w:t xml:space="preserve">O Século XX. </w:t>
            </w:r>
            <w:r>
              <w:rPr>
                <w:rFonts w:cs="Arial" w:ascii="Arial" w:hAnsi="Arial"/>
                <w:sz w:val="20"/>
                <w:shd w:fill="FFFFFF" w:val="clear"/>
              </w:rPr>
              <w:t xml:space="preserve"> Rio de Janeiro: Civilização Brasileira, 2000. 3v.</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BLACKBURN, Robin. </w:t>
            </w:r>
            <w:r>
              <w:rPr>
                <w:rFonts w:cs="Arial" w:ascii="Arial" w:hAnsi="Arial"/>
                <w:bCs/>
                <w:i/>
                <w:color w:val="00000A"/>
                <w:sz w:val="20"/>
                <w:szCs w:val="22"/>
              </w:rPr>
              <w:t>Depois da queda</w:t>
            </w:r>
            <w:r>
              <w:rPr>
                <w:rFonts w:cs="Arial" w:ascii="Arial" w:hAnsi="Arial"/>
                <w:color w:val="00000A"/>
                <w:sz w:val="20"/>
                <w:szCs w:val="22"/>
              </w:rPr>
              <w:t xml:space="preserve">: o fracasso do comunismo e o futuro do socialismo. Rio de Janeiro, Paz e Terra, 1992. </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JUDT, T. </w:t>
            </w:r>
            <w:r>
              <w:rPr>
                <w:rFonts w:cs="Arial" w:ascii="Arial" w:hAnsi="Arial"/>
                <w:bCs/>
                <w:i/>
                <w:color w:val="00000A"/>
                <w:sz w:val="20"/>
                <w:szCs w:val="22"/>
              </w:rPr>
              <w:t>Pós-guerra</w:t>
            </w:r>
            <w:r>
              <w:rPr>
                <w:rFonts w:cs="Arial" w:ascii="Arial" w:hAnsi="Arial"/>
                <w:color w:val="00000A"/>
                <w:sz w:val="20"/>
                <w:szCs w:val="22"/>
              </w:rPr>
              <w:t>. História da Europa desde 1945. Lisboa: Edições 70, 2005.</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LOSURDO, D. </w:t>
            </w:r>
            <w:r>
              <w:rPr>
                <w:rFonts w:cs="Arial" w:ascii="Arial" w:hAnsi="Arial"/>
                <w:bCs/>
                <w:i/>
                <w:color w:val="00000A"/>
                <w:sz w:val="20"/>
                <w:szCs w:val="22"/>
              </w:rPr>
              <w:t>Fuga da História?</w:t>
            </w:r>
            <w:r>
              <w:rPr>
                <w:rFonts w:cs="Arial" w:ascii="Arial" w:hAnsi="Arial"/>
                <w:b/>
                <w:bCs/>
                <w:color w:val="00000A"/>
                <w:sz w:val="20"/>
                <w:szCs w:val="22"/>
              </w:rPr>
              <w:t xml:space="preserve"> </w:t>
            </w:r>
            <w:r>
              <w:rPr>
                <w:rFonts w:cs="Arial" w:ascii="Arial" w:hAnsi="Arial"/>
                <w:color w:val="00000A"/>
                <w:sz w:val="20"/>
                <w:szCs w:val="22"/>
              </w:rPr>
              <w:t>A Revolução Russa e a Revolução Chinesa vistas de hoje. Rio de Janeiro: Revan, 2004.</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PAXTON, Robert O. </w:t>
            </w:r>
            <w:r>
              <w:rPr>
                <w:rFonts w:cs="Arial" w:ascii="Arial" w:hAnsi="Arial"/>
                <w:bCs/>
                <w:i/>
                <w:color w:val="00000A"/>
                <w:sz w:val="20"/>
                <w:szCs w:val="22"/>
              </w:rPr>
              <w:t>A anatomia do fascismo</w:t>
            </w:r>
            <w:r>
              <w:rPr>
                <w:rFonts w:cs="Arial" w:ascii="Arial" w:hAnsi="Arial"/>
                <w:color w:val="00000A"/>
                <w:sz w:val="20"/>
                <w:szCs w:val="22"/>
              </w:rPr>
              <w:t xml:space="preserve">. São Paulo: Paz e Terra, 2007. </w:t>
            </w:r>
          </w:p>
          <w:p>
            <w:pPr>
              <w:pStyle w:val="Normal"/>
              <w:spacing w:before="0" w:after="0"/>
              <w:jc w:val="both"/>
              <w:rPr>
                <w:rFonts w:ascii="Arial" w:hAnsi="Arial" w:cs="Arial"/>
                <w:b/>
                <w:b/>
              </w:rPr>
            </w:pPr>
            <w:r>
              <w:rPr>
                <w:rFonts w:cs="Arial" w:ascii="Arial" w:hAnsi="Arial"/>
                <w:sz w:val="20"/>
                <w:shd w:fill="FFFFFF" w:val="clear"/>
              </w:rPr>
              <w:t>SAID, Edward W.</w:t>
            </w:r>
            <w:r>
              <w:rPr>
                <w:rStyle w:val="Appleconvertedspace"/>
                <w:rFonts w:cs="Arial" w:ascii="Arial" w:hAnsi="Arial"/>
                <w:sz w:val="20"/>
                <w:shd w:fill="FFFFFF" w:val="clear"/>
              </w:rPr>
              <w:t> </w:t>
            </w:r>
            <w:r>
              <w:rPr>
                <w:rFonts w:cs="Arial" w:ascii="Arial" w:hAnsi="Arial"/>
                <w:i/>
                <w:iCs/>
                <w:sz w:val="20"/>
                <w:shd w:fill="FFFFFF" w:val="clear"/>
              </w:rPr>
              <w:t>Cultura e Imperialismo</w:t>
            </w:r>
            <w:r>
              <w:rPr>
                <w:rFonts w:cs="Arial" w:ascii="Arial" w:hAnsi="Arial"/>
                <w:sz w:val="20"/>
                <w:shd w:fill="FFFFFF" w:val="clear"/>
              </w:rPr>
              <w:t>. São Paulo: Companhia das Letras, 2011.</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rPr>
              <w:t xml:space="preserve"> </w:t>
            </w:r>
            <w:r>
              <w:rPr>
                <w:rFonts w:cs="Arial" w:ascii="Arial" w:hAnsi="Arial"/>
                <w:b/>
                <w:u w:val="single"/>
              </w:rPr>
              <w:t xml:space="preserve"> História do Brasil Contemporâneo</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7º</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 e 15 h/a práticas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 xml:space="preserve">Ementa: </w:t>
            </w:r>
            <w:r>
              <w:rPr>
                <w:rFonts w:eastAsia="Calibri" w:cs="Arial" w:ascii="Arial" w:hAnsi="Arial"/>
              </w:rPr>
              <w:t xml:space="preserve">Estudo da sociedade brasileira após a queda do Estado Novo: reorganização político-partidária, disputas ideológicas e o movimento operário e estudantil. O projeto nacional-desenvolvimentista e as reformas de base. Vida cultural e intelectual. O golpe civil-militar e o regime ditatorial. As resistências. A abertura política e o processo de redemocratização. O Brasil do tempo presente. As perspectivas </w:t>
            </w:r>
            <w:r>
              <w:rPr>
                <w:rFonts w:cs="Arial" w:ascii="Arial" w:hAnsi="Arial"/>
              </w:rPr>
              <w:t xml:space="preserve">historiográficas, teóricas e metodológicas. </w:t>
            </w:r>
            <w:r>
              <w:rPr>
                <w:rFonts w:eastAsia="Calibri" w:cs="Arial" w:ascii="Arial" w:hAnsi="Arial"/>
              </w:rPr>
              <w:t>Prática do ensino de história e do campo historiográfico.</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FERREIRA, Jorge; DELGADO, Lucília de Almeida Neves (Orgs.) </w:t>
            </w:r>
            <w:r>
              <w:rPr>
                <w:rFonts w:eastAsia="Calibri" w:cs="Arial" w:ascii="Arial" w:hAnsi="Arial"/>
                <w:bCs/>
                <w:i/>
                <w:color w:val="00000A"/>
                <w:sz w:val="20"/>
                <w:szCs w:val="22"/>
              </w:rPr>
              <w:t>O Brasil republicano</w:t>
            </w:r>
            <w:r>
              <w:rPr>
                <w:rFonts w:eastAsia="Calibri" w:cs="Arial" w:ascii="Arial" w:hAnsi="Arial"/>
                <w:i/>
                <w:color w:val="00000A"/>
                <w:sz w:val="20"/>
                <w:szCs w:val="22"/>
              </w:rPr>
              <w:t xml:space="preserve"> </w:t>
            </w:r>
            <w:r>
              <w:rPr>
                <w:rFonts w:eastAsia="Calibri" w:cs="Arial" w:ascii="Arial" w:hAnsi="Arial"/>
                <w:color w:val="00000A"/>
                <w:sz w:val="20"/>
                <w:szCs w:val="22"/>
              </w:rPr>
              <w:t>(2 vols). Rio de Janeiro: Civilização Brasileira, 2003. (Vol. 3: O tempo da experiência democrática. Vol. 4: O tempo da ditadura).</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MOTA, Carlos Guilherme (org). </w:t>
            </w:r>
            <w:r>
              <w:rPr>
                <w:rFonts w:eastAsia="Calibri" w:cs="Arial" w:ascii="Arial" w:hAnsi="Arial"/>
                <w:i/>
                <w:iCs/>
                <w:color w:val="00000A"/>
                <w:sz w:val="20"/>
                <w:szCs w:val="22"/>
              </w:rPr>
              <w:t xml:space="preserve">Viagem incompleta II. </w:t>
            </w:r>
            <w:r>
              <w:rPr>
                <w:rFonts w:eastAsia="Calibri" w:cs="Arial" w:ascii="Arial" w:hAnsi="Arial"/>
                <w:color w:val="00000A"/>
                <w:sz w:val="20"/>
                <w:szCs w:val="22"/>
              </w:rPr>
              <w:t xml:space="preserve">A grande transação. São Paulo: Editora SENAC de São Paulo, 2000. </w:t>
            </w:r>
          </w:p>
          <w:p>
            <w:pPr>
              <w:pStyle w:val="Normal"/>
              <w:spacing w:before="0" w:after="0"/>
              <w:jc w:val="both"/>
              <w:rPr>
                <w:rFonts w:ascii="Arial" w:hAnsi="Arial" w:cs="Arial"/>
                <w:b/>
                <w:b/>
              </w:rPr>
            </w:pPr>
            <w:r>
              <w:rPr>
                <w:rFonts w:eastAsia="Calibri" w:cs="Arial" w:ascii="Arial" w:hAnsi="Arial"/>
                <w:sz w:val="20"/>
              </w:rPr>
              <w:t xml:space="preserve">REIS, Daniel Aarão (org). </w:t>
            </w:r>
            <w:r>
              <w:rPr>
                <w:rFonts w:eastAsia="Calibri" w:cs="Arial" w:ascii="Arial" w:hAnsi="Arial"/>
                <w:i/>
                <w:iCs/>
                <w:sz w:val="20"/>
              </w:rPr>
              <w:t>O século XX.</w:t>
            </w:r>
            <w:r>
              <w:rPr>
                <w:rFonts w:eastAsia="Calibri" w:cs="Arial" w:ascii="Arial" w:hAnsi="Arial"/>
                <w:iCs/>
                <w:sz w:val="20"/>
              </w:rPr>
              <w:t xml:space="preserve"> (2 vols.)</w:t>
            </w:r>
            <w:r>
              <w:rPr>
                <w:rFonts w:eastAsia="Calibri" w:cs="Arial" w:ascii="Arial" w:hAnsi="Arial"/>
                <w:i/>
                <w:iCs/>
                <w:sz w:val="20"/>
              </w:rPr>
              <w:t xml:space="preserve"> </w:t>
            </w:r>
            <w:r>
              <w:rPr>
                <w:rFonts w:eastAsia="Calibri" w:cs="Arial" w:ascii="Arial" w:hAnsi="Arial"/>
                <w:sz w:val="20"/>
              </w:rPr>
              <w:t>Rio de Janeiro: Civilização Brasileira, 2000. (Vol. 2: O tempo das crises; vol. 3: Tempo das dúvidas).</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ABREU, Marcelo de Paiva et al. </w:t>
            </w:r>
            <w:r>
              <w:rPr>
                <w:rFonts w:eastAsia="Calibri" w:cs="Arial" w:ascii="Arial" w:hAnsi="Arial"/>
                <w:i/>
                <w:iCs/>
                <w:color w:val="00000A"/>
                <w:sz w:val="20"/>
                <w:szCs w:val="22"/>
              </w:rPr>
              <w:t xml:space="preserve">A ordem do progresso. </w:t>
            </w:r>
            <w:r>
              <w:rPr>
                <w:rFonts w:eastAsia="Calibri" w:cs="Arial" w:ascii="Arial" w:hAnsi="Arial"/>
                <w:color w:val="00000A"/>
                <w:sz w:val="20"/>
                <w:szCs w:val="22"/>
              </w:rPr>
              <w:t>Cem anos de política econômica republicana. 1889-1989. Rio de Janeiro: Campus, 1990.</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lang w:eastAsia="ar-SA"/>
              </w:rPr>
              <w:t xml:space="preserve">ALVES, Maria Helena Moreira. </w:t>
            </w:r>
            <w:r>
              <w:rPr>
                <w:rFonts w:cs="Arial" w:ascii="Arial" w:hAnsi="Arial"/>
                <w:i/>
                <w:color w:val="00000A"/>
                <w:sz w:val="20"/>
                <w:szCs w:val="22"/>
                <w:lang w:eastAsia="ar-SA"/>
              </w:rPr>
              <w:t>Estado e oposição no Brasil</w:t>
            </w:r>
            <w:r>
              <w:rPr>
                <w:rFonts w:cs="Arial" w:ascii="Arial" w:hAnsi="Arial"/>
                <w:color w:val="00000A"/>
                <w:sz w:val="20"/>
                <w:szCs w:val="22"/>
                <w:lang w:eastAsia="ar-SA"/>
              </w:rPr>
              <w:t xml:space="preserve"> (1964-1984). Petrópolis: Vozes, 1984.</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FERREIRA, Jorge (org). </w:t>
            </w:r>
            <w:r>
              <w:rPr>
                <w:rFonts w:eastAsia="Calibri" w:cs="Arial" w:ascii="Arial" w:hAnsi="Arial"/>
                <w:i/>
                <w:iCs/>
                <w:color w:val="00000A"/>
                <w:sz w:val="20"/>
                <w:szCs w:val="22"/>
              </w:rPr>
              <w:t xml:space="preserve">O populismo e sua história. </w:t>
            </w:r>
            <w:r>
              <w:rPr>
                <w:rFonts w:eastAsia="Calibri" w:cs="Arial" w:ascii="Arial" w:hAnsi="Arial"/>
                <w:color w:val="00000A"/>
                <w:sz w:val="20"/>
                <w:szCs w:val="22"/>
              </w:rPr>
              <w:t>Rio de Janeiro: Civilização Brasileira, 2001.</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MOTTA, Rodrigo Patto Sá. </w:t>
            </w:r>
            <w:r>
              <w:rPr>
                <w:rFonts w:eastAsia="Calibri" w:cs="Arial" w:ascii="Arial" w:hAnsi="Arial"/>
                <w:i/>
                <w:iCs/>
                <w:color w:val="00000A"/>
                <w:sz w:val="20"/>
                <w:szCs w:val="22"/>
              </w:rPr>
              <w:t xml:space="preserve">Introdução à história dos partidos políticos brasileiros. </w:t>
            </w:r>
            <w:r>
              <w:rPr>
                <w:rFonts w:eastAsia="Calibri" w:cs="Arial" w:ascii="Arial" w:hAnsi="Arial"/>
                <w:color w:val="00000A"/>
                <w:sz w:val="20"/>
                <w:szCs w:val="22"/>
              </w:rPr>
              <w:t>Belo Horizonte: Editora UFMG, 1999.</w:t>
            </w:r>
          </w:p>
          <w:p>
            <w:pPr>
              <w:pStyle w:val="Normal"/>
              <w:spacing w:before="0" w:after="0"/>
              <w:jc w:val="both"/>
              <w:rPr>
                <w:rFonts w:ascii="Arial" w:hAnsi="Arial" w:cs="Arial"/>
                <w:b/>
                <w:b/>
              </w:rPr>
            </w:pPr>
            <w:r>
              <w:rPr>
                <w:rFonts w:eastAsia="Calibri" w:cs="Arial" w:ascii="Arial" w:hAnsi="Arial"/>
                <w:sz w:val="20"/>
              </w:rPr>
              <w:t xml:space="preserve">RIDENTI, Marcelo, REIS, Daniel Aarão, SÁ MOTTA, Rodrigo Patto. </w:t>
            </w:r>
            <w:r>
              <w:rPr>
                <w:rFonts w:eastAsia="Calibri" w:cs="Arial" w:ascii="Arial" w:hAnsi="Arial"/>
                <w:i/>
                <w:sz w:val="20"/>
              </w:rPr>
              <w:t xml:space="preserve">O golpe e a ditadura militar: </w:t>
            </w:r>
            <w:r>
              <w:rPr>
                <w:rFonts w:eastAsia="Calibri" w:cs="Arial" w:ascii="Arial" w:hAnsi="Arial"/>
                <w:sz w:val="20"/>
              </w:rPr>
              <w:t>40 anos depois (1964-2004). São Paulo: EDUSC, 2004.</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rPr>
              <w:t xml:space="preserve"> </w:t>
            </w:r>
            <w:r>
              <w:rPr>
                <w:rFonts w:cs="Arial" w:ascii="Arial" w:hAnsi="Arial"/>
                <w:b/>
                <w:u w:val="single"/>
              </w:rPr>
              <w:t xml:space="preserve"> História de Minas Gerais</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8º</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w:t>
            </w:r>
            <w:r>
              <w:rPr>
                <w:rFonts w:eastAsia="Calibri" w:cs="Arial" w:ascii="Arial" w:hAnsi="Arial"/>
              </w:rPr>
              <w:t xml:space="preserve">Estudo da trajetória setecentista de Minas Gerais. Análise da historiografia mineira referente ao período colonial. Estudo da trajetória oitocentista de Minas Gerais. Análise da historiografia mineira referente ao período imperial. Estudo da trajetória da região de Diamantina nos séculos XVIII e XIX e da historiografia regional. </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GRAÇA FILHO, Afonso de Alencastro. </w:t>
            </w:r>
            <w:r>
              <w:rPr>
                <w:rFonts w:eastAsia="Calibri" w:cs="Arial" w:ascii="Arial" w:hAnsi="Arial"/>
                <w:i/>
                <w:color w:val="00000A"/>
                <w:sz w:val="20"/>
                <w:szCs w:val="22"/>
              </w:rPr>
              <w:t>História, Região &amp; Globalização</w:t>
            </w:r>
            <w:r>
              <w:rPr>
                <w:rFonts w:eastAsia="Calibri" w:cs="Arial" w:ascii="Arial" w:hAnsi="Arial"/>
                <w:color w:val="00000A"/>
                <w:sz w:val="20"/>
                <w:szCs w:val="22"/>
              </w:rPr>
              <w:t>. Belo Horizonte: Autêntica, 2009.</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RESENDE, Maria Efigênia Lage de; VILLALTA, Luiz Carlos (Orgs.) </w:t>
            </w:r>
            <w:r>
              <w:rPr>
                <w:rFonts w:cs="Arial" w:ascii="Arial" w:hAnsi="Arial"/>
                <w:i/>
                <w:color w:val="00000A"/>
                <w:sz w:val="20"/>
                <w:szCs w:val="22"/>
              </w:rPr>
              <w:t>História de Minas Gerais</w:t>
            </w:r>
            <w:r>
              <w:rPr>
                <w:rFonts w:cs="Arial" w:ascii="Arial" w:hAnsi="Arial"/>
                <w:color w:val="00000A"/>
                <w:sz w:val="20"/>
                <w:szCs w:val="22"/>
              </w:rPr>
              <w:t>: As Minas Setecentistas. Belo Horizonte: Autêntica; Companhia do Tempo, 2007. 2 V.</w:t>
            </w:r>
          </w:p>
          <w:p>
            <w:pPr>
              <w:pStyle w:val="Normal"/>
              <w:spacing w:before="0" w:after="0"/>
              <w:jc w:val="both"/>
              <w:rPr>
                <w:rFonts w:ascii="Arial" w:hAnsi="Arial" w:cs="Arial"/>
                <w:b/>
                <w:b/>
              </w:rPr>
            </w:pPr>
            <w:r>
              <w:rPr>
                <w:rFonts w:cs="Arial" w:ascii="Arial" w:hAnsi="Arial"/>
                <w:sz w:val="20"/>
              </w:rPr>
              <w:t xml:space="preserve">RESENDE, Maria Efigênia Lage de; VILLALTA, Luiz Carlos (Orgs.). </w:t>
            </w:r>
            <w:r>
              <w:rPr>
                <w:rFonts w:cs="Arial" w:ascii="Arial" w:hAnsi="Arial"/>
                <w:i/>
                <w:sz w:val="20"/>
              </w:rPr>
              <w:t>História de Minas Gerais</w:t>
            </w:r>
            <w:r>
              <w:rPr>
                <w:rFonts w:cs="Arial" w:ascii="Arial" w:hAnsi="Arial"/>
                <w:sz w:val="20"/>
              </w:rPr>
              <w:t>: a Província de Minas. Belo Horizonte: Autêntica; Companhia do Tempo, 2013. 2 V.</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FIGUEIREDO, Luciano. </w:t>
            </w:r>
            <w:r>
              <w:rPr>
                <w:rFonts w:cs="Arial" w:ascii="Arial" w:hAnsi="Arial"/>
                <w:i/>
                <w:color w:val="00000A"/>
                <w:sz w:val="20"/>
                <w:szCs w:val="22"/>
              </w:rPr>
              <w:t>Barrocas famílias</w:t>
            </w:r>
            <w:r>
              <w:rPr>
                <w:rFonts w:cs="Arial" w:ascii="Arial" w:hAnsi="Arial"/>
                <w:color w:val="00000A"/>
                <w:sz w:val="20"/>
                <w:szCs w:val="22"/>
              </w:rPr>
              <w:t>. São Paulo: Hucitec, 1997.</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FURTADO, Júnia Ferreira. </w:t>
            </w:r>
            <w:r>
              <w:rPr>
                <w:rFonts w:cs="Arial" w:ascii="Arial" w:hAnsi="Arial"/>
                <w:i/>
                <w:color w:val="00000A"/>
                <w:sz w:val="20"/>
                <w:szCs w:val="22"/>
              </w:rPr>
              <w:t>O livro da capa verde</w:t>
            </w:r>
            <w:r>
              <w:rPr>
                <w:rFonts w:cs="Arial" w:ascii="Arial" w:hAnsi="Arial"/>
                <w:color w:val="00000A"/>
                <w:sz w:val="20"/>
                <w:szCs w:val="22"/>
              </w:rPr>
              <w:t>: o regimento diamantino de 1771 e a vida no Distrito Diamantino no período da Real Extração. São Paulo: Annablume, 1996.</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LIBBY, Douglas Cole. </w:t>
            </w:r>
            <w:r>
              <w:rPr>
                <w:rFonts w:cs="Arial" w:ascii="Arial" w:hAnsi="Arial"/>
                <w:i/>
                <w:color w:val="00000A"/>
                <w:sz w:val="20"/>
                <w:szCs w:val="22"/>
              </w:rPr>
              <w:t>Transformação e trabalho em uma economia escravista</w:t>
            </w:r>
            <w:r>
              <w:rPr>
                <w:rFonts w:cs="Arial" w:ascii="Arial" w:hAnsi="Arial"/>
                <w:color w:val="00000A"/>
                <w:sz w:val="20"/>
                <w:szCs w:val="22"/>
              </w:rPr>
              <w:t>: Minas Gerais no século XIX. São Paulo: Brasiliense, 1988.</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MARTINS, Marcos Lobato. </w:t>
            </w:r>
            <w:r>
              <w:rPr>
                <w:rFonts w:cs="Arial" w:ascii="Arial" w:hAnsi="Arial"/>
                <w:i/>
                <w:color w:val="00000A"/>
                <w:sz w:val="20"/>
                <w:szCs w:val="22"/>
              </w:rPr>
              <w:t>Breviário de Diamantina</w:t>
            </w:r>
            <w:r>
              <w:rPr>
                <w:rFonts w:cs="Arial" w:ascii="Arial" w:hAnsi="Arial"/>
                <w:color w:val="00000A"/>
                <w:sz w:val="20"/>
                <w:szCs w:val="22"/>
              </w:rPr>
              <w:t>: uma história do garimpo de diamantes nas Minas Gerais (século XIX). Belo Horizonte: Fino Traço/Fapemig, 2014.</w:t>
            </w:r>
          </w:p>
          <w:p>
            <w:pPr>
              <w:pStyle w:val="Normal"/>
              <w:spacing w:before="0" w:after="0"/>
              <w:jc w:val="both"/>
              <w:rPr>
                <w:rFonts w:ascii="Arial" w:hAnsi="Arial" w:cs="Arial"/>
                <w:b/>
                <w:b/>
              </w:rPr>
            </w:pPr>
            <w:r>
              <w:rPr>
                <w:rFonts w:cs="Arial" w:ascii="Arial" w:hAnsi="Arial"/>
                <w:sz w:val="20"/>
              </w:rPr>
              <w:t xml:space="preserve">MAXWELL, Kenneth. </w:t>
            </w:r>
            <w:r>
              <w:rPr>
                <w:rFonts w:cs="Arial" w:ascii="Arial" w:hAnsi="Arial"/>
                <w:i/>
                <w:sz w:val="20"/>
              </w:rPr>
              <w:t>A devassa da devassa</w:t>
            </w:r>
            <w:r>
              <w:rPr>
                <w:rFonts w:cs="Arial" w:ascii="Arial" w:hAnsi="Arial"/>
                <w:sz w:val="20"/>
              </w:rPr>
              <w:t>: a Inconfidência Mineira; Brasil-Portugal, 1750-1808. 2ª ed. Rio de Janeiro: Paz e Terra, 1978.</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rPr>
              <w:t xml:space="preserve"> </w:t>
            </w:r>
            <w:r>
              <w:rPr>
                <w:rFonts w:cs="Arial" w:ascii="Arial" w:hAnsi="Arial"/>
                <w:b/>
                <w:u w:val="single"/>
              </w:rPr>
              <w:t xml:space="preserve"> Trabalho de Conclusão de Curso</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8º</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Pesquisa de fontes históricas. Redação do TCC e defesa do trabalho</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Style w:val="Txtarial8ptgray"/>
                <w:rFonts w:cs="Arial" w:ascii="Arial" w:hAnsi="Arial"/>
                <w:color w:val="00000A"/>
                <w:sz w:val="20"/>
                <w:szCs w:val="22"/>
              </w:rPr>
              <w:t xml:space="preserve">GINZBURG, Carlo. </w:t>
            </w:r>
            <w:r>
              <w:rPr>
                <w:rStyle w:val="Txtarial8ptgray"/>
                <w:rFonts w:cs="Arial" w:ascii="Arial" w:hAnsi="Arial"/>
                <w:i/>
                <w:color w:val="00000A"/>
                <w:sz w:val="20"/>
                <w:szCs w:val="22"/>
              </w:rPr>
              <w:t>A Micro-História e outros ensaios</w:t>
            </w:r>
            <w:r>
              <w:rPr>
                <w:rStyle w:val="Txtarial8ptgray"/>
                <w:rFonts w:cs="Arial" w:ascii="Arial" w:hAnsi="Arial"/>
                <w:color w:val="00000A"/>
                <w:sz w:val="20"/>
                <w:szCs w:val="22"/>
              </w:rPr>
              <w:t>. Tradução de Antonio Narino. Rio de Janeiro: Bertrand do Brasil, 1991.</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HUNT, Lynn. </w:t>
            </w:r>
            <w:r>
              <w:rPr>
                <w:rFonts w:cs="Arial" w:ascii="Arial" w:hAnsi="Arial"/>
                <w:i/>
                <w:iCs/>
                <w:color w:val="00000A"/>
                <w:sz w:val="20"/>
                <w:szCs w:val="22"/>
              </w:rPr>
              <w:t xml:space="preserve">A nova história cultural. </w:t>
            </w:r>
            <w:r>
              <w:rPr>
                <w:rFonts w:cs="Arial" w:ascii="Arial" w:hAnsi="Arial"/>
                <w:color w:val="00000A"/>
                <w:sz w:val="20"/>
                <w:szCs w:val="22"/>
              </w:rPr>
              <w:t>São Paulo: Martins Fontes, 1992.</w:t>
            </w:r>
          </w:p>
          <w:p>
            <w:pPr>
              <w:pStyle w:val="Normal"/>
              <w:spacing w:before="0" w:after="0"/>
              <w:jc w:val="both"/>
              <w:rPr>
                <w:rFonts w:ascii="Arial" w:hAnsi="Arial" w:cs="Arial"/>
                <w:b/>
                <w:b/>
              </w:rPr>
            </w:pPr>
            <w:r>
              <w:rPr>
                <w:rStyle w:val="Txtarial8ptgray"/>
                <w:rFonts w:cs="Arial" w:ascii="Arial" w:hAnsi="Arial"/>
                <w:sz w:val="20"/>
              </w:rPr>
              <w:t xml:space="preserve">NOVAIS, Fernando; SILVA, Rogério Forastieri da. (Orgs.) </w:t>
            </w:r>
            <w:r>
              <w:rPr>
                <w:rStyle w:val="Txtarial8ptgray"/>
                <w:rFonts w:cs="Arial" w:ascii="Arial" w:hAnsi="Arial"/>
                <w:i/>
                <w:sz w:val="20"/>
              </w:rPr>
              <w:t>Nova História em perspectiva. 2 Volumes. S</w:t>
            </w:r>
            <w:r>
              <w:rPr>
                <w:rStyle w:val="Txtarial8ptgray"/>
                <w:rFonts w:cs="Arial" w:ascii="Arial" w:hAnsi="Arial"/>
                <w:sz w:val="20"/>
              </w:rPr>
              <w:t>ão Paulo: Cosac Naify, 2011, 2013.</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CERTEAU, Michel de. </w:t>
            </w:r>
            <w:r>
              <w:rPr>
                <w:rFonts w:cs="Arial" w:ascii="Arial" w:hAnsi="Arial"/>
                <w:i/>
                <w:iCs/>
                <w:color w:val="00000A"/>
                <w:sz w:val="20"/>
                <w:szCs w:val="22"/>
              </w:rPr>
              <w:t>A invenção do cotidiano</w:t>
            </w:r>
            <w:r>
              <w:rPr>
                <w:rFonts w:cs="Arial" w:ascii="Arial" w:hAnsi="Arial"/>
                <w:color w:val="00000A"/>
                <w:sz w:val="20"/>
                <w:szCs w:val="22"/>
              </w:rPr>
              <w:t>: 1. Artes de fazer. Petrópolis: Vozes, 1994.</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CHARTIER, Roger. </w:t>
            </w:r>
            <w:r>
              <w:rPr>
                <w:rFonts w:cs="Arial" w:ascii="Arial" w:hAnsi="Arial"/>
                <w:i/>
                <w:iCs/>
                <w:color w:val="00000A"/>
                <w:sz w:val="20"/>
                <w:szCs w:val="22"/>
              </w:rPr>
              <w:t>A história cultural</w:t>
            </w:r>
            <w:r>
              <w:rPr>
                <w:rFonts w:cs="Arial" w:ascii="Arial" w:hAnsi="Arial"/>
                <w:color w:val="00000A"/>
                <w:sz w:val="20"/>
                <w:szCs w:val="22"/>
              </w:rPr>
              <w:t>; entre práticas e representações. Rio de Janeiro: Bertrand Brasil, 1985.</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ELIAS, Norbert. </w:t>
            </w:r>
            <w:r>
              <w:rPr>
                <w:rFonts w:cs="Arial" w:ascii="Arial" w:hAnsi="Arial"/>
                <w:i/>
                <w:iCs/>
                <w:color w:val="00000A"/>
                <w:sz w:val="20"/>
                <w:szCs w:val="22"/>
              </w:rPr>
              <w:t>O processo civilizador</w:t>
            </w:r>
            <w:r>
              <w:rPr>
                <w:rFonts w:cs="Arial" w:ascii="Arial" w:hAnsi="Arial"/>
                <w:color w:val="00000A"/>
                <w:sz w:val="20"/>
                <w:szCs w:val="22"/>
              </w:rPr>
              <w:t>. Trad. Ruy Jungman. Rio de Janeiro: Jorge Zahar, 1993.</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FARGE, Arlette. </w:t>
            </w:r>
            <w:r>
              <w:rPr>
                <w:rFonts w:cs="Arial" w:ascii="Arial" w:hAnsi="Arial"/>
                <w:i/>
                <w:iCs/>
                <w:color w:val="00000A"/>
                <w:sz w:val="20"/>
                <w:szCs w:val="22"/>
              </w:rPr>
              <w:t>O sabor do arquivo</w:t>
            </w:r>
            <w:r>
              <w:rPr>
                <w:rFonts w:cs="Arial" w:ascii="Arial" w:hAnsi="Arial"/>
                <w:color w:val="00000A"/>
                <w:sz w:val="20"/>
                <w:szCs w:val="22"/>
              </w:rPr>
              <w:t>. São Paulo: EDUSP, 2009.</w:t>
            </w:r>
          </w:p>
          <w:p>
            <w:pPr>
              <w:pStyle w:val="Normal"/>
              <w:spacing w:before="0" w:after="0"/>
              <w:jc w:val="both"/>
              <w:rPr>
                <w:rFonts w:ascii="Arial" w:hAnsi="Arial" w:cs="Arial"/>
                <w:b/>
                <w:b/>
              </w:rPr>
            </w:pPr>
            <w:r>
              <w:rPr>
                <w:rFonts w:cs="Arial" w:ascii="Arial" w:hAnsi="Arial"/>
                <w:sz w:val="20"/>
              </w:rPr>
              <w:t xml:space="preserve">RÉMOND, René (Org). </w:t>
            </w:r>
            <w:r>
              <w:rPr>
                <w:rFonts w:cs="Arial" w:ascii="Arial" w:hAnsi="Arial"/>
                <w:i/>
                <w:iCs/>
                <w:sz w:val="20"/>
              </w:rPr>
              <w:t>Por uma história política</w:t>
            </w:r>
            <w:r>
              <w:rPr>
                <w:rFonts w:cs="Arial" w:ascii="Arial" w:hAnsi="Arial"/>
                <w:sz w:val="20"/>
              </w:rPr>
              <w:t>. Rio de Janeiro: Editora da UFRJ, 1996.</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rPr>
              <w:t xml:space="preserve"> </w:t>
            </w:r>
            <w:r>
              <w:rPr>
                <w:rFonts w:cs="Arial" w:ascii="Arial" w:hAnsi="Arial"/>
                <w:b/>
                <w:u w:val="single"/>
              </w:rPr>
              <w:t>História dos Estados Unidos</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B)</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Estudo da trajetória dos Estados Unidos da América, desde os tempos coloniais até o início do século XXI, na perspectiva da história comparada. Análise de temas clássicos da historiografia norte-americana: abordagens e controvérsias.</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JUNQUEIRA, Mary Anne. </w:t>
            </w:r>
            <w:r>
              <w:rPr>
                <w:rFonts w:eastAsia="Calibri" w:cs="Arial" w:ascii="Arial" w:hAnsi="Arial"/>
                <w:i/>
                <w:color w:val="00000A"/>
                <w:sz w:val="20"/>
                <w:szCs w:val="22"/>
              </w:rPr>
              <w:t>Estados Unidos.</w:t>
            </w:r>
            <w:r>
              <w:rPr>
                <w:rFonts w:eastAsia="Calibri" w:cs="Arial" w:ascii="Arial" w:hAnsi="Arial"/>
                <w:color w:val="00000A"/>
                <w:sz w:val="20"/>
                <w:szCs w:val="22"/>
              </w:rPr>
              <w:t xml:space="preserve"> A consolidação da nação. São Paulo: Contexto, 2001.</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KARNAL, Leandro et al. </w:t>
            </w:r>
            <w:r>
              <w:rPr>
                <w:rFonts w:eastAsia="Calibri" w:cs="Arial" w:ascii="Arial" w:hAnsi="Arial"/>
                <w:i/>
                <w:color w:val="00000A"/>
                <w:sz w:val="20"/>
                <w:szCs w:val="22"/>
              </w:rPr>
              <w:t>História dos Estados Unidos</w:t>
            </w:r>
            <w:r>
              <w:rPr>
                <w:rFonts w:eastAsia="Calibri" w:cs="Arial" w:ascii="Arial" w:hAnsi="Arial"/>
                <w:color w:val="00000A"/>
                <w:sz w:val="20"/>
                <w:szCs w:val="22"/>
              </w:rPr>
              <w:t>: das origens ao século XXI. 2. ed. São Paulo: Contexto, 2008.</w:t>
            </w:r>
          </w:p>
          <w:p>
            <w:pPr>
              <w:pStyle w:val="Normal"/>
              <w:spacing w:before="0" w:after="0"/>
              <w:jc w:val="both"/>
              <w:rPr>
                <w:rFonts w:ascii="Arial" w:hAnsi="Arial" w:cs="Arial"/>
                <w:b/>
                <w:b/>
              </w:rPr>
            </w:pPr>
            <w:r>
              <w:rPr>
                <w:rFonts w:eastAsia="Calibri" w:cs="Arial" w:ascii="Arial" w:hAnsi="Arial"/>
                <w:sz w:val="20"/>
              </w:rPr>
              <w:t xml:space="preserve">REMOND, René. </w:t>
            </w:r>
            <w:r>
              <w:rPr>
                <w:rFonts w:eastAsia="Calibri" w:cs="Arial" w:ascii="Arial" w:hAnsi="Arial"/>
                <w:i/>
                <w:sz w:val="20"/>
              </w:rPr>
              <w:t>História dos Estados Unidos</w:t>
            </w:r>
            <w:r>
              <w:rPr>
                <w:rFonts w:eastAsia="Calibri" w:cs="Arial" w:ascii="Arial" w:hAnsi="Arial"/>
                <w:sz w:val="20"/>
              </w:rPr>
              <w:t>. São Paulo: Martins Fontes, 1989.</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lang w:val="en-US"/>
              </w:rPr>
            </w:pPr>
            <w:r>
              <w:rPr>
                <w:rFonts w:eastAsia="Calibri" w:cs="Arial" w:ascii="Arial" w:hAnsi="Arial"/>
                <w:color w:val="00000A"/>
                <w:sz w:val="20"/>
                <w:szCs w:val="22"/>
              </w:rPr>
              <w:t xml:space="preserve">BAYLIN, Bernard. </w:t>
            </w:r>
            <w:r>
              <w:rPr>
                <w:rFonts w:eastAsia="Calibri" w:cs="Arial" w:ascii="Arial" w:hAnsi="Arial"/>
                <w:i/>
                <w:color w:val="00000A"/>
                <w:sz w:val="20"/>
                <w:szCs w:val="22"/>
              </w:rPr>
              <w:t>As origens ideológicas da Revolução Americana</w:t>
            </w:r>
            <w:r>
              <w:rPr>
                <w:rFonts w:eastAsia="Calibri" w:cs="Arial" w:ascii="Arial" w:hAnsi="Arial"/>
                <w:color w:val="00000A"/>
                <w:sz w:val="20"/>
                <w:szCs w:val="22"/>
              </w:rPr>
              <w:t xml:space="preserve">. </w:t>
            </w:r>
            <w:r>
              <w:rPr>
                <w:rFonts w:eastAsia="Calibri" w:cs="Arial" w:ascii="Arial" w:hAnsi="Arial"/>
                <w:color w:val="00000A"/>
                <w:sz w:val="20"/>
                <w:szCs w:val="22"/>
                <w:lang w:val="en-US"/>
              </w:rPr>
              <w:t>Bauru, SP: Edusc, 2003.</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lang w:val="en-US"/>
              </w:rPr>
              <w:t xml:space="preserve">FOHLEN, Claude. </w:t>
            </w:r>
            <w:r>
              <w:rPr>
                <w:rFonts w:eastAsia="Calibri" w:cs="Arial" w:ascii="Arial" w:hAnsi="Arial"/>
                <w:i/>
                <w:color w:val="00000A"/>
                <w:sz w:val="20"/>
                <w:szCs w:val="22"/>
              </w:rPr>
              <w:t>O faroeste (1860-1890)</w:t>
            </w:r>
            <w:r>
              <w:rPr>
                <w:rFonts w:eastAsia="Calibri" w:cs="Arial" w:ascii="Arial" w:hAnsi="Arial"/>
                <w:color w:val="00000A"/>
                <w:sz w:val="20"/>
                <w:szCs w:val="22"/>
              </w:rPr>
              <w:t>. São Paulo: Companhia das Letras/Círculo do Livro, 1989.</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JUNQUEIRA, Mary A. </w:t>
            </w:r>
            <w:r>
              <w:rPr>
                <w:rFonts w:eastAsia="Calibri" w:cs="Arial" w:ascii="Arial" w:hAnsi="Arial"/>
                <w:i/>
                <w:color w:val="00000A"/>
                <w:sz w:val="20"/>
                <w:szCs w:val="22"/>
              </w:rPr>
              <w:t>Estados Unidos</w:t>
            </w:r>
            <w:r>
              <w:rPr>
                <w:rFonts w:eastAsia="Calibri" w:cs="Arial" w:ascii="Arial" w:hAnsi="Arial"/>
                <w:color w:val="00000A"/>
                <w:sz w:val="20"/>
                <w:szCs w:val="22"/>
              </w:rPr>
              <w:t>: a consolidação da nação. São Paulo: Contexto, 2001.</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NARO, Nancy. </w:t>
            </w:r>
            <w:r>
              <w:rPr>
                <w:rFonts w:eastAsia="Calibri" w:cs="Arial" w:ascii="Arial" w:hAnsi="Arial"/>
                <w:i/>
                <w:color w:val="00000A"/>
                <w:sz w:val="20"/>
                <w:szCs w:val="22"/>
              </w:rPr>
              <w:t>A formação dos Estados Unidos</w:t>
            </w:r>
            <w:r>
              <w:rPr>
                <w:rFonts w:eastAsia="Calibri" w:cs="Arial" w:ascii="Arial" w:hAnsi="Arial"/>
                <w:color w:val="00000A"/>
                <w:sz w:val="20"/>
                <w:szCs w:val="22"/>
              </w:rPr>
              <w:t xml:space="preserve">. </w:t>
            </w:r>
            <w:r>
              <w:rPr>
                <w:rFonts w:eastAsia="Calibri" w:cs="Arial" w:ascii="Arial" w:hAnsi="Arial"/>
                <w:color w:val="00000A"/>
                <w:sz w:val="20"/>
                <w:szCs w:val="22"/>
                <w:lang w:val="fr-BE"/>
              </w:rPr>
              <w:t>São Paulo: Atual, 1987.</w:t>
            </w:r>
          </w:p>
          <w:p>
            <w:pPr>
              <w:pStyle w:val="Normal"/>
              <w:spacing w:before="0" w:after="0"/>
              <w:jc w:val="both"/>
              <w:rPr>
                <w:rFonts w:ascii="Arial" w:hAnsi="Arial" w:cs="Arial"/>
                <w:b/>
                <w:b/>
              </w:rPr>
            </w:pPr>
            <w:r>
              <w:rPr>
                <w:rFonts w:eastAsia="Calibri" w:cs="Arial" w:ascii="Arial" w:hAnsi="Arial"/>
                <w:sz w:val="20"/>
                <w:lang w:val="fr-BE"/>
              </w:rPr>
              <w:t xml:space="preserve">SELLERS, Charles et al. </w:t>
            </w:r>
            <w:r>
              <w:rPr>
                <w:rFonts w:eastAsia="Calibri" w:cs="Arial" w:ascii="Arial" w:hAnsi="Arial"/>
                <w:i/>
                <w:sz w:val="20"/>
              </w:rPr>
              <w:t>Uma reavaliação da história dos Estados Unidos</w:t>
            </w:r>
            <w:r>
              <w:rPr>
                <w:rFonts w:eastAsia="Calibri" w:cs="Arial" w:ascii="Arial" w:hAnsi="Arial"/>
                <w:sz w:val="20"/>
              </w:rPr>
              <w:t>: de colônia a potência imperial. Rio de Janeiro: Zahar, 1990.</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rPr>
              <w:t xml:space="preserve"> </w:t>
            </w:r>
            <w:r>
              <w:rPr>
                <w:rFonts w:cs="Arial" w:ascii="Arial" w:hAnsi="Arial"/>
                <w:b/>
                <w:u w:val="single"/>
              </w:rPr>
              <w:t xml:space="preserve"> História Ibérica</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B)</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w:t>
            </w:r>
            <w:r>
              <w:rPr>
                <w:rFonts w:eastAsia="Calibri" w:cs="Arial" w:ascii="Arial" w:hAnsi="Arial"/>
              </w:rPr>
              <w:t>Estudo das sociedades ibéricas (Portugal e Espanha). Judeus, Muçulmanos e Cristãos na Península Ibérica Medieval. A “Reconquista”. As Grandes Navegações e a disputa entre os reinos ibéricos. Espanha e Portugal nos séculos XVI e XVII. Ilustração e crise do mundo ibérico: as reformas bourbônicas e pombalinas. Guerras Napoleônicas, restauração e liberalismo no século XIX. Republicanismo, Guerra Civil Espanhola, Franquismo e Salazarismo.</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CORTÁZAR, Fernando García de; VESGA, José Manuel González. </w:t>
            </w:r>
            <w:r>
              <w:rPr>
                <w:rFonts w:eastAsia="Calibri" w:cs="Arial" w:ascii="Arial" w:hAnsi="Arial"/>
                <w:i/>
                <w:color w:val="00000A"/>
                <w:sz w:val="20"/>
                <w:szCs w:val="22"/>
              </w:rPr>
              <w:t>Breve Historia de España.</w:t>
            </w:r>
            <w:r>
              <w:rPr>
                <w:rFonts w:eastAsia="Calibri" w:cs="Arial" w:ascii="Arial" w:hAnsi="Arial"/>
                <w:color w:val="00000A"/>
                <w:sz w:val="20"/>
                <w:szCs w:val="22"/>
              </w:rPr>
              <w:t xml:space="preserve"> Madrid: Alianza Editorial, 1999.</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LYNCH, John (org). </w:t>
            </w:r>
            <w:r>
              <w:rPr>
                <w:rFonts w:eastAsia="Calibri" w:cs="Arial" w:ascii="Arial" w:hAnsi="Arial"/>
                <w:i/>
                <w:color w:val="00000A"/>
                <w:sz w:val="20"/>
                <w:szCs w:val="22"/>
                <w:lang w:val="es-ES"/>
              </w:rPr>
              <w:t>Historia de España</w:t>
            </w:r>
            <w:r>
              <w:rPr>
                <w:rFonts w:eastAsia="Calibri" w:cs="Arial" w:ascii="Arial" w:hAnsi="Arial"/>
                <w:color w:val="00000A"/>
                <w:sz w:val="20"/>
                <w:szCs w:val="22"/>
                <w:lang w:val="es-ES"/>
              </w:rPr>
              <w:t xml:space="preserve">. Barcelona: Crítica, 2005. </w:t>
            </w:r>
            <w:r>
              <w:rPr>
                <w:rFonts w:eastAsia="Calibri" w:cs="Arial" w:ascii="Arial" w:hAnsi="Arial"/>
                <w:color w:val="00000A"/>
                <w:sz w:val="20"/>
                <w:szCs w:val="22"/>
              </w:rPr>
              <w:t xml:space="preserve">14 vols. </w:t>
            </w:r>
          </w:p>
          <w:p>
            <w:pPr>
              <w:pStyle w:val="Normal"/>
              <w:spacing w:before="0" w:after="0"/>
              <w:jc w:val="both"/>
              <w:rPr>
                <w:rFonts w:ascii="Arial" w:hAnsi="Arial" w:cs="Arial"/>
                <w:b/>
                <w:b/>
              </w:rPr>
            </w:pPr>
            <w:r>
              <w:rPr>
                <w:rFonts w:eastAsia="Calibri" w:cs="Arial" w:ascii="Arial" w:hAnsi="Arial"/>
                <w:sz w:val="20"/>
              </w:rPr>
              <w:t xml:space="preserve">TENGARRINHA, José (org). </w:t>
            </w:r>
            <w:r>
              <w:rPr>
                <w:rFonts w:eastAsia="Calibri" w:cs="Arial" w:ascii="Arial" w:hAnsi="Arial"/>
                <w:i/>
                <w:sz w:val="20"/>
              </w:rPr>
              <w:t>História de Portugal</w:t>
            </w:r>
            <w:r>
              <w:rPr>
                <w:rFonts w:eastAsia="Calibri" w:cs="Arial" w:ascii="Arial" w:hAnsi="Arial"/>
                <w:sz w:val="20"/>
              </w:rPr>
              <w:t>. Bauru: EDUSC; São Paulo: UNESP; Portugal: Instituto Camões, 2000.</w:t>
            </w:r>
          </w:p>
        </w:tc>
      </w:tr>
      <w:tr>
        <w:trPr/>
        <w:tc>
          <w:tcPr>
            <w:tcW w:w="8494" w:type="dxa"/>
            <w:tcBorders>
              <w:top w:val="nil"/>
            </w:tcBorders>
            <w:shd w:fill="auto" w:val="clear"/>
            <w:tcMar>
              <w:left w:w="108" w:type="dxa"/>
            </w:tcMar>
          </w:tcPr>
          <w:p>
            <w:pPr>
              <w:pStyle w:val="Normal"/>
              <w:spacing w:before="0" w:after="0"/>
              <w:jc w:val="both"/>
              <w:rPr>
                <w:rFonts w:ascii="Arial" w:hAnsi="Arial" w:cs="Arial"/>
                <w:b/>
                <w:b/>
                <w:lang w:val="es-ES"/>
              </w:rPr>
            </w:pPr>
            <w:r>
              <w:rPr>
                <w:rFonts w:cs="Arial" w:ascii="Arial" w:hAnsi="Arial"/>
                <w:b/>
                <w:lang w:val="es-ES"/>
              </w:rPr>
              <w:t>Bibliografia Complementar:</w:t>
            </w:r>
          </w:p>
          <w:p>
            <w:pPr>
              <w:pStyle w:val="Padro"/>
              <w:spacing w:lineRule="auto" w:line="240" w:before="0" w:after="0"/>
              <w:jc w:val="both"/>
              <w:rPr>
                <w:rFonts w:ascii="Arial" w:hAnsi="Arial" w:cs="Arial"/>
                <w:color w:val="00000A"/>
                <w:sz w:val="20"/>
                <w:szCs w:val="22"/>
                <w:lang w:val="es-AR"/>
              </w:rPr>
            </w:pPr>
            <w:r>
              <w:rPr>
                <w:rFonts w:eastAsia="Calibri" w:cs="Arial" w:ascii="Arial" w:hAnsi="Arial"/>
                <w:color w:val="00000A"/>
                <w:sz w:val="20"/>
                <w:szCs w:val="22"/>
                <w:lang w:val="fr-BE"/>
              </w:rPr>
              <w:t xml:space="preserve">BONNASSIE, Pierre; GERBET, Marie-Claude; GUICHARD, Pierre. </w:t>
            </w:r>
            <w:r>
              <w:rPr>
                <w:rFonts w:eastAsia="Calibri" w:cs="Arial" w:ascii="Arial" w:hAnsi="Arial"/>
                <w:i/>
                <w:color w:val="00000A"/>
                <w:sz w:val="20"/>
                <w:szCs w:val="22"/>
                <w:lang w:val="es-AR"/>
              </w:rPr>
              <w:t>Las Españas Medievales.</w:t>
            </w:r>
            <w:r>
              <w:rPr>
                <w:rFonts w:eastAsia="Calibri" w:cs="Arial" w:ascii="Arial" w:hAnsi="Arial"/>
                <w:color w:val="00000A"/>
                <w:sz w:val="20"/>
                <w:szCs w:val="22"/>
                <w:lang w:val="es-AR"/>
              </w:rPr>
              <w:t xml:space="preserve"> Barcelona: Crítica, 2008. [Biblioteca de Bolsillo, 133]</w:t>
            </w:r>
          </w:p>
          <w:p>
            <w:pPr>
              <w:pStyle w:val="Padro"/>
              <w:spacing w:lineRule="auto" w:line="240" w:before="0" w:after="0"/>
              <w:jc w:val="both"/>
              <w:rPr>
                <w:rFonts w:ascii="Arial" w:hAnsi="Arial" w:cs="Arial"/>
                <w:color w:val="00000A"/>
                <w:sz w:val="20"/>
                <w:szCs w:val="22"/>
                <w:lang w:val="es-AR"/>
              </w:rPr>
            </w:pPr>
            <w:r>
              <w:rPr>
                <w:rFonts w:eastAsia="Calibri" w:cs="Arial" w:ascii="Arial" w:hAnsi="Arial"/>
                <w:color w:val="00000A"/>
                <w:sz w:val="20"/>
                <w:szCs w:val="22"/>
                <w:lang w:val="es-AR"/>
              </w:rPr>
              <w:t xml:space="preserve">FLORISTÁN, Alfredo (Coord.). </w:t>
            </w:r>
            <w:r>
              <w:rPr>
                <w:rFonts w:eastAsia="Calibri" w:cs="Arial" w:ascii="Arial" w:hAnsi="Arial"/>
                <w:i/>
                <w:color w:val="00000A"/>
                <w:sz w:val="20"/>
                <w:szCs w:val="22"/>
                <w:lang w:val="es-AR"/>
              </w:rPr>
              <w:t>Historia de España en la Edad Moderna.</w:t>
            </w:r>
            <w:r>
              <w:rPr>
                <w:rFonts w:eastAsia="Calibri" w:cs="Arial" w:ascii="Arial" w:hAnsi="Arial"/>
                <w:color w:val="00000A"/>
                <w:sz w:val="20"/>
                <w:szCs w:val="22"/>
                <w:lang w:val="es-AR"/>
              </w:rPr>
              <w:t xml:space="preserve"> </w:t>
            </w:r>
            <w:r>
              <w:rPr>
                <w:rFonts w:eastAsia="Calibri" w:cs="Arial" w:ascii="Arial" w:hAnsi="Arial"/>
                <w:color w:val="00000A"/>
                <w:sz w:val="20"/>
                <w:szCs w:val="22"/>
                <w:lang w:val="es-ES"/>
              </w:rPr>
              <w:t>Barcelona: Ariel, 2011.</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lang w:val="es-AR"/>
              </w:rPr>
              <w:t xml:space="preserve">LARREA, Julio López-Davalillo. </w:t>
            </w:r>
            <w:r>
              <w:rPr>
                <w:rFonts w:eastAsia="Calibri" w:cs="Arial" w:ascii="Arial" w:hAnsi="Arial"/>
                <w:i/>
                <w:color w:val="00000A"/>
                <w:sz w:val="20"/>
                <w:szCs w:val="22"/>
                <w:lang w:val="es-AR"/>
              </w:rPr>
              <w:t>Atlas histórico de España y Portugal:</w:t>
            </w:r>
            <w:r>
              <w:rPr>
                <w:rFonts w:eastAsia="Calibri" w:cs="Arial" w:ascii="Arial" w:hAnsi="Arial"/>
                <w:color w:val="00000A"/>
                <w:sz w:val="20"/>
                <w:szCs w:val="22"/>
                <w:lang w:val="es-AR"/>
              </w:rPr>
              <w:t xml:space="preserve"> desde el Paleolítico hasta el siglo XX. </w:t>
            </w:r>
            <w:r>
              <w:rPr>
                <w:rFonts w:eastAsia="Calibri" w:cs="Arial" w:ascii="Arial" w:hAnsi="Arial"/>
                <w:color w:val="00000A"/>
                <w:sz w:val="20"/>
                <w:szCs w:val="22"/>
              </w:rPr>
              <w:t>Madrid: Editorial Sintésis, s/d.</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MATTOSO, José (dir.) </w:t>
            </w:r>
            <w:r>
              <w:rPr>
                <w:rFonts w:eastAsia="Calibri" w:cs="Arial" w:ascii="Arial" w:hAnsi="Arial"/>
                <w:i/>
                <w:color w:val="00000A"/>
                <w:sz w:val="20"/>
                <w:szCs w:val="22"/>
              </w:rPr>
              <w:t>História de Portugal</w:t>
            </w:r>
            <w:r>
              <w:rPr>
                <w:rFonts w:eastAsia="Calibri" w:cs="Arial" w:ascii="Arial" w:hAnsi="Arial"/>
                <w:color w:val="00000A"/>
                <w:sz w:val="20"/>
                <w:szCs w:val="22"/>
              </w:rPr>
              <w:t>. Lisboa: Editorial Estampa: 1992.</w:t>
            </w:r>
          </w:p>
          <w:p>
            <w:pPr>
              <w:pStyle w:val="Normal"/>
              <w:spacing w:before="0" w:after="0"/>
              <w:jc w:val="both"/>
              <w:rPr>
                <w:rFonts w:ascii="Arial" w:hAnsi="Arial" w:cs="Arial"/>
                <w:b/>
                <w:b/>
              </w:rPr>
            </w:pPr>
            <w:r>
              <w:rPr>
                <w:rFonts w:eastAsia="Calibri" w:cs="Arial" w:ascii="Arial" w:hAnsi="Arial"/>
                <w:sz w:val="20"/>
              </w:rPr>
              <w:t xml:space="preserve">NOGUEIRA, Carlos. (org). </w:t>
            </w:r>
            <w:r>
              <w:rPr>
                <w:rFonts w:eastAsia="Calibri" w:cs="Arial" w:ascii="Arial" w:hAnsi="Arial"/>
                <w:i/>
                <w:sz w:val="20"/>
              </w:rPr>
              <w:t>O Portugal Medieval:</w:t>
            </w:r>
            <w:r>
              <w:rPr>
                <w:rFonts w:eastAsia="Calibri" w:cs="Arial" w:ascii="Arial" w:hAnsi="Arial"/>
                <w:sz w:val="20"/>
              </w:rPr>
              <w:t xml:space="preserve"> monarquia e sociedade. São Paulo: Alameda, 2010.</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rPr>
              <w:t xml:space="preserve"> </w:t>
            </w:r>
            <w:r>
              <w:rPr>
                <w:rFonts w:cs="Arial" w:ascii="Arial" w:hAnsi="Arial"/>
                <w:b/>
                <w:u w:val="single"/>
              </w:rPr>
              <w:t xml:space="preserve"> Historiografia, História e Nação</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B)</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w:t>
            </w:r>
            <w:r>
              <w:rPr>
                <w:rFonts w:eastAsia="ArialMT" w:cs="Arial" w:ascii="Arial" w:hAnsi="Arial"/>
              </w:rPr>
              <w:t>A Revolução Francesa e sua relação com o tempo histórico. O povo, a nação e a História. Os historiadores da primeira metade do XIX e sua relação com o poder. Romantismo e liberalismo. As instituições científicas e o modelo de construção do passado nacional. A História a serviço do poder.</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widowControl w:val="false"/>
              <w:spacing w:lineRule="auto" w:line="240" w:before="0" w:after="0"/>
              <w:jc w:val="both"/>
              <w:rPr>
                <w:rFonts w:ascii="Arial" w:hAnsi="Arial" w:cs="Arial"/>
                <w:color w:val="00000A"/>
                <w:sz w:val="20"/>
                <w:szCs w:val="22"/>
              </w:rPr>
            </w:pPr>
            <w:r>
              <w:rPr>
                <w:rFonts w:cs="Arial" w:ascii="Arial" w:hAnsi="Arial"/>
                <w:iCs/>
                <w:color w:val="00000A"/>
                <w:sz w:val="20"/>
                <w:szCs w:val="22"/>
                <w:lang w:eastAsia="zh-CN" w:bidi="hi-IN"/>
              </w:rPr>
              <w:t xml:space="preserve">DELACROIX, C; DOSSE, F; GARCIA, P. </w:t>
            </w:r>
            <w:r>
              <w:rPr>
                <w:rFonts w:cs="Arial" w:ascii="Arial" w:hAnsi="Arial"/>
                <w:i/>
                <w:iCs/>
                <w:color w:val="00000A"/>
                <w:sz w:val="20"/>
                <w:szCs w:val="22"/>
                <w:lang w:eastAsia="zh-CN" w:bidi="hi-IN"/>
              </w:rPr>
              <w:t>Correntes históricas na França</w:t>
            </w:r>
            <w:r>
              <w:rPr>
                <w:rFonts w:cs="Arial" w:ascii="Arial" w:hAnsi="Arial"/>
                <w:iCs/>
                <w:color w:val="00000A"/>
                <w:sz w:val="20"/>
                <w:szCs w:val="22"/>
                <w:lang w:eastAsia="zh-CN" w:bidi="hi-IN"/>
              </w:rPr>
              <w:t xml:space="preserve"> – séculos XIX e XX. Rio de Janeiro: Ed. Da FGV, 2012.</w:t>
            </w:r>
          </w:p>
          <w:p>
            <w:pPr>
              <w:pStyle w:val="Padro"/>
              <w:widowControl w:val="false"/>
              <w:spacing w:lineRule="auto" w:line="240" w:before="0" w:after="0"/>
              <w:jc w:val="both"/>
              <w:rPr>
                <w:rFonts w:ascii="Arial" w:hAnsi="Arial" w:cs="Arial"/>
                <w:color w:val="00000A"/>
                <w:sz w:val="20"/>
                <w:szCs w:val="22"/>
              </w:rPr>
            </w:pPr>
            <w:r>
              <w:rPr>
                <w:rFonts w:cs="Arial" w:ascii="Arial" w:hAnsi="Arial"/>
                <w:iCs/>
                <w:color w:val="00000A"/>
                <w:sz w:val="20"/>
                <w:szCs w:val="22"/>
                <w:lang w:eastAsia="zh-CN" w:bidi="hi-IN"/>
              </w:rPr>
              <w:t xml:space="preserve">GEARY, Patrick. </w:t>
            </w:r>
            <w:r>
              <w:rPr>
                <w:rFonts w:cs="Arial" w:ascii="Arial" w:hAnsi="Arial"/>
                <w:i/>
                <w:iCs/>
                <w:color w:val="00000A"/>
                <w:sz w:val="20"/>
                <w:szCs w:val="22"/>
                <w:lang w:eastAsia="zh-CN" w:bidi="hi-IN"/>
              </w:rPr>
              <w:t>O mito das nações</w:t>
            </w:r>
            <w:r>
              <w:rPr>
                <w:rFonts w:cs="Arial" w:ascii="Arial" w:hAnsi="Arial"/>
                <w:iCs/>
                <w:color w:val="00000A"/>
                <w:sz w:val="20"/>
                <w:szCs w:val="22"/>
                <w:lang w:eastAsia="zh-CN" w:bidi="hi-IN"/>
              </w:rPr>
              <w:t>: a invenção do nacionalismo. São Paulo: Conrad, 2005.</w:t>
            </w:r>
          </w:p>
          <w:p>
            <w:pPr>
              <w:pStyle w:val="Normal"/>
              <w:spacing w:before="0" w:after="0"/>
              <w:jc w:val="both"/>
              <w:rPr>
                <w:rFonts w:ascii="Arial" w:hAnsi="Arial" w:cs="Arial"/>
                <w:b/>
                <w:b/>
              </w:rPr>
            </w:pPr>
            <w:r>
              <w:rPr>
                <w:rFonts w:cs="Arial" w:ascii="Arial" w:hAnsi="Arial"/>
                <w:iCs/>
                <w:sz w:val="20"/>
                <w:lang w:eastAsia="zh-CN" w:bidi="hi-IN"/>
              </w:rPr>
              <w:t xml:space="preserve">WHITE, Hayden. </w:t>
            </w:r>
            <w:r>
              <w:rPr>
                <w:rFonts w:cs="Arial" w:ascii="Arial" w:hAnsi="Arial"/>
                <w:i/>
                <w:iCs/>
                <w:sz w:val="20"/>
                <w:lang w:eastAsia="zh-CN" w:bidi="hi-IN"/>
              </w:rPr>
              <w:t>Meta-história</w:t>
            </w:r>
            <w:r>
              <w:rPr>
                <w:rFonts w:cs="Arial" w:ascii="Arial" w:hAnsi="Arial"/>
                <w:iCs/>
                <w:sz w:val="20"/>
                <w:lang w:eastAsia="zh-CN" w:bidi="hi-IN"/>
              </w:rPr>
              <w:t>: a imaginação Histórica do século XIX. São Paulo: Editora da Universidade de São Paulo, 1995.</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widowControl w:val="false"/>
              <w:spacing w:lineRule="auto" w:line="240" w:before="0" w:after="0"/>
              <w:jc w:val="both"/>
              <w:rPr>
                <w:rFonts w:ascii="Arial" w:hAnsi="Arial" w:cs="Arial"/>
                <w:color w:val="00000A"/>
                <w:sz w:val="20"/>
                <w:szCs w:val="22"/>
              </w:rPr>
            </w:pPr>
            <w:r>
              <w:rPr>
                <w:rFonts w:eastAsia="SimSun" w:cs="Arial" w:ascii="Arial" w:hAnsi="Arial"/>
                <w:color w:val="00000A"/>
                <w:sz w:val="20"/>
                <w:szCs w:val="22"/>
                <w:shd w:fill="FFFFFF" w:val="clear"/>
                <w:lang w:eastAsia="zh-CN" w:bidi="hi-IN"/>
              </w:rPr>
              <w:t>ALMEIDA, </w:t>
            </w:r>
            <w:r>
              <w:rPr>
                <w:rFonts w:eastAsia="SimSun" w:cs="Arial" w:ascii="Arial" w:hAnsi="Arial"/>
                <w:bCs/>
                <w:color w:val="00000A"/>
                <w:sz w:val="20"/>
                <w:szCs w:val="22"/>
                <w:shd w:fill="FFFFFF" w:val="clear"/>
                <w:lang w:eastAsia="zh-CN" w:bidi="hi-IN"/>
              </w:rPr>
              <w:t>Neri</w:t>
            </w:r>
            <w:r>
              <w:rPr>
                <w:rFonts w:eastAsia="SimSun" w:cs="Arial" w:ascii="Arial" w:hAnsi="Arial"/>
                <w:color w:val="00000A"/>
                <w:sz w:val="20"/>
                <w:szCs w:val="22"/>
                <w:shd w:fill="FFFFFF" w:val="clear"/>
                <w:lang w:eastAsia="zh-CN" w:bidi="hi-IN"/>
              </w:rPr>
              <w:t> de </w:t>
            </w:r>
            <w:r>
              <w:rPr>
                <w:rFonts w:eastAsia="SimSun" w:cs="Arial" w:ascii="Arial" w:hAnsi="Arial"/>
                <w:bCs/>
                <w:color w:val="00000A"/>
                <w:sz w:val="20"/>
                <w:szCs w:val="22"/>
                <w:shd w:fill="FFFFFF" w:val="clear"/>
                <w:lang w:eastAsia="zh-CN" w:bidi="hi-IN"/>
              </w:rPr>
              <w:t>Barros (org).</w:t>
            </w:r>
            <w:r>
              <w:rPr>
                <w:rFonts w:eastAsia="SimSun" w:cs="Arial" w:ascii="Arial" w:hAnsi="Arial"/>
                <w:color w:val="00000A"/>
                <w:sz w:val="20"/>
                <w:szCs w:val="22"/>
                <w:shd w:fill="FFFFFF" w:val="clear"/>
                <w:lang w:eastAsia="zh-CN" w:bidi="hi-IN"/>
              </w:rPr>
              <w:t xml:space="preserve"> </w:t>
            </w:r>
            <w:r>
              <w:rPr>
                <w:rFonts w:eastAsia="SimSun" w:cs="Arial" w:ascii="Arial" w:hAnsi="Arial"/>
                <w:i/>
                <w:color w:val="00000A"/>
                <w:sz w:val="20"/>
                <w:szCs w:val="22"/>
                <w:shd w:fill="FFFFFF" w:val="clear"/>
                <w:lang w:eastAsia="zh-CN" w:bidi="hi-IN"/>
              </w:rPr>
              <w:t>A Idade Média entre os séculos XIX e XX</w:t>
            </w:r>
            <w:r>
              <w:rPr>
                <w:rFonts w:eastAsia="SimSun" w:cs="Arial" w:ascii="Arial" w:hAnsi="Arial"/>
                <w:color w:val="00000A"/>
                <w:sz w:val="20"/>
                <w:szCs w:val="22"/>
                <w:shd w:fill="FFFFFF" w:val="clear"/>
                <w:lang w:eastAsia="zh-CN" w:bidi="hi-IN"/>
              </w:rPr>
              <w:t>: estudos de historiografia. Campinas: Unicamp, 2008.</w:t>
            </w:r>
          </w:p>
          <w:p>
            <w:pPr>
              <w:pStyle w:val="Padro"/>
              <w:widowControl w:val="false"/>
              <w:spacing w:lineRule="auto" w:line="240" w:before="0" w:after="0"/>
              <w:jc w:val="both"/>
              <w:rPr>
                <w:rFonts w:ascii="Arial" w:hAnsi="Arial" w:cs="Arial"/>
                <w:color w:val="00000A"/>
                <w:sz w:val="20"/>
                <w:szCs w:val="22"/>
              </w:rPr>
            </w:pPr>
            <w:r>
              <w:rPr>
                <w:rFonts w:cs="Arial" w:ascii="Arial" w:hAnsi="Arial"/>
                <w:iCs/>
                <w:color w:val="00000A"/>
                <w:sz w:val="20"/>
                <w:szCs w:val="22"/>
                <w:lang w:eastAsia="zh-CN" w:bidi="hi-IN"/>
              </w:rPr>
              <w:t xml:space="preserve">BOURDÉ, Guy; MARTIN, Hervé. </w:t>
            </w:r>
            <w:r>
              <w:rPr>
                <w:rFonts w:cs="Arial" w:ascii="Arial" w:hAnsi="Arial"/>
                <w:i/>
                <w:iCs/>
                <w:color w:val="00000A"/>
                <w:sz w:val="20"/>
                <w:szCs w:val="22"/>
                <w:lang w:eastAsia="zh-CN" w:bidi="hi-IN"/>
              </w:rPr>
              <w:t>As Escolas Históricas</w:t>
            </w:r>
            <w:r>
              <w:rPr>
                <w:rFonts w:cs="Arial" w:ascii="Arial" w:hAnsi="Arial"/>
                <w:iCs/>
                <w:color w:val="00000A"/>
                <w:sz w:val="20"/>
                <w:szCs w:val="22"/>
                <w:lang w:eastAsia="zh-CN" w:bidi="hi-IN"/>
              </w:rPr>
              <w:t xml:space="preserve">. Portugal: Publicações Europa América, 1983. </w:t>
            </w:r>
          </w:p>
          <w:p>
            <w:pPr>
              <w:pStyle w:val="Padro"/>
              <w:widowControl w:val="false"/>
              <w:spacing w:lineRule="auto" w:line="240" w:before="0" w:after="0"/>
              <w:jc w:val="both"/>
              <w:rPr>
                <w:rFonts w:ascii="Arial" w:hAnsi="Arial" w:cs="Arial"/>
                <w:color w:val="00000A"/>
                <w:sz w:val="20"/>
                <w:szCs w:val="22"/>
              </w:rPr>
            </w:pPr>
            <w:r>
              <w:rPr>
                <w:rFonts w:cs="Arial" w:ascii="Arial" w:hAnsi="Arial"/>
                <w:iCs/>
                <w:color w:val="00000A"/>
                <w:sz w:val="20"/>
                <w:szCs w:val="22"/>
                <w:lang w:eastAsia="zh-CN" w:bidi="hi-IN"/>
              </w:rPr>
              <w:t xml:space="preserve">BURKE, Peter (org). </w:t>
            </w:r>
            <w:r>
              <w:rPr>
                <w:rFonts w:cs="Arial" w:ascii="Arial" w:hAnsi="Arial"/>
                <w:i/>
                <w:iCs/>
                <w:color w:val="00000A"/>
                <w:sz w:val="20"/>
                <w:szCs w:val="22"/>
                <w:lang w:eastAsia="zh-CN" w:bidi="hi-IN"/>
              </w:rPr>
              <w:t xml:space="preserve">A Escrita da História: </w:t>
            </w:r>
            <w:r>
              <w:rPr>
                <w:rFonts w:cs="Arial" w:ascii="Arial" w:hAnsi="Arial"/>
                <w:iCs/>
                <w:color w:val="00000A"/>
                <w:sz w:val="20"/>
                <w:szCs w:val="22"/>
                <w:lang w:eastAsia="zh-CN" w:bidi="hi-IN"/>
              </w:rPr>
              <w:t>Novas perspectivas. São Paulo: UNESP, 1992.</w:t>
            </w:r>
          </w:p>
          <w:p>
            <w:pPr>
              <w:pStyle w:val="Padro"/>
              <w:widowControl w:val="false"/>
              <w:spacing w:lineRule="auto" w:line="240" w:before="0" w:after="0"/>
              <w:jc w:val="both"/>
              <w:rPr>
                <w:rFonts w:ascii="Arial" w:hAnsi="Arial" w:cs="Arial"/>
                <w:color w:val="00000A"/>
                <w:sz w:val="20"/>
                <w:szCs w:val="22"/>
              </w:rPr>
            </w:pPr>
            <w:r>
              <w:rPr>
                <w:rFonts w:cs="Arial" w:ascii="Arial" w:hAnsi="Arial"/>
                <w:iCs/>
                <w:color w:val="00000A"/>
                <w:sz w:val="20"/>
                <w:szCs w:val="22"/>
                <w:lang w:eastAsia="zh-CN" w:bidi="hi-IN"/>
              </w:rPr>
              <w:t xml:space="preserve">HOBSBAWM, Eric.  </w:t>
            </w:r>
            <w:r>
              <w:rPr>
                <w:rFonts w:cs="Arial" w:ascii="Arial" w:hAnsi="Arial"/>
                <w:i/>
                <w:iCs/>
                <w:color w:val="00000A"/>
                <w:sz w:val="20"/>
                <w:szCs w:val="22"/>
                <w:lang w:eastAsia="zh-CN" w:bidi="hi-IN"/>
              </w:rPr>
              <w:t>Nações e nacionalismo desde 1780</w:t>
            </w:r>
            <w:r>
              <w:rPr>
                <w:rFonts w:cs="Arial" w:ascii="Arial" w:hAnsi="Arial"/>
                <w:iCs/>
                <w:color w:val="00000A"/>
                <w:sz w:val="20"/>
                <w:szCs w:val="22"/>
                <w:lang w:eastAsia="zh-CN" w:bidi="hi-IN"/>
              </w:rPr>
              <w:t>. Rio de Janeiro: Paz &amp; Terra, 2004.</w:t>
            </w:r>
          </w:p>
          <w:p>
            <w:pPr>
              <w:pStyle w:val="Normal"/>
              <w:spacing w:before="0" w:after="0"/>
              <w:jc w:val="both"/>
              <w:rPr>
                <w:rFonts w:ascii="Arial" w:hAnsi="Arial" w:cs="Arial"/>
                <w:b/>
                <w:b/>
              </w:rPr>
            </w:pPr>
            <w:r>
              <w:rPr>
                <w:rFonts w:cs="Arial" w:ascii="Arial" w:hAnsi="Arial"/>
                <w:iCs/>
                <w:sz w:val="20"/>
                <w:lang w:eastAsia="zh-CN" w:bidi="hi-IN"/>
              </w:rPr>
              <w:t xml:space="preserve">ROBB, Graham. </w:t>
            </w:r>
            <w:r>
              <w:rPr>
                <w:rFonts w:cs="Arial" w:ascii="Arial" w:hAnsi="Arial"/>
                <w:i/>
                <w:iCs/>
                <w:sz w:val="20"/>
                <w:lang w:eastAsia="zh-CN" w:bidi="hi-IN"/>
              </w:rPr>
              <w:t>A descoberta da França</w:t>
            </w:r>
            <w:r>
              <w:rPr>
                <w:rFonts w:cs="Arial" w:ascii="Arial" w:hAnsi="Arial"/>
                <w:iCs/>
                <w:sz w:val="20"/>
                <w:lang w:eastAsia="zh-CN" w:bidi="hi-IN"/>
              </w:rPr>
              <w:t>. Rio de Janeiro: Record, 2010.</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rPr>
              <w:t xml:space="preserve"> </w:t>
            </w:r>
            <w:r>
              <w:rPr>
                <w:rFonts w:cs="Arial" w:ascii="Arial" w:hAnsi="Arial"/>
                <w:b/>
                <w:u w:val="single"/>
              </w:rPr>
              <w:t>Tópicos de História da Arte</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A)</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 xml:space="preserve">Ementa: </w:t>
            </w:r>
            <w:r>
              <w:rPr>
                <w:rFonts w:cs="Arial" w:ascii="Arial" w:hAnsi="Arial"/>
              </w:rPr>
              <w:t>Introdução à história da arte: historiografia e conceitos fundamentais. A sociedade brasileira e suas manifestações artísticas no século XVIII, XIX e XX.</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BARCINSKI, Fabiana Werneck (org). </w:t>
            </w:r>
            <w:r>
              <w:rPr>
                <w:rFonts w:cs="Arial" w:ascii="Arial" w:hAnsi="Arial"/>
                <w:i/>
                <w:color w:val="00000A"/>
                <w:sz w:val="20"/>
                <w:szCs w:val="22"/>
              </w:rPr>
              <w:t>Sobre a arte brasileira</w:t>
            </w:r>
            <w:r>
              <w:rPr>
                <w:rFonts w:cs="Arial" w:ascii="Arial" w:hAnsi="Arial"/>
                <w:color w:val="00000A"/>
                <w:sz w:val="20"/>
                <w:szCs w:val="22"/>
              </w:rPr>
              <w:t>. São Paulo: Martins Fontes, 2015.</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OLIVEIRA, Myriam Andrade Ribeiro de. </w:t>
            </w:r>
            <w:r>
              <w:rPr>
                <w:rFonts w:cs="Arial" w:ascii="Arial" w:hAnsi="Arial"/>
                <w:i/>
                <w:color w:val="00000A"/>
                <w:sz w:val="20"/>
                <w:szCs w:val="22"/>
              </w:rPr>
              <w:t>O rococó religioso no Brasil e seus antecedentes europeus</w:t>
            </w:r>
            <w:r>
              <w:rPr>
                <w:rFonts w:cs="Arial" w:ascii="Arial" w:hAnsi="Arial"/>
                <w:color w:val="00000A"/>
                <w:sz w:val="20"/>
                <w:szCs w:val="22"/>
              </w:rPr>
              <w:t>. Brasília: Iphan, 2011.</w:t>
            </w:r>
          </w:p>
          <w:p>
            <w:pPr>
              <w:pStyle w:val="Normal"/>
              <w:spacing w:before="0" w:after="0"/>
              <w:jc w:val="both"/>
              <w:rPr>
                <w:rFonts w:ascii="Arial" w:hAnsi="Arial" w:cs="Arial"/>
                <w:b/>
                <w:b/>
              </w:rPr>
            </w:pPr>
            <w:r>
              <w:rPr>
                <w:rFonts w:cs="Arial" w:ascii="Arial" w:hAnsi="Arial"/>
                <w:sz w:val="20"/>
              </w:rPr>
              <w:t xml:space="preserve">MEIRA, Beá. </w:t>
            </w:r>
            <w:r>
              <w:rPr>
                <w:rFonts w:cs="Arial" w:ascii="Arial" w:hAnsi="Arial"/>
                <w:i/>
                <w:sz w:val="20"/>
              </w:rPr>
              <w:t>Modernismo no Brasil</w:t>
            </w:r>
            <w:r>
              <w:rPr>
                <w:rFonts w:cs="Arial" w:ascii="Arial" w:hAnsi="Arial"/>
                <w:sz w:val="20"/>
              </w:rPr>
              <w:t>: panorama das artes. São Paulo: Ática, 2006.</w:t>
            </w:r>
          </w:p>
        </w:tc>
      </w:tr>
      <w:tr>
        <w:trPr/>
        <w:tc>
          <w:tcPr>
            <w:tcW w:w="8494" w:type="dxa"/>
            <w:tcBorders>
              <w:top w:val="nil"/>
            </w:tcBorders>
            <w:shd w:fill="auto" w:val="clear"/>
            <w:tcMar>
              <w:left w:w="108" w:type="dxa"/>
            </w:tcMar>
          </w:tcPr>
          <w:p>
            <w:pPr>
              <w:pStyle w:val="Normal"/>
              <w:spacing w:before="0" w:after="0"/>
              <w:jc w:val="both"/>
              <w:rPr>
                <w:rFonts w:ascii="Arial" w:hAnsi="Arial" w:cs="Arial"/>
                <w:b/>
                <w:b/>
                <w:sz w:val="20"/>
              </w:rPr>
            </w:pPr>
            <w:r>
              <w:rPr>
                <w:rFonts w:cs="Arial" w:ascii="Arial" w:hAnsi="Arial"/>
                <w:b/>
                <w:sz w:val="20"/>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LIMA, Valéria. </w:t>
            </w:r>
            <w:r>
              <w:rPr>
                <w:rFonts w:cs="Arial" w:ascii="Arial" w:hAnsi="Arial"/>
                <w:i/>
                <w:color w:val="00000A"/>
                <w:sz w:val="20"/>
                <w:szCs w:val="22"/>
              </w:rPr>
              <w:t>J. B. Debret, historiador e pintor</w:t>
            </w:r>
            <w:r>
              <w:rPr>
                <w:rFonts w:cs="Arial" w:ascii="Arial" w:hAnsi="Arial"/>
                <w:color w:val="00000A"/>
                <w:sz w:val="20"/>
                <w:szCs w:val="22"/>
              </w:rPr>
              <w:t>: a viagem pitoresca e histórica ao Brasil (1816-1839). Campinas: Unicamp, 2007.</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MEIRA, Silvia Miranda. </w:t>
            </w:r>
            <w:r>
              <w:rPr>
                <w:rFonts w:cs="Arial" w:ascii="Arial" w:hAnsi="Arial"/>
                <w:i/>
                <w:color w:val="00000A"/>
                <w:sz w:val="20"/>
                <w:szCs w:val="22"/>
              </w:rPr>
              <w:t>A imagem moderna</w:t>
            </w:r>
            <w:r>
              <w:rPr>
                <w:rFonts w:cs="Arial" w:ascii="Arial" w:hAnsi="Arial"/>
                <w:color w:val="00000A"/>
                <w:sz w:val="20"/>
                <w:szCs w:val="22"/>
              </w:rPr>
              <w:t>. Belo Horizonte: C/Arte, 2006.</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OLIVEIRA, Myriam Andrade Ribeiro de. </w:t>
            </w:r>
            <w:r>
              <w:rPr>
                <w:rFonts w:cs="Arial" w:ascii="Arial" w:hAnsi="Arial"/>
                <w:i/>
                <w:color w:val="00000A"/>
                <w:sz w:val="20"/>
                <w:szCs w:val="22"/>
              </w:rPr>
              <w:t>Barroco e rococó no Brasil</w:t>
            </w:r>
            <w:r>
              <w:rPr>
                <w:rFonts w:cs="Arial" w:ascii="Arial" w:hAnsi="Arial"/>
                <w:color w:val="00000A"/>
                <w:sz w:val="20"/>
                <w:szCs w:val="22"/>
              </w:rPr>
              <w:t>. Belo Horizonte: C/Arte, 2014.</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PEREIRA, Sonia Gomes. </w:t>
            </w:r>
            <w:r>
              <w:rPr>
                <w:rFonts w:cs="Arial" w:ascii="Arial" w:hAnsi="Arial"/>
                <w:i/>
                <w:color w:val="00000A"/>
                <w:sz w:val="20"/>
                <w:szCs w:val="22"/>
              </w:rPr>
              <w:t>Arte brasileira no século XIX</w:t>
            </w:r>
            <w:r>
              <w:rPr>
                <w:rFonts w:cs="Arial" w:ascii="Arial" w:hAnsi="Arial"/>
                <w:color w:val="00000A"/>
                <w:sz w:val="20"/>
                <w:szCs w:val="22"/>
              </w:rPr>
              <w:t>. Belo Horizonte: C/Arte, 2008.</w:t>
            </w:r>
          </w:p>
          <w:p>
            <w:pPr>
              <w:pStyle w:val="Normal"/>
              <w:spacing w:before="0" w:after="0"/>
              <w:jc w:val="both"/>
              <w:rPr>
                <w:rFonts w:ascii="Arial" w:hAnsi="Arial" w:cs="Arial"/>
                <w:b/>
                <w:b/>
                <w:sz w:val="20"/>
              </w:rPr>
            </w:pPr>
            <w:r>
              <w:rPr>
                <w:rFonts w:cs="Arial" w:ascii="Arial" w:hAnsi="Arial"/>
                <w:sz w:val="20"/>
              </w:rPr>
              <w:t xml:space="preserve">TURAZZI, Maria Inez (org). </w:t>
            </w:r>
            <w:r>
              <w:rPr>
                <w:rFonts w:cs="Arial" w:ascii="Arial" w:hAnsi="Arial"/>
                <w:i/>
                <w:sz w:val="20"/>
              </w:rPr>
              <w:t>Victor Meirelles</w:t>
            </w:r>
            <w:r>
              <w:rPr>
                <w:rFonts w:cs="Arial" w:ascii="Arial" w:hAnsi="Arial"/>
                <w:sz w:val="20"/>
              </w:rPr>
              <w:t>: novas leituras. São Paulo: Studio Nobel, 2009.</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rPr>
              <w:t xml:space="preserve"> </w:t>
            </w:r>
            <w:r>
              <w:rPr>
                <w:rFonts w:cs="Arial" w:ascii="Arial" w:hAnsi="Arial"/>
                <w:b/>
                <w:u w:val="single"/>
              </w:rPr>
              <w:t>Tópicos de História Econômica</w:t>
            </w:r>
            <w:r>
              <w:rPr>
                <w:rFonts w:cs="Arial" w:ascii="Arial" w:hAnsi="Arial"/>
              </w:rPr>
              <w:t xml:space="preserve"> </w:t>
            </w:r>
            <w:r>
              <w:rPr>
                <w:rFonts w:cs="Arial" w:ascii="Arial" w:hAnsi="Arial"/>
                <w:b/>
                <w:u w:val="single"/>
              </w:rPr>
              <w:t xml:space="preserve"> </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A)</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eastAsia="Calibri" w:cs="Arial" w:ascii="Arial" w:hAnsi="Arial"/>
              </w:rPr>
              <w:t xml:space="preserve"> História e Economia. História Econômica como campo da História. História do capitalismo: abordagens teóricas e debates historiográficos. Os dilemas da acumulação, da legitimação política e da “pegada ecológica insustentável” do capitalismo na contemporaneidade. História do pensamento econômico.</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BEAUD, Michel. </w:t>
            </w:r>
            <w:r>
              <w:rPr>
                <w:rFonts w:eastAsia="Calibri" w:cs="Arial" w:ascii="Arial" w:hAnsi="Arial"/>
                <w:i/>
                <w:color w:val="00000A"/>
                <w:sz w:val="20"/>
                <w:szCs w:val="22"/>
              </w:rPr>
              <w:t>História do capitalismo</w:t>
            </w:r>
            <w:r>
              <w:rPr>
                <w:rFonts w:eastAsia="Calibri" w:cs="Arial" w:ascii="Arial" w:hAnsi="Arial"/>
                <w:color w:val="00000A"/>
                <w:sz w:val="20"/>
                <w:szCs w:val="22"/>
              </w:rPr>
              <w:t>: de 1500 até nossos dias. São Paulo: Brasiliense, 2004.</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HEIMANN, Eduard. </w:t>
            </w:r>
            <w:r>
              <w:rPr>
                <w:rFonts w:eastAsia="Calibri" w:cs="Arial" w:ascii="Arial" w:hAnsi="Arial"/>
                <w:i/>
                <w:color w:val="00000A"/>
                <w:sz w:val="20"/>
                <w:szCs w:val="22"/>
              </w:rPr>
              <w:t>História das doutrinas econômicas</w:t>
            </w:r>
            <w:r>
              <w:rPr>
                <w:rFonts w:eastAsia="Calibri" w:cs="Arial" w:ascii="Arial" w:hAnsi="Arial"/>
                <w:color w:val="00000A"/>
                <w:sz w:val="20"/>
                <w:szCs w:val="22"/>
              </w:rPr>
              <w:t>: uma introdução à Teoria Econômica. 2ª ed. Rio de Janeiro: Zahar, 1971.</w:t>
            </w:r>
          </w:p>
          <w:p>
            <w:pPr>
              <w:pStyle w:val="Normal"/>
              <w:spacing w:before="0" w:after="0"/>
              <w:jc w:val="both"/>
              <w:rPr>
                <w:rFonts w:ascii="Arial" w:hAnsi="Arial" w:cs="Arial"/>
                <w:b/>
                <w:b/>
              </w:rPr>
            </w:pPr>
            <w:r>
              <w:rPr>
                <w:rFonts w:eastAsia="Calibri" w:cs="Arial" w:ascii="Arial" w:hAnsi="Arial"/>
                <w:sz w:val="20"/>
              </w:rPr>
              <w:t xml:space="preserve">SAES, Flávio Azevedo Marques de; SAES, Alexandre Macchione. </w:t>
            </w:r>
            <w:r>
              <w:rPr>
                <w:rFonts w:eastAsia="Calibri" w:cs="Arial" w:ascii="Arial" w:hAnsi="Arial"/>
                <w:i/>
                <w:sz w:val="20"/>
              </w:rPr>
              <w:t>História econômica geral</w:t>
            </w:r>
            <w:r>
              <w:rPr>
                <w:rFonts w:eastAsia="Calibri" w:cs="Arial" w:ascii="Arial" w:hAnsi="Arial"/>
                <w:sz w:val="20"/>
              </w:rPr>
              <w:t>. São Paulo: Saraiva, 2013.</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ARRIGHI, Giovanni. </w:t>
            </w:r>
            <w:r>
              <w:rPr>
                <w:rFonts w:eastAsia="Calibri" w:cs="Arial" w:ascii="Arial" w:hAnsi="Arial"/>
                <w:i/>
                <w:color w:val="00000A"/>
                <w:sz w:val="20"/>
                <w:szCs w:val="22"/>
              </w:rPr>
              <w:t>O longo século XX</w:t>
            </w:r>
            <w:r>
              <w:rPr>
                <w:rFonts w:eastAsia="Calibri" w:cs="Arial" w:ascii="Arial" w:hAnsi="Arial"/>
                <w:color w:val="00000A"/>
                <w:sz w:val="20"/>
                <w:szCs w:val="22"/>
              </w:rPr>
              <w:t>: dinheiro, poder e as origens de nosso tempo. Rio de Janeiro: Contraponto; São Paulo: Editora UNESP, 1996.</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CECHIN, Andrei. </w:t>
            </w:r>
            <w:r>
              <w:rPr>
                <w:rFonts w:eastAsia="Calibri" w:cs="Arial" w:ascii="Arial" w:hAnsi="Arial"/>
                <w:i/>
                <w:color w:val="00000A"/>
                <w:sz w:val="20"/>
                <w:szCs w:val="22"/>
              </w:rPr>
              <w:t>A natureza como limite da economia</w:t>
            </w:r>
            <w:r>
              <w:rPr>
                <w:rFonts w:eastAsia="Calibri" w:cs="Arial" w:ascii="Arial" w:hAnsi="Arial"/>
                <w:color w:val="00000A"/>
                <w:sz w:val="20"/>
                <w:szCs w:val="22"/>
              </w:rPr>
              <w:t>: a contribuição de Nicholas Georgescu-Roegen. São Paulo: Editora SENAC/Edusp, 2010.</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DOBB, Maurice. </w:t>
            </w:r>
            <w:r>
              <w:rPr>
                <w:rFonts w:eastAsia="Calibri" w:cs="Arial" w:ascii="Arial" w:hAnsi="Arial"/>
                <w:i/>
                <w:color w:val="00000A"/>
                <w:sz w:val="20"/>
                <w:szCs w:val="22"/>
              </w:rPr>
              <w:t>A evolução do capitalismo</w:t>
            </w:r>
            <w:r>
              <w:rPr>
                <w:rFonts w:eastAsia="Calibri" w:cs="Arial" w:ascii="Arial" w:hAnsi="Arial"/>
                <w:color w:val="00000A"/>
                <w:sz w:val="20"/>
                <w:szCs w:val="22"/>
              </w:rPr>
              <w:t>. 2ª ed. São Paulo: Nova Cultural, 1986. (Os economistas).</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FIORI, José Luís (org). </w:t>
            </w:r>
            <w:r>
              <w:rPr>
                <w:rFonts w:eastAsia="Calibri" w:cs="Arial" w:ascii="Arial" w:hAnsi="Arial"/>
                <w:i/>
                <w:color w:val="00000A"/>
                <w:sz w:val="20"/>
                <w:szCs w:val="22"/>
              </w:rPr>
              <w:t>Estados e moedas no desenvolvimento das nações</w:t>
            </w:r>
            <w:r>
              <w:rPr>
                <w:rFonts w:eastAsia="Calibri" w:cs="Arial" w:ascii="Arial" w:hAnsi="Arial"/>
                <w:color w:val="00000A"/>
                <w:sz w:val="20"/>
                <w:szCs w:val="22"/>
              </w:rPr>
              <w:t>. 3ª ed. Petrópolis, RJ: Vozes, 1999.</w:t>
            </w:r>
          </w:p>
          <w:p>
            <w:pPr>
              <w:pStyle w:val="Normal"/>
              <w:spacing w:before="0" w:after="0"/>
              <w:jc w:val="both"/>
              <w:rPr>
                <w:rFonts w:ascii="Arial" w:hAnsi="Arial" w:cs="Arial"/>
                <w:b/>
                <w:b/>
              </w:rPr>
            </w:pPr>
            <w:r>
              <w:rPr>
                <w:rFonts w:eastAsia="Calibri" w:cs="Arial" w:ascii="Arial" w:hAnsi="Arial"/>
                <w:sz w:val="20"/>
              </w:rPr>
              <w:t xml:space="preserve">POLANYI, Karl. </w:t>
            </w:r>
            <w:r>
              <w:rPr>
                <w:rFonts w:eastAsia="Calibri" w:cs="Arial" w:ascii="Arial" w:hAnsi="Arial"/>
                <w:i/>
                <w:sz w:val="20"/>
              </w:rPr>
              <w:t>A grande transformação</w:t>
            </w:r>
            <w:r>
              <w:rPr>
                <w:rFonts w:eastAsia="Calibri" w:cs="Arial" w:ascii="Arial" w:hAnsi="Arial"/>
                <w:sz w:val="20"/>
              </w:rPr>
              <w:t>: as origens da nossa época. 2ª ed. Rio de Janeiro: Campus, 2000.</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 xml:space="preserve">Unidade Curricular: </w:t>
            </w:r>
            <w:r>
              <w:rPr>
                <w:rFonts w:cs="Arial" w:ascii="Arial" w:hAnsi="Arial"/>
                <w:b/>
                <w:u w:val="single"/>
              </w:rPr>
              <w:t>Tópicos de História política</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A)</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História política; matrizes teóricas liberal e marxista A nova História política; matrizes teórico-metodológicas: política e cultura política; política e sociedade (sociedade de classes).  História política na historiografia contemporânea; estudos de história política. Abordagem do conteúdo em âmbito do ensino de História.</w:t>
            </w:r>
          </w:p>
        </w:tc>
      </w:tr>
      <w:tr>
        <w:trPr/>
        <w:tc>
          <w:tcPr>
            <w:tcW w:w="8494" w:type="dxa"/>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BOBBIO, Noberto. </w:t>
            </w:r>
            <w:r>
              <w:rPr>
                <w:rFonts w:cs="Arial" w:ascii="Arial" w:hAnsi="Arial"/>
                <w:i/>
                <w:color w:val="00000A"/>
                <w:sz w:val="20"/>
                <w:szCs w:val="22"/>
              </w:rPr>
              <w:t>Sociedade e Estado na filosofia política moderna</w:t>
            </w:r>
            <w:r>
              <w:rPr>
                <w:rFonts w:cs="Arial" w:ascii="Arial" w:hAnsi="Arial"/>
                <w:color w:val="00000A"/>
                <w:sz w:val="20"/>
                <w:szCs w:val="22"/>
              </w:rPr>
              <w:t>. São Paulo: Brasiliense, 1987.</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CARDOSO, Ciro; VAINFAS, Ronaldo. </w:t>
            </w:r>
            <w:r>
              <w:rPr>
                <w:rFonts w:cs="Arial" w:ascii="Arial" w:hAnsi="Arial"/>
                <w:i/>
                <w:color w:val="00000A"/>
                <w:sz w:val="20"/>
                <w:szCs w:val="22"/>
              </w:rPr>
              <w:t>Novos domínios da história</w:t>
            </w:r>
            <w:r>
              <w:rPr>
                <w:rFonts w:cs="Arial" w:ascii="Arial" w:hAnsi="Arial"/>
                <w:color w:val="00000A"/>
                <w:sz w:val="20"/>
                <w:szCs w:val="22"/>
              </w:rPr>
              <w:t>. Rio de Janeiro: Elsevier, 2012.</w:t>
            </w:r>
          </w:p>
          <w:p>
            <w:pPr>
              <w:pStyle w:val="Normal"/>
              <w:spacing w:before="0" w:after="0"/>
              <w:jc w:val="both"/>
              <w:rPr>
                <w:rFonts w:ascii="Arial" w:hAnsi="Arial" w:cs="Arial"/>
                <w:b/>
                <w:b/>
              </w:rPr>
            </w:pPr>
            <w:r>
              <w:rPr>
                <w:rFonts w:cs="Arial" w:ascii="Arial" w:hAnsi="Arial"/>
                <w:sz w:val="20"/>
              </w:rPr>
              <w:t xml:space="preserve">LE GOFF, Jacques; NORA, Pierre (org). </w:t>
            </w:r>
            <w:r>
              <w:rPr>
                <w:rFonts w:cs="Arial" w:ascii="Arial" w:hAnsi="Arial"/>
                <w:i/>
                <w:iCs/>
                <w:sz w:val="20"/>
              </w:rPr>
              <w:t>História</w:t>
            </w:r>
            <w:r>
              <w:rPr>
                <w:rFonts w:cs="Arial" w:ascii="Arial" w:hAnsi="Arial"/>
                <w:sz w:val="20"/>
              </w:rPr>
              <w:t>: novas abordagens. Rio de Janeiro: F. Alves, 1976</w:t>
            </w:r>
          </w:p>
        </w:tc>
      </w:tr>
      <w:tr>
        <w:trPr/>
        <w:tc>
          <w:tcPr>
            <w:tcW w:w="8494" w:type="dxa"/>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Footnotetext"/>
              <w:spacing w:before="0" w:after="0"/>
              <w:jc w:val="both"/>
              <w:rPr>
                <w:rFonts w:ascii="Arial" w:hAnsi="Arial" w:cs="Arial"/>
                <w:szCs w:val="22"/>
              </w:rPr>
            </w:pPr>
            <w:r>
              <w:rPr>
                <w:rFonts w:cs="Arial" w:ascii="Arial" w:hAnsi="Arial"/>
                <w:szCs w:val="22"/>
              </w:rPr>
              <w:t xml:space="preserve">GRAMISCI, Antonio. </w:t>
            </w:r>
            <w:r>
              <w:rPr>
                <w:rFonts w:cs="Arial" w:ascii="Arial" w:hAnsi="Arial"/>
                <w:i/>
                <w:iCs/>
                <w:szCs w:val="22"/>
              </w:rPr>
              <w:t>Maquiavel, a política e o Estado moderno</w:t>
            </w:r>
            <w:r>
              <w:rPr>
                <w:rFonts w:cs="Arial" w:ascii="Arial" w:hAnsi="Arial"/>
                <w:szCs w:val="22"/>
              </w:rPr>
              <w:t xml:space="preserve">. 8. ed. Rio de Janeiro: Civilização Brasileira, 1991.  </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GRAMISCI, Antonio. </w:t>
            </w:r>
            <w:r>
              <w:rPr>
                <w:rFonts w:cs="Arial" w:ascii="Arial" w:hAnsi="Arial"/>
                <w:i/>
                <w:color w:val="00000A"/>
                <w:sz w:val="20"/>
                <w:szCs w:val="22"/>
              </w:rPr>
              <w:t>Cadernos do cárcere</w:t>
            </w:r>
            <w:r>
              <w:rPr>
                <w:rFonts w:cs="Arial" w:ascii="Arial" w:hAnsi="Arial"/>
                <w:color w:val="00000A"/>
                <w:sz w:val="20"/>
                <w:szCs w:val="22"/>
              </w:rPr>
              <w:t>. Rio de Janeiro: Civilização brasileira, 200-2002. 6v volumes.</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MENDONÇA, Sonia Regina. </w:t>
            </w:r>
            <w:r>
              <w:rPr>
                <w:rFonts w:cs="Arial" w:ascii="Arial" w:hAnsi="Arial"/>
                <w:i/>
                <w:iCs/>
                <w:color w:val="00000A"/>
                <w:sz w:val="20"/>
                <w:szCs w:val="22"/>
              </w:rPr>
              <w:t>O ruralismo brasileiro (1888-1931)</w:t>
            </w:r>
            <w:r>
              <w:rPr>
                <w:rFonts w:cs="Arial" w:ascii="Arial" w:hAnsi="Arial"/>
                <w:color w:val="00000A"/>
                <w:sz w:val="20"/>
                <w:szCs w:val="22"/>
              </w:rPr>
              <w:t xml:space="preserve">. São Paulo: Hucitec, 1997. </w:t>
            </w:r>
          </w:p>
          <w:p>
            <w:pPr>
              <w:pStyle w:val="Normal"/>
              <w:spacing w:before="0" w:after="0"/>
              <w:jc w:val="both"/>
              <w:rPr>
                <w:rFonts w:ascii="Arial" w:hAnsi="Arial" w:cs="Arial"/>
                <w:sz w:val="20"/>
              </w:rPr>
            </w:pPr>
            <w:r>
              <w:rPr>
                <w:rFonts w:cs="Arial" w:ascii="Arial" w:hAnsi="Arial"/>
                <w:sz w:val="20"/>
              </w:rPr>
              <w:t xml:space="preserve">REMOND, René. </w:t>
            </w:r>
            <w:r>
              <w:rPr>
                <w:rFonts w:cs="Arial" w:ascii="Arial" w:hAnsi="Arial"/>
                <w:i/>
                <w:sz w:val="20"/>
              </w:rPr>
              <w:t>Por uma história política</w:t>
            </w:r>
            <w:r>
              <w:rPr>
                <w:rFonts w:cs="Arial" w:ascii="Arial" w:hAnsi="Arial"/>
                <w:sz w:val="20"/>
              </w:rPr>
              <w:t xml:space="preserve">. 2. ed. Rio de Janeiro: Editora FGV, 2003.   </w:t>
            </w:r>
          </w:p>
          <w:p>
            <w:pPr>
              <w:pStyle w:val="Normal"/>
              <w:spacing w:before="0" w:after="0"/>
              <w:jc w:val="both"/>
              <w:rPr>
                <w:rFonts w:ascii="Arial" w:hAnsi="Arial" w:cs="Arial"/>
                <w:b/>
                <w:b/>
              </w:rPr>
            </w:pPr>
            <w:r>
              <w:rPr>
                <w:rFonts w:cs="Arial" w:ascii="Arial" w:hAnsi="Arial"/>
                <w:sz w:val="20"/>
                <w:lang w:val="fr-BE"/>
              </w:rPr>
              <w:t xml:space="preserve">RIOUX, Jean-Pierre; SIRINELLI, Jean-François. </w:t>
            </w:r>
            <w:r>
              <w:rPr>
                <w:rFonts w:cs="Arial" w:ascii="Arial" w:hAnsi="Arial"/>
                <w:bCs/>
                <w:i/>
                <w:sz w:val="20"/>
              </w:rPr>
              <w:t>Para uma história cultural</w:t>
            </w:r>
            <w:r>
              <w:rPr>
                <w:rFonts w:cs="Arial" w:ascii="Arial" w:hAnsi="Arial"/>
                <w:bCs/>
                <w:sz w:val="20"/>
              </w:rPr>
              <w:t>.</w:t>
            </w:r>
            <w:r>
              <w:rPr>
                <w:rFonts w:cs="Arial" w:ascii="Arial" w:hAnsi="Arial"/>
                <w:b/>
                <w:bCs/>
                <w:sz w:val="20"/>
              </w:rPr>
              <w:t xml:space="preserve"> </w:t>
            </w:r>
            <w:r>
              <w:rPr>
                <w:rFonts w:cs="Arial" w:ascii="Arial" w:hAnsi="Arial"/>
                <w:sz w:val="20"/>
              </w:rPr>
              <w:t>Lisboa: Estampa, 1998.</w:t>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 xml:space="preserve">Unidade Curricular: </w:t>
            </w:r>
            <w:r>
              <w:rPr>
                <w:rFonts w:cs="Arial" w:ascii="Arial" w:hAnsi="Arial"/>
                <w:b/>
                <w:u w:val="single"/>
              </w:rPr>
              <w:t>Tópicos em História da África</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A)</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Representações sobre os africanos. Ideologias anticoloniais: pan-africanismo e negritude. Os nacionalismos africanos e a descolonização. As independências. A África atual. África lusófona contemporânea. Relações Brasil-África na atualidade.</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APPIAH, Kwame Anthony. </w:t>
            </w:r>
            <w:r>
              <w:rPr>
                <w:rFonts w:cs="Arial" w:ascii="Arial" w:hAnsi="Arial"/>
                <w:i/>
                <w:color w:val="00000A"/>
                <w:sz w:val="20"/>
                <w:szCs w:val="22"/>
              </w:rPr>
              <w:t>Na Casa De Meu Pai.</w:t>
            </w:r>
            <w:r>
              <w:rPr>
                <w:rFonts w:cs="Arial" w:ascii="Arial" w:hAnsi="Arial"/>
                <w:color w:val="00000A"/>
                <w:sz w:val="20"/>
                <w:szCs w:val="22"/>
              </w:rPr>
              <w:t xml:space="preserve"> A África na Filosofia da Cultura. Rio de Janeiro: Contraponto, 1997.</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PENHA, Eli Alves. </w:t>
            </w:r>
            <w:r>
              <w:rPr>
                <w:rFonts w:cs="Arial" w:ascii="Arial" w:hAnsi="Arial"/>
                <w:i/>
                <w:color w:val="00000A"/>
                <w:sz w:val="20"/>
                <w:szCs w:val="22"/>
              </w:rPr>
              <w:t>Relações Brasil-África e geopolítica no Atlântico Sul.</w:t>
            </w:r>
            <w:r>
              <w:rPr>
                <w:rFonts w:cs="Arial" w:ascii="Arial" w:hAnsi="Arial"/>
                <w:color w:val="00000A"/>
                <w:sz w:val="20"/>
                <w:szCs w:val="22"/>
              </w:rPr>
              <w:t xml:space="preserve"> Salvador: Edufba, 2011. </w:t>
            </w:r>
          </w:p>
          <w:p>
            <w:pPr>
              <w:pStyle w:val="Normal"/>
              <w:spacing w:before="0" w:after="0"/>
              <w:jc w:val="both"/>
              <w:rPr>
                <w:rFonts w:ascii="Arial" w:hAnsi="Arial" w:cs="Arial"/>
                <w:b/>
                <w:b/>
              </w:rPr>
            </w:pPr>
            <w:r>
              <w:rPr>
                <w:rFonts w:cs="Arial" w:ascii="Arial" w:hAnsi="Arial"/>
                <w:sz w:val="20"/>
              </w:rPr>
              <w:t xml:space="preserve">VISENTINI, Paulo Gilberto Fagundes. </w:t>
            </w:r>
            <w:r>
              <w:rPr>
                <w:rFonts w:cs="Arial" w:ascii="Arial" w:hAnsi="Arial"/>
                <w:i/>
                <w:sz w:val="20"/>
              </w:rPr>
              <w:t>A África moderna:</w:t>
            </w:r>
            <w:r>
              <w:rPr>
                <w:rFonts w:cs="Arial" w:ascii="Arial" w:hAnsi="Arial"/>
                <w:sz w:val="20"/>
              </w:rPr>
              <w:t xml:space="preserve"> um continente em mudança (1960-2010). Porto Alegre: Leitura XXI, 2010.</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BENOT, Yves. </w:t>
            </w:r>
            <w:r>
              <w:rPr>
                <w:rFonts w:cs="Arial" w:ascii="Arial" w:hAnsi="Arial"/>
                <w:i/>
                <w:color w:val="00000A"/>
                <w:sz w:val="20"/>
                <w:szCs w:val="22"/>
              </w:rPr>
              <w:t>As ideologias políticas africanas.</w:t>
            </w:r>
            <w:r>
              <w:rPr>
                <w:rFonts w:cs="Arial" w:ascii="Arial" w:hAnsi="Arial"/>
                <w:color w:val="00000A"/>
                <w:sz w:val="20"/>
                <w:szCs w:val="22"/>
              </w:rPr>
              <w:t xml:space="preserve"> Lisboa: Sá da Costa, 1980.</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HERNANDEZ, Leila Leite. </w:t>
            </w:r>
            <w:r>
              <w:rPr>
                <w:rFonts w:cs="Arial" w:ascii="Arial" w:hAnsi="Arial"/>
                <w:i/>
                <w:color w:val="00000A"/>
                <w:sz w:val="20"/>
                <w:szCs w:val="22"/>
              </w:rPr>
              <w:t>A África na sala de aula:</w:t>
            </w:r>
            <w:r>
              <w:rPr>
                <w:rFonts w:cs="Arial" w:ascii="Arial" w:hAnsi="Arial"/>
                <w:color w:val="00000A"/>
                <w:sz w:val="20"/>
                <w:szCs w:val="22"/>
              </w:rPr>
              <w:t xml:space="preserve"> visita à História contemporânea. São Paulo: Selo Negro, 2005.</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M´BOKOLO, Elikia. </w:t>
            </w:r>
            <w:r>
              <w:rPr>
                <w:rFonts w:cs="Arial" w:ascii="Arial" w:hAnsi="Arial"/>
                <w:i/>
                <w:color w:val="00000A"/>
                <w:sz w:val="20"/>
                <w:szCs w:val="22"/>
              </w:rPr>
              <w:t>África Negra.</w:t>
            </w:r>
            <w:r>
              <w:rPr>
                <w:rFonts w:cs="Arial" w:ascii="Arial" w:hAnsi="Arial"/>
                <w:color w:val="00000A"/>
                <w:sz w:val="20"/>
                <w:szCs w:val="22"/>
              </w:rPr>
              <w:t xml:space="preserve"> História e civilizações. Tomo 2 (do século XIX aos novos dias). Lisboa: Colibri, 2007. </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OLIVA, Anderson. “Os africanos entre representações: viagens reveladoras, olhares imprecisos e a invenção da África no imaginário ocidental”. In: </w:t>
            </w:r>
            <w:r>
              <w:rPr>
                <w:rFonts w:cs="Arial" w:ascii="Arial" w:hAnsi="Arial"/>
                <w:i/>
                <w:color w:val="00000A"/>
                <w:sz w:val="20"/>
                <w:szCs w:val="22"/>
              </w:rPr>
              <w:t>Em tempo de Histórias</w:t>
            </w:r>
            <w:r>
              <w:rPr>
                <w:rFonts w:cs="Arial" w:ascii="Arial" w:hAnsi="Arial"/>
                <w:color w:val="00000A"/>
                <w:sz w:val="20"/>
                <w:szCs w:val="22"/>
              </w:rPr>
              <w:t>, Brasília, 9 (9), 2005, pp. 90-114.</w:t>
            </w:r>
          </w:p>
          <w:p>
            <w:pPr>
              <w:pStyle w:val="Normal"/>
              <w:spacing w:before="0" w:after="0"/>
              <w:jc w:val="both"/>
              <w:rPr>
                <w:rFonts w:ascii="Arial" w:hAnsi="Arial" w:cs="Arial"/>
                <w:b/>
                <w:b/>
              </w:rPr>
            </w:pPr>
            <w:r>
              <w:rPr>
                <w:rFonts w:cs="Arial" w:ascii="Arial" w:hAnsi="Arial"/>
                <w:sz w:val="20"/>
              </w:rPr>
              <w:t xml:space="preserve">VISENTINI, Paulo Gilberto Fagundes. </w:t>
            </w:r>
            <w:r>
              <w:rPr>
                <w:rFonts w:cs="Arial" w:ascii="Arial" w:hAnsi="Arial"/>
                <w:i/>
                <w:sz w:val="20"/>
              </w:rPr>
              <w:t>A África na política internacional</w:t>
            </w:r>
            <w:r>
              <w:rPr>
                <w:rFonts w:cs="Arial" w:ascii="Arial" w:hAnsi="Arial"/>
                <w:sz w:val="20"/>
              </w:rPr>
              <w:t>: o sistema interafricano e sua inserção internacional. Curitiba: Juruá, 2010.</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rPr>
            </w:pPr>
            <w:r>
              <w:rPr>
                <w:rFonts w:cs="Arial" w:ascii="Arial" w:hAnsi="Arial"/>
                <w:b/>
              </w:rPr>
              <w:t xml:space="preserve">Unidade Curricular: </w:t>
            </w:r>
            <w:r>
              <w:rPr>
                <w:rFonts w:cs="Arial" w:ascii="Arial" w:hAnsi="Arial"/>
                <w:b/>
                <w:u w:val="single"/>
              </w:rPr>
              <w:t>Tópicos Especiais em História Antiga</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A)</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color w:val="000000"/>
              </w:rPr>
              <w:t xml:space="preserve"> Aspectos específicos sobre política, religiosidade e cultura antiga. Debate historiográfico e trabalho com fontes.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Bibliografia Básica:</w:t>
            </w:r>
          </w:p>
          <w:p>
            <w:pPr>
              <w:pStyle w:val="Normal"/>
              <w:spacing w:lineRule="auto" w:line="240" w:before="0" w:after="0"/>
              <w:jc w:val="both"/>
              <w:rPr>
                <w:rFonts w:ascii="Arial" w:hAnsi="Arial" w:cs="Arial"/>
                <w:color w:val="000000"/>
                <w:sz w:val="20"/>
              </w:rPr>
            </w:pPr>
            <w:r>
              <w:rPr>
                <w:rFonts w:cs="Arial" w:ascii="Arial" w:hAnsi="Arial"/>
                <w:color w:val="000000"/>
                <w:sz w:val="20"/>
              </w:rPr>
              <w:t>DONADONI, Sérgio (org). O homem egípcio. Lisboa: Editorial Presença, 1994.</w:t>
            </w:r>
          </w:p>
          <w:p>
            <w:pPr>
              <w:pStyle w:val="Normal"/>
              <w:spacing w:lineRule="auto" w:line="240" w:before="0" w:after="0"/>
              <w:jc w:val="both"/>
              <w:rPr>
                <w:rFonts w:ascii="Arial" w:hAnsi="Arial" w:cs="Arial"/>
                <w:color w:val="000000"/>
                <w:sz w:val="20"/>
              </w:rPr>
            </w:pPr>
            <w:r>
              <w:rPr>
                <w:rFonts w:cs="Arial" w:ascii="Arial" w:hAnsi="Arial"/>
                <w:color w:val="000000"/>
                <w:sz w:val="20"/>
              </w:rPr>
              <w:t>SILVA, Gilvan Ventura da, MENDES, Norma Musco (orgs). Repensando o Império Romano: Perspectiva Socioeconômica, política e cultural.</w:t>
            </w:r>
          </w:p>
          <w:p>
            <w:pPr>
              <w:pStyle w:val="Normal"/>
              <w:spacing w:lineRule="auto" w:line="240" w:before="0" w:after="0"/>
              <w:jc w:val="both"/>
              <w:rPr>
                <w:rFonts w:ascii="Arial" w:hAnsi="Arial" w:cs="Arial"/>
                <w:color w:val="000000"/>
                <w:sz w:val="20"/>
              </w:rPr>
            </w:pPr>
            <w:r>
              <w:rPr>
                <w:rFonts w:cs="Arial" w:ascii="Arial" w:hAnsi="Arial"/>
                <w:color w:val="000000"/>
                <w:sz w:val="20"/>
              </w:rPr>
              <w:t>Rio de Janeiro; Mauá: EDUFES, 2006.</w:t>
            </w:r>
          </w:p>
          <w:p>
            <w:pPr>
              <w:pStyle w:val="Normal"/>
              <w:spacing w:lineRule="auto" w:line="240" w:before="0" w:after="0"/>
              <w:jc w:val="both"/>
              <w:rPr>
                <w:rFonts w:ascii="Arial" w:hAnsi="Arial" w:cs="Arial"/>
                <w:b/>
                <w:b/>
              </w:rPr>
            </w:pPr>
            <w:r>
              <w:rPr>
                <w:rFonts w:cs="Arial" w:ascii="Arial" w:hAnsi="Arial"/>
                <w:color w:val="000000"/>
                <w:sz w:val="20"/>
              </w:rPr>
              <w:t>VEYNE, Paul. Acreditavam os gregos em seus mitos? Ensaio sobre a imaginação constituinte. São Paulo: Brasiliense, 1984.</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Normal"/>
              <w:spacing w:before="0" w:after="0"/>
              <w:jc w:val="both"/>
              <w:rPr>
                <w:rFonts w:ascii="Arial" w:hAnsi="Arial" w:cs="Arial"/>
                <w:color w:val="000000"/>
                <w:sz w:val="20"/>
              </w:rPr>
            </w:pPr>
            <w:r>
              <w:rPr>
                <w:rFonts w:cs="Arial" w:ascii="Arial" w:hAnsi="Arial"/>
                <w:color w:val="000000"/>
                <w:sz w:val="20"/>
              </w:rPr>
              <w:t>BROWN, Peter. A ascenção do cristianismo no Ocidente. Lisboa: Presença, 1999.</w:t>
            </w:r>
          </w:p>
          <w:p>
            <w:pPr>
              <w:pStyle w:val="Normal"/>
              <w:spacing w:before="0" w:after="0"/>
              <w:jc w:val="both"/>
              <w:rPr>
                <w:rFonts w:ascii="Arial" w:hAnsi="Arial" w:cs="Arial"/>
                <w:color w:val="000000"/>
                <w:sz w:val="20"/>
              </w:rPr>
            </w:pPr>
            <w:r>
              <w:rPr>
                <w:rFonts w:cs="Arial" w:ascii="Arial" w:hAnsi="Arial"/>
                <w:color w:val="000000"/>
                <w:sz w:val="20"/>
              </w:rPr>
              <w:t>CARDOSO, Ciro Flamarion. O Egito Antigo. São Paulo: Brasiliense, 1982.</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shd w:fill="FFFFFF" w:val="clear"/>
              </w:rPr>
              <w:t xml:space="preserve">GUARINELLO, Norberto Luiz. </w:t>
            </w:r>
            <w:r>
              <w:rPr>
                <w:rFonts w:eastAsia="Calibri" w:cs="Arial" w:ascii="Arial" w:hAnsi="Arial"/>
                <w:i/>
                <w:color w:val="00000A"/>
                <w:sz w:val="20"/>
                <w:szCs w:val="22"/>
                <w:shd w:fill="FFFFFF" w:val="clear"/>
              </w:rPr>
              <w:t>História Antiga</w:t>
            </w:r>
            <w:r>
              <w:rPr>
                <w:rFonts w:eastAsia="Calibri" w:cs="Arial" w:ascii="Arial" w:hAnsi="Arial"/>
                <w:color w:val="00000A"/>
                <w:sz w:val="20"/>
                <w:szCs w:val="22"/>
                <w:shd w:fill="FFFFFF" w:val="clear"/>
              </w:rPr>
              <w:t>. São Paulo: Contexto, 2013.</w:t>
            </w:r>
          </w:p>
          <w:p>
            <w:pPr>
              <w:pStyle w:val="Normal"/>
              <w:spacing w:before="0" w:after="0"/>
              <w:jc w:val="both"/>
              <w:rPr>
                <w:rFonts w:ascii="Arial" w:hAnsi="Arial" w:cs="Arial"/>
                <w:color w:val="000000"/>
                <w:sz w:val="20"/>
              </w:rPr>
            </w:pPr>
            <w:r>
              <w:rPr>
                <w:rFonts w:cs="Arial" w:ascii="Arial" w:hAnsi="Arial"/>
                <w:color w:val="000000"/>
                <w:sz w:val="20"/>
              </w:rPr>
              <w:t>FUNARI, Pedro Paulo Abreu. (org). História Antiga: contribuições brasileiras. São Paulo: ANNABLUME; FAPESP, 2008.</w:t>
            </w:r>
          </w:p>
          <w:p>
            <w:pPr>
              <w:pStyle w:val="Normal"/>
              <w:spacing w:before="0" w:after="0"/>
              <w:jc w:val="both"/>
              <w:rPr>
                <w:rFonts w:ascii="Arial" w:hAnsi="Arial" w:cs="Arial"/>
                <w:b/>
                <w:b/>
              </w:rPr>
            </w:pPr>
            <w:r>
              <w:rPr>
                <w:rFonts w:cs="Arial" w:ascii="Arial" w:hAnsi="Arial"/>
                <w:color w:val="000000"/>
                <w:sz w:val="20"/>
              </w:rPr>
              <w:t>LOT, Ferdinand. O fim do mundo antigo e o princípio da Idade Média. Lisboa: Edições 70, 1991.</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 xml:space="preserve">Unidade Curricular: </w:t>
            </w:r>
            <w:r>
              <w:rPr>
                <w:rFonts w:cs="Arial" w:ascii="Arial" w:hAnsi="Arial"/>
                <w:b/>
                <w:u w:val="single"/>
              </w:rPr>
              <w:t>Tópicos Especiais em História Contemporânea</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A)</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 xml:space="preserve">Ementa: </w:t>
            </w:r>
            <w:r>
              <w:rPr>
                <w:rFonts w:cs="Arial" w:ascii="Arial" w:hAnsi="Arial"/>
              </w:rPr>
              <w:t xml:space="preserve">Verticalização de estudos de História Contemporânea, com ênfase em conflitos; guerras; revoluções. Debates historiográficos sobre estudos de História Contemporânea. </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ARENDT, Hannah. </w:t>
            </w:r>
            <w:r>
              <w:rPr>
                <w:rFonts w:cs="Arial" w:ascii="Arial" w:hAnsi="Arial"/>
                <w:i/>
                <w:color w:val="00000A"/>
                <w:sz w:val="20"/>
                <w:szCs w:val="22"/>
              </w:rPr>
              <w:t xml:space="preserve">Sobre a </w:t>
            </w:r>
            <w:r>
              <w:rPr>
                <w:rFonts w:cs="Arial" w:ascii="Arial" w:hAnsi="Arial"/>
                <w:i/>
                <w:iCs/>
                <w:color w:val="00000A"/>
                <w:sz w:val="20"/>
                <w:szCs w:val="22"/>
              </w:rPr>
              <w:t>Revolução</w:t>
            </w:r>
            <w:r>
              <w:rPr>
                <w:rFonts w:cs="Arial" w:ascii="Arial" w:hAnsi="Arial"/>
                <w:color w:val="00000A"/>
                <w:sz w:val="20"/>
                <w:szCs w:val="22"/>
              </w:rPr>
              <w:t xml:space="preserve">. São Paulo: Cia das Letras, 2011.  </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KEMP, Tom. </w:t>
            </w:r>
            <w:r>
              <w:rPr>
                <w:rFonts w:cs="Arial" w:ascii="Arial" w:hAnsi="Arial"/>
                <w:i/>
                <w:color w:val="00000A"/>
                <w:sz w:val="20"/>
                <w:szCs w:val="22"/>
              </w:rPr>
              <w:t>A Revolução Industrial na Europa do século XIX</w:t>
            </w:r>
            <w:r>
              <w:rPr>
                <w:rFonts w:cs="Arial" w:ascii="Arial" w:hAnsi="Arial"/>
                <w:color w:val="00000A"/>
                <w:sz w:val="20"/>
                <w:szCs w:val="22"/>
              </w:rPr>
              <w:t>. Lisboa: Edições 70, 1985.</w:t>
            </w:r>
          </w:p>
          <w:p>
            <w:pPr>
              <w:pStyle w:val="Normal"/>
              <w:spacing w:before="0" w:after="0"/>
              <w:jc w:val="both"/>
              <w:rPr>
                <w:rFonts w:ascii="Arial" w:hAnsi="Arial" w:cs="Arial"/>
                <w:b/>
                <w:b/>
              </w:rPr>
            </w:pPr>
            <w:r>
              <w:rPr>
                <w:rFonts w:cs="Arial" w:ascii="Arial" w:hAnsi="Arial"/>
                <w:sz w:val="20"/>
              </w:rPr>
              <w:t xml:space="preserve">REIS FILHO, Daniel Aarão. </w:t>
            </w:r>
            <w:r>
              <w:rPr>
                <w:rFonts w:cs="Arial" w:ascii="Arial" w:hAnsi="Arial"/>
                <w:i/>
                <w:sz w:val="20"/>
              </w:rPr>
              <w:t>As revoluções russas e o socialismo soviético</w:t>
            </w:r>
            <w:r>
              <w:rPr>
                <w:rFonts w:cs="Arial" w:ascii="Arial" w:hAnsi="Arial"/>
                <w:sz w:val="20"/>
              </w:rPr>
              <w:t>. São Paulo: Editora Unesp, 2003.</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AGULHON, Maurice. </w:t>
            </w:r>
            <w:r>
              <w:rPr>
                <w:rFonts w:cs="Arial" w:ascii="Arial" w:hAnsi="Arial"/>
                <w:i/>
                <w:iCs/>
                <w:color w:val="00000A"/>
                <w:sz w:val="20"/>
                <w:szCs w:val="22"/>
              </w:rPr>
              <w:t>1848, o aprendizado da República</w:t>
            </w:r>
            <w:r>
              <w:rPr>
                <w:rFonts w:cs="Arial" w:ascii="Arial" w:hAnsi="Arial"/>
                <w:color w:val="00000A"/>
                <w:sz w:val="20"/>
                <w:szCs w:val="22"/>
              </w:rPr>
              <w:t>. São Paulo: Paz e Terra, 1991.</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CHESNEAUX, Jean. </w:t>
            </w:r>
            <w:r>
              <w:rPr>
                <w:rFonts w:cs="Arial" w:ascii="Arial" w:hAnsi="Arial"/>
                <w:i/>
                <w:iCs/>
                <w:color w:val="00000A"/>
                <w:sz w:val="20"/>
                <w:szCs w:val="22"/>
              </w:rPr>
              <w:t>A Ásia Oriental nos séculos XIX e XX</w:t>
            </w:r>
            <w:r>
              <w:rPr>
                <w:rFonts w:cs="Arial" w:ascii="Arial" w:hAnsi="Arial"/>
                <w:color w:val="00000A"/>
                <w:sz w:val="20"/>
                <w:szCs w:val="22"/>
              </w:rPr>
              <w:t>. São Paulo: Pioneira, 1982.</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shd w:fill="FFFFFF" w:val="clear"/>
              </w:rPr>
              <w:t>KARNAL, Leandro et al.</w:t>
            </w:r>
            <w:r>
              <w:rPr>
                <w:rFonts w:cs="Arial" w:ascii="Arial" w:hAnsi="Arial"/>
                <w:color w:val="00000A"/>
                <w:sz w:val="20"/>
                <w:szCs w:val="22"/>
              </w:rPr>
              <w:t> </w:t>
            </w:r>
            <w:r>
              <w:rPr>
                <w:rFonts w:cs="Arial" w:ascii="Arial" w:hAnsi="Arial"/>
                <w:i/>
                <w:iCs/>
                <w:color w:val="00000A"/>
                <w:sz w:val="20"/>
                <w:szCs w:val="22"/>
                <w:shd w:fill="FFFFFF" w:val="clear"/>
              </w:rPr>
              <w:t>História dos Estados Unidos</w:t>
            </w:r>
            <w:r>
              <w:rPr>
                <w:rFonts w:cs="Arial" w:ascii="Arial" w:hAnsi="Arial"/>
                <w:color w:val="00000A"/>
                <w:sz w:val="20"/>
                <w:szCs w:val="22"/>
                <w:shd w:fill="FFFFFF" w:val="clear"/>
              </w:rPr>
              <w:t>: das origens ao século XXI. 2ª ed. São Paulo: Contexto, 2010.</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KURLANSKY, Mark. </w:t>
            </w:r>
            <w:r>
              <w:rPr>
                <w:rFonts w:cs="Arial" w:ascii="Arial" w:hAnsi="Arial"/>
                <w:i/>
                <w:color w:val="00000A"/>
                <w:sz w:val="20"/>
                <w:szCs w:val="22"/>
              </w:rPr>
              <w:t>1968</w:t>
            </w:r>
            <w:r>
              <w:rPr>
                <w:rFonts w:cs="Arial" w:ascii="Arial" w:hAnsi="Arial"/>
                <w:color w:val="00000A"/>
                <w:sz w:val="20"/>
                <w:szCs w:val="22"/>
              </w:rPr>
              <w:t>: o ano que abalou o mundo. Rio de Janeiro: José Olympio, 2005.</w:t>
            </w:r>
          </w:p>
          <w:p>
            <w:pPr>
              <w:pStyle w:val="Normal"/>
              <w:spacing w:before="0" w:after="0"/>
              <w:jc w:val="both"/>
              <w:rPr>
                <w:rFonts w:ascii="Arial" w:hAnsi="Arial" w:cs="Arial"/>
                <w:b/>
                <w:b/>
              </w:rPr>
            </w:pPr>
            <w:r>
              <w:rPr>
                <w:rFonts w:cs="Arial" w:ascii="Arial" w:hAnsi="Arial"/>
                <w:sz w:val="20"/>
              </w:rPr>
              <w:t xml:space="preserve">SADER, Emir. </w:t>
            </w:r>
            <w:r>
              <w:rPr>
                <w:rFonts w:cs="Arial" w:ascii="Arial" w:hAnsi="Arial"/>
                <w:i/>
                <w:sz w:val="20"/>
              </w:rPr>
              <w:t>O mundo depois da queda</w:t>
            </w:r>
            <w:r>
              <w:rPr>
                <w:rFonts w:cs="Arial" w:ascii="Arial" w:hAnsi="Arial"/>
                <w:sz w:val="20"/>
              </w:rPr>
              <w:t>. 2ª ed. São Paulo: Paz e Terra, 1995.</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rPr>
            </w:pPr>
            <w:r>
              <w:rPr>
                <w:rFonts w:cs="Arial" w:ascii="Arial" w:hAnsi="Arial"/>
                <w:b/>
              </w:rPr>
              <w:t xml:space="preserve">Unidade Curricular: </w:t>
            </w:r>
            <w:r>
              <w:rPr>
                <w:rFonts w:cs="Arial" w:ascii="Arial" w:hAnsi="Arial"/>
                <w:b/>
                <w:u w:val="single"/>
              </w:rPr>
              <w:t>Tópicos Especiais em História da América</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A)</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rPr>
              <w:t xml:space="preserve"> Estudo de</w:t>
            </w:r>
            <w:r>
              <w:rPr>
                <w:rFonts w:cs="Arial" w:ascii="Arial" w:hAnsi="Arial"/>
                <w:b/>
              </w:rPr>
              <w:t xml:space="preserve"> </w:t>
            </w:r>
            <w:r>
              <w:rPr>
                <w:rFonts w:cs="Arial" w:ascii="Arial" w:hAnsi="Arial"/>
                <w:shd w:fill="FFFFFF" w:val="clear"/>
              </w:rPr>
              <w:t>diferentes aspectos da história das Américas colonial, independente e contemporânea.</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Bibliografia Básica:</w:t>
            </w:r>
          </w:p>
          <w:p>
            <w:pPr>
              <w:pStyle w:val="Normal"/>
              <w:spacing w:lineRule="auto" w:line="240" w:before="0" w:after="0"/>
              <w:jc w:val="both"/>
              <w:rPr>
                <w:rFonts w:ascii="Arial" w:hAnsi="Arial" w:eastAsia="Calibri" w:cs="Arial"/>
                <w:sz w:val="20"/>
              </w:rPr>
            </w:pPr>
            <w:r>
              <w:rPr>
                <w:rFonts w:eastAsia="Calibri" w:cs="Arial" w:ascii="Arial" w:hAnsi="Arial"/>
                <w:sz w:val="20"/>
              </w:rPr>
              <w:t xml:space="preserve">BETHEL, Leslie (org). </w:t>
            </w:r>
            <w:r>
              <w:rPr>
                <w:rFonts w:eastAsia="Calibri" w:cs="Arial" w:ascii="Arial" w:hAnsi="Arial"/>
                <w:i/>
                <w:sz w:val="20"/>
              </w:rPr>
              <w:t>História da América Latina</w:t>
            </w:r>
            <w:r>
              <w:rPr>
                <w:rFonts w:eastAsia="Calibri" w:cs="Arial" w:ascii="Arial" w:hAnsi="Arial"/>
                <w:sz w:val="20"/>
              </w:rPr>
              <w:t>. São Paulo: Editora da USP; Brasília, Fundação Alexandre Gusmão, 2005.</w:t>
            </w:r>
          </w:p>
          <w:p>
            <w:pPr>
              <w:pStyle w:val="Normal"/>
              <w:spacing w:lineRule="auto" w:line="240" w:before="0" w:after="0"/>
              <w:jc w:val="both"/>
              <w:rPr>
                <w:rFonts w:ascii="Arial" w:hAnsi="Arial" w:eastAsia="Calibri" w:cs="Arial"/>
                <w:sz w:val="20"/>
              </w:rPr>
            </w:pPr>
            <w:r>
              <w:rPr>
                <w:rFonts w:eastAsia="Calibri" w:cs="Arial" w:ascii="Arial" w:hAnsi="Arial"/>
                <w:sz w:val="20"/>
                <w:lang w:val="es-ES"/>
              </w:rPr>
              <w:t xml:space="preserve">CARREDANO, Juan B. Amores. [Coord.] </w:t>
            </w:r>
            <w:r>
              <w:rPr>
                <w:rFonts w:eastAsia="Calibri" w:cs="Arial" w:ascii="Arial" w:hAnsi="Arial"/>
                <w:i/>
                <w:sz w:val="20"/>
              </w:rPr>
              <w:t>Historia de América</w:t>
            </w:r>
            <w:r>
              <w:rPr>
                <w:rFonts w:eastAsia="Calibri" w:cs="Arial" w:ascii="Arial" w:hAnsi="Arial"/>
                <w:sz w:val="20"/>
              </w:rPr>
              <w:t>. Barcelona: Ariel, 2012.</w:t>
            </w:r>
          </w:p>
          <w:p>
            <w:pPr>
              <w:pStyle w:val="Normal"/>
              <w:spacing w:lineRule="auto" w:line="240" w:before="0" w:after="0"/>
              <w:jc w:val="both"/>
              <w:rPr>
                <w:rFonts w:ascii="Arial" w:hAnsi="Arial" w:cs="Arial"/>
                <w:b/>
                <w:b/>
              </w:rPr>
            </w:pPr>
            <w:r>
              <w:rPr>
                <w:rFonts w:cs="Arial" w:ascii="Arial" w:hAnsi="Arial"/>
                <w:sz w:val="20"/>
              </w:rPr>
              <w:t xml:space="preserve">PELLEGRINO, Gabriela; PRADO, Maria Lígia. </w:t>
            </w:r>
            <w:r>
              <w:rPr>
                <w:rFonts w:cs="Arial" w:ascii="Arial" w:hAnsi="Arial"/>
                <w:i/>
                <w:sz w:val="20"/>
              </w:rPr>
              <w:t xml:space="preserve">História da América Latina. </w:t>
            </w:r>
            <w:r>
              <w:rPr>
                <w:rFonts w:cs="Arial" w:ascii="Arial" w:hAnsi="Arial"/>
                <w:sz w:val="20"/>
              </w:rPr>
              <w:t>São Paulo, Contexto, 2014.</w:t>
            </w:r>
          </w:p>
        </w:tc>
      </w:tr>
      <w:tr>
        <w:trPr/>
        <w:tc>
          <w:tcPr>
            <w:tcW w:w="8494" w:type="dxa"/>
            <w:tcBorders>
              <w:top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Bibliografia Complementar:</w:t>
            </w:r>
          </w:p>
          <w:p>
            <w:pPr>
              <w:pStyle w:val="Normal"/>
              <w:spacing w:lineRule="auto" w:line="240" w:before="0" w:after="0"/>
              <w:jc w:val="both"/>
              <w:rPr>
                <w:rFonts w:ascii="Arial" w:hAnsi="Arial" w:eastAsia="Calibri" w:cs="Arial"/>
                <w:sz w:val="20"/>
              </w:rPr>
            </w:pPr>
            <w:r>
              <w:rPr>
                <w:rFonts w:eastAsia="Calibri" w:cs="Arial" w:ascii="Arial" w:hAnsi="Arial"/>
                <w:sz w:val="20"/>
              </w:rPr>
              <w:t xml:space="preserve">BONILLA, Heraclio (org). </w:t>
            </w:r>
            <w:r>
              <w:rPr>
                <w:rFonts w:eastAsia="Calibri" w:cs="Arial" w:ascii="Arial" w:hAnsi="Arial"/>
                <w:i/>
                <w:sz w:val="20"/>
              </w:rPr>
              <w:t>Os Conquistados</w:t>
            </w:r>
            <w:r>
              <w:rPr>
                <w:rFonts w:eastAsia="Calibri" w:cs="Arial" w:ascii="Arial" w:hAnsi="Arial"/>
                <w:sz w:val="20"/>
              </w:rPr>
              <w:t>: 1492 e a população indígena das Américas. São Paulo: Hucitec, 2006.</w:t>
            </w:r>
          </w:p>
          <w:p>
            <w:pPr>
              <w:pStyle w:val="Normal"/>
              <w:spacing w:lineRule="auto" w:line="240" w:before="0" w:after="0"/>
              <w:ind w:left="426" w:hanging="426"/>
              <w:jc w:val="both"/>
              <w:rPr>
                <w:rFonts w:ascii="Arial" w:hAnsi="Arial" w:cs="Arial"/>
                <w:color w:val="000000"/>
                <w:sz w:val="20"/>
              </w:rPr>
            </w:pPr>
            <w:r>
              <w:rPr>
                <w:rFonts w:cs="Arial" w:ascii="Arial" w:hAnsi="Arial"/>
                <w:color w:val="000000"/>
                <w:sz w:val="20"/>
              </w:rPr>
              <w:t xml:space="preserve">CANCLINI, Néstor García. </w:t>
            </w:r>
            <w:r>
              <w:rPr>
                <w:rFonts w:cs="Arial" w:ascii="Arial" w:hAnsi="Arial"/>
                <w:i/>
                <w:color w:val="000000"/>
                <w:sz w:val="20"/>
              </w:rPr>
              <w:t>Culturas híbridas</w:t>
            </w:r>
            <w:r>
              <w:rPr>
                <w:rFonts w:cs="Arial" w:ascii="Arial" w:hAnsi="Arial"/>
                <w:color w:val="000000"/>
                <w:sz w:val="20"/>
              </w:rPr>
              <w:t>. São Paulo: Edusp, 1997.</w:t>
            </w:r>
          </w:p>
          <w:p>
            <w:pPr>
              <w:pStyle w:val="Normal"/>
              <w:spacing w:lineRule="auto" w:line="240" w:before="0" w:after="0"/>
              <w:jc w:val="both"/>
              <w:rPr>
                <w:rFonts w:ascii="Arial" w:hAnsi="Arial" w:cs="Arial"/>
                <w:color w:val="000000"/>
                <w:sz w:val="20"/>
              </w:rPr>
            </w:pPr>
            <w:r>
              <w:rPr>
                <w:rFonts w:cs="Arial" w:ascii="Arial" w:hAnsi="Arial"/>
                <w:color w:val="000000"/>
                <w:sz w:val="20"/>
              </w:rPr>
              <w:t xml:space="preserve">ROMERO, José Luis. </w:t>
            </w:r>
            <w:r>
              <w:rPr>
                <w:rFonts w:cs="Arial" w:ascii="Arial" w:hAnsi="Arial"/>
                <w:i/>
                <w:color w:val="000000"/>
                <w:sz w:val="20"/>
              </w:rPr>
              <w:t>América Latina: as cidades e as ideias</w:t>
            </w:r>
            <w:r>
              <w:rPr>
                <w:rFonts w:cs="Arial" w:ascii="Arial" w:hAnsi="Arial"/>
                <w:color w:val="000000"/>
                <w:sz w:val="20"/>
              </w:rPr>
              <w:t>. Rio de Janeiro: Ed.UFRJ, 2004</w:t>
            </w:r>
          </w:p>
          <w:p>
            <w:pPr>
              <w:pStyle w:val="Normal"/>
              <w:spacing w:lineRule="auto" w:line="240" w:before="0" w:after="0"/>
              <w:jc w:val="both"/>
              <w:rPr>
                <w:rFonts w:ascii="Arial" w:hAnsi="Arial" w:cs="Arial"/>
                <w:color w:val="000000"/>
                <w:sz w:val="20"/>
              </w:rPr>
            </w:pPr>
            <w:r>
              <w:rPr>
                <w:rFonts w:cs="Arial" w:ascii="Arial" w:hAnsi="Arial"/>
                <w:color w:val="000000"/>
                <w:sz w:val="20"/>
              </w:rPr>
              <w:t xml:space="preserve">SARLO, Beatriz. </w:t>
            </w:r>
            <w:r>
              <w:rPr>
                <w:rFonts w:cs="Arial" w:ascii="Arial" w:hAnsi="Arial"/>
                <w:i/>
                <w:color w:val="000000"/>
                <w:sz w:val="20"/>
              </w:rPr>
              <w:t>Paisagens Imaginárias</w:t>
            </w:r>
            <w:r>
              <w:rPr>
                <w:rFonts w:cs="Arial" w:ascii="Arial" w:hAnsi="Arial"/>
                <w:color w:val="000000"/>
                <w:sz w:val="20"/>
              </w:rPr>
              <w:t>. São Paulo: EDUSP, 2005.</w:t>
            </w:r>
          </w:p>
          <w:p>
            <w:pPr>
              <w:pStyle w:val="Normal"/>
              <w:spacing w:lineRule="auto" w:line="240" w:before="0" w:after="0"/>
              <w:jc w:val="both"/>
              <w:rPr>
                <w:rFonts w:ascii="Arial" w:hAnsi="Arial" w:cs="Arial"/>
                <w:b/>
                <w:b/>
              </w:rPr>
            </w:pPr>
            <w:r>
              <w:rPr>
                <w:rFonts w:cs="Arial" w:ascii="Arial" w:hAnsi="Arial"/>
                <w:sz w:val="20"/>
              </w:rPr>
              <w:t xml:space="preserve">SCHWARTZ, Jorge. </w:t>
            </w:r>
            <w:r>
              <w:rPr>
                <w:rFonts w:cs="Arial" w:ascii="Arial" w:hAnsi="Arial"/>
                <w:i/>
                <w:sz w:val="20"/>
              </w:rPr>
              <w:t>Vanguardas latino-americanas: Polêmicas, manifestos e textos críticos</w:t>
            </w:r>
            <w:r>
              <w:rPr>
                <w:rFonts w:cs="Arial" w:ascii="Arial" w:hAnsi="Arial"/>
                <w:sz w:val="20"/>
              </w:rPr>
              <w:t>. São Paulo: Edusp/Iluminuras, 1995.</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rPr>
            </w:pPr>
            <w:r>
              <w:rPr>
                <w:rFonts w:cs="Arial" w:ascii="Arial" w:hAnsi="Arial"/>
                <w:b/>
              </w:rPr>
              <w:t xml:space="preserve">Unidade Curricular: </w:t>
            </w:r>
            <w:r>
              <w:rPr>
                <w:rFonts w:cs="Arial" w:ascii="Arial" w:hAnsi="Arial"/>
                <w:b/>
                <w:u w:val="single"/>
              </w:rPr>
              <w:t>Tópicos Especiais em História do Brasil</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A)</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color w:val="000000"/>
              </w:rPr>
              <w:t xml:space="preserve"> Estudo dos diferentes aspectos da sociedade brasileira em diferentes momentos históricos. Análise historiográficas e trabalho com fontes.</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lang w:eastAsia="ar-SA"/>
              </w:rPr>
            </w:pPr>
            <w:r>
              <w:rPr>
                <w:rFonts w:cs="Arial" w:ascii="Arial" w:hAnsi="Arial"/>
                <w:color w:val="00000A"/>
                <w:sz w:val="20"/>
                <w:szCs w:val="22"/>
                <w:lang w:eastAsia="ar-SA"/>
              </w:rPr>
              <w:t xml:space="preserve">GRINBERG, Keila; SALLES, Ricardo (Orgs.). </w:t>
            </w:r>
            <w:r>
              <w:rPr>
                <w:rFonts w:cs="Arial" w:ascii="Arial" w:hAnsi="Arial"/>
                <w:i/>
                <w:color w:val="00000A"/>
                <w:sz w:val="20"/>
                <w:szCs w:val="22"/>
                <w:lang w:eastAsia="ar-SA"/>
              </w:rPr>
              <w:t>O Brasil Imperial.</w:t>
            </w:r>
            <w:r>
              <w:rPr>
                <w:rFonts w:cs="Arial" w:ascii="Arial" w:hAnsi="Arial"/>
                <w:color w:val="00000A"/>
                <w:sz w:val="20"/>
                <w:szCs w:val="22"/>
                <w:lang w:eastAsia="ar-SA"/>
              </w:rPr>
              <w:t xml:space="preserve"> 3 vols. Rio de Janeiro, Ed. Civilização Brasileira, 2009.</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FERREIRA, Jorge; DELGADO, Lucília de Almeida Neves (Orgs.). </w:t>
            </w:r>
            <w:r>
              <w:rPr>
                <w:rFonts w:cs="Arial" w:ascii="Arial" w:hAnsi="Arial"/>
                <w:i/>
                <w:color w:val="00000A"/>
                <w:sz w:val="20"/>
                <w:szCs w:val="22"/>
              </w:rPr>
              <w:t xml:space="preserve">O Brasil republicano </w:t>
            </w:r>
            <w:r>
              <w:rPr>
                <w:rFonts w:cs="Arial" w:ascii="Arial" w:hAnsi="Arial"/>
                <w:color w:val="00000A"/>
                <w:sz w:val="20"/>
                <w:szCs w:val="22"/>
              </w:rPr>
              <w:t>(2 vols). Rio de Janeiro: Civilização Brasileira, 2003. (Vol. 1: O tempo do liberalismo excludente. Vol. 2: O tempo do nacional-estatismo).</w:t>
            </w:r>
          </w:p>
          <w:p>
            <w:pPr>
              <w:pStyle w:val="Normal"/>
              <w:spacing w:before="0" w:after="0"/>
              <w:jc w:val="both"/>
              <w:rPr>
                <w:rFonts w:ascii="Arial" w:hAnsi="Arial" w:cs="Arial"/>
                <w:b/>
                <w:b/>
              </w:rPr>
            </w:pPr>
            <w:r>
              <w:rPr>
                <w:rFonts w:eastAsia="Calibri" w:cs="Arial" w:ascii="Arial" w:hAnsi="Arial"/>
                <w:sz w:val="20"/>
              </w:rPr>
              <w:t xml:space="preserve">REIS, Daniel Aarão (org). </w:t>
            </w:r>
            <w:r>
              <w:rPr>
                <w:rFonts w:eastAsia="Calibri" w:cs="Arial" w:ascii="Arial" w:hAnsi="Arial"/>
                <w:i/>
                <w:iCs/>
                <w:sz w:val="20"/>
              </w:rPr>
              <w:t>O século XX.</w:t>
            </w:r>
            <w:r>
              <w:rPr>
                <w:rFonts w:eastAsia="Calibri" w:cs="Arial" w:ascii="Arial" w:hAnsi="Arial"/>
                <w:iCs/>
                <w:sz w:val="20"/>
              </w:rPr>
              <w:t xml:space="preserve"> (2 vols.)</w:t>
            </w:r>
            <w:r>
              <w:rPr>
                <w:rFonts w:eastAsia="Calibri" w:cs="Arial" w:ascii="Arial" w:hAnsi="Arial"/>
                <w:i/>
                <w:iCs/>
                <w:sz w:val="20"/>
              </w:rPr>
              <w:t xml:space="preserve"> </w:t>
            </w:r>
            <w:r>
              <w:rPr>
                <w:rFonts w:eastAsia="Calibri" w:cs="Arial" w:ascii="Arial" w:hAnsi="Arial"/>
                <w:sz w:val="20"/>
              </w:rPr>
              <w:t>Rio de Janeiro: Civilização Brasileira, 2000. (Vol. 2: O tempo das crises; vol. 3: Tempo das dúvidas).</w:t>
            </w:r>
          </w:p>
        </w:tc>
      </w:tr>
      <w:tr>
        <w:trPr/>
        <w:tc>
          <w:tcPr>
            <w:tcW w:w="8494" w:type="dxa"/>
            <w:tcBorders>
              <w:top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Bibliografia Complementar:</w:t>
            </w:r>
          </w:p>
          <w:p>
            <w:pPr>
              <w:pStyle w:val="Normal"/>
              <w:spacing w:lineRule="auto" w:line="240" w:before="0" w:after="0"/>
              <w:jc w:val="both"/>
              <w:rPr>
                <w:rFonts w:ascii="Arial" w:hAnsi="Arial" w:cs="Arial"/>
                <w:color w:val="000000"/>
                <w:sz w:val="20"/>
              </w:rPr>
            </w:pPr>
            <w:r>
              <w:rPr>
                <w:rFonts w:cs="Arial" w:ascii="Arial" w:hAnsi="Arial"/>
                <w:sz w:val="20"/>
              </w:rPr>
              <w:t xml:space="preserve">ALMEIDA, Maria Regina Celestino de. </w:t>
            </w:r>
            <w:r>
              <w:rPr>
                <w:rFonts w:cs="Arial" w:ascii="Arial" w:hAnsi="Arial"/>
                <w:i/>
                <w:iCs/>
                <w:sz w:val="20"/>
              </w:rPr>
              <w:t xml:space="preserve">Metamorfoses indígenas: </w:t>
            </w:r>
            <w:r>
              <w:rPr>
                <w:rFonts w:cs="Arial" w:ascii="Arial" w:hAnsi="Arial"/>
                <w:iCs/>
                <w:sz w:val="20"/>
              </w:rPr>
              <w:t>identidade e cultura nas aldeias coloniais do Rio de Janeiro</w:t>
            </w:r>
            <w:r>
              <w:rPr>
                <w:rFonts w:cs="Arial" w:ascii="Arial" w:hAnsi="Arial"/>
                <w:i/>
                <w:iCs/>
                <w:sz w:val="20"/>
              </w:rPr>
              <w:t>.</w:t>
            </w:r>
            <w:r>
              <w:rPr>
                <w:rFonts w:cs="Arial" w:ascii="Arial" w:hAnsi="Arial"/>
                <w:sz w:val="20"/>
              </w:rPr>
              <w:t xml:space="preserve"> Rio de Janeiro: Arquivo Nacional, 2003.</w:t>
            </w:r>
            <w:r>
              <w:rPr>
                <w:rFonts w:cs="Arial" w:ascii="Arial" w:hAnsi="Arial"/>
                <w:color w:val="000000"/>
                <w:sz w:val="20"/>
              </w:rPr>
              <w:t xml:space="preserve"> CHALHOUB, Sidney. </w:t>
            </w:r>
            <w:r>
              <w:rPr>
                <w:rFonts w:cs="Arial" w:ascii="Arial" w:hAnsi="Arial"/>
                <w:i/>
                <w:color w:val="000000"/>
                <w:sz w:val="20"/>
              </w:rPr>
              <w:t>Visões da liberdade:</w:t>
            </w:r>
            <w:r>
              <w:rPr>
                <w:rFonts w:cs="Arial" w:ascii="Arial" w:hAnsi="Arial"/>
                <w:color w:val="000000"/>
                <w:sz w:val="20"/>
              </w:rPr>
              <w:t xml:space="preserve"> uma história das últimas décadas da escravidão na Corte. São Paulo: Cia. das Letras, 1990.</w:t>
            </w:r>
          </w:p>
          <w:p>
            <w:pPr>
              <w:pStyle w:val="Normal"/>
              <w:spacing w:lineRule="auto" w:line="240" w:before="0" w:after="0"/>
              <w:jc w:val="both"/>
              <w:rPr>
                <w:rFonts w:ascii="Arial" w:hAnsi="Arial" w:cs="Arial"/>
                <w:color w:val="000000"/>
                <w:sz w:val="20"/>
              </w:rPr>
            </w:pPr>
            <w:r>
              <w:rPr>
                <w:rFonts w:cs="Arial" w:ascii="Arial" w:hAnsi="Arial"/>
                <w:color w:val="000000"/>
                <w:sz w:val="20"/>
              </w:rPr>
              <w:t xml:space="preserve">PINHEIRO, Luís da Cunha; RODRIGUES, Maria Manuel Marques. </w:t>
            </w:r>
            <w:r>
              <w:rPr>
                <w:rFonts w:cs="Arial" w:ascii="Arial" w:hAnsi="Arial"/>
                <w:i/>
                <w:color w:val="000000"/>
                <w:sz w:val="20"/>
              </w:rPr>
              <w:t xml:space="preserve">A belle époque brasileira. </w:t>
            </w:r>
            <w:r>
              <w:rPr>
                <w:rFonts w:cs="Arial" w:ascii="Arial" w:hAnsi="Arial"/>
                <w:color w:val="000000"/>
                <w:sz w:val="20"/>
              </w:rPr>
              <w:t xml:space="preserve">Lisboa CLEPUL, 2012. </w:t>
            </w:r>
          </w:p>
          <w:p>
            <w:pPr>
              <w:pStyle w:val="Normal"/>
              <w:spacing w:lineRule="auto" w:line="240" w:before="0" w:after="0"/>
              <w:jc w:val="both"/>
              <w:rPr>
                <w:rFonts w:ascii="Arial" w:hAnsi="Arial" w:cs="Arial"/>
                <w:color w:val="000000"/>
                <w:sz w:val="20"/>
              </w:rPr>
            </w:pPr>
            <w:r>
              <w:rPr>
                <w:rFonts w:cs="Arial" w:ascii="Arial" w:hAnsi="Arial"/>
                <w:color w:val="000000"/>
                <w:sz w:val="20"/>
              </w:rPr>
              <w:t xml:space="preserve">SCHWARCZ, Lilia Moritz. </w:t>
            </w:r>
            <w:r>
              <w:rPr>
                <w:rFonts w:cs="Arial" w:ascii="Arial" w:hAnsi="Arial"/>
                <w:i/>
                <w:color w:val="000000"/>
                <w:sz w:val="20"/>
              </w:rPr>
              <w:t>O Espetáculo das Raças:</w:t>
            </w:r>
            <w:r>
              <w:rPr>
                <w:rFonts w:cs="Arial" w:ascii="Arial" w:hAnsi="Arial"/>
                <w:color w:val="000000"/>
                <w:sz w:val="20"/>
              </w:rPr>
              <w:t xml:space="preserve"> Cientistas, Instituições e Questão Racial no Brasil (1870-1930). SP: Cia das Letras, 1993.</w:t>
            </w:r>
          </w:p>
          <w:p>
            <w:pPr>
              <w:pStyle w:val="Normal"/>
              <w:spacing w:lineRule="auto" w:line="240" w:before="0" w:after="0"/>
              <w:jc w:val="both"/>
              <w:rPr>
                <w:rFonts w:ascii="Arial" w:hAnsi="Arial" w:cs="Arial"/>
                <w:b/>
                <w:b/>
              </w:rPr>
            </w:pPr>
            <w:r>
              <w:rPr>
                <w:rFonts w:cs="Arial" w:ascii="Arial" w:hAnsi="Arial"/>
                <w:color w:val="000000"/>
                <w:sz w:val="20"/>
              </w:rPr>
              <w:t xml:space="preserve">VELLOSO, Monica Pimenta. </w:t>
            </w:r>
            <w:r>
              <w:rPr>
                <w:rFonts w:cs="Arial" w:ascii="Arial" w:hAnsi="Arial"/>
                <w:i/>
                <w:color w:val="000000"/>
                <w:sz w:val="20"/>
              </w:rPr>
              <w:t>História &amp; Modernismo.</w:t>
            </w:r>
            <w:r>
              <w:rPr>
                <w:rFonts w:cs="Arial" w:ascii="Arial" w:hAnsi="Arial"/>
                <w:color w:val="000000"/>
                <w:sz w:val="20"/>
              </w:rPr>
              <w:t xml:space="preserve"> Belo Horizonte: Autêntica. Editora, 2010.</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rPr>
            </w:pPr>
            <w:r>
              <w:rPr>
                <w:rFonts w:cs="Arial" w:ascii="Arial" w:hAnsi="Arial"/>
                <w:b/>
              </w:rPr>
              <w:t xml:space="preserve">Unidade Curricular: </w:t>
            </w:r>
            <w:r>
              <w:rPr>
                <w:rFonts w:cs="Arial" w:ascii="Arial" w:hAnsi="Arial"/>
                <w:b/>
                <w:u w:val="single"/>
              </w:rPr>
              <w:t>Tópicos Especiais em História Medieval</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A)</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color w:val="000000"/>
              </w:rPr>
              <w:t xml:space="preserve"> Aspectos específicos sobre política, religiosidade e cultura medieval. Debate historiográfico e trabalho com fontes.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Bibliografia Básica:</w:t>
            </w:r>
          </w:p>
          <w:p>
            <w:pPr>
              <w:pStyle w:val="Normal"/>
              <w:spacing w:lineRule="auto" w:line="240" w:before="0" w:after="0"/>
              <w:jc w:val="both"/>
              <w:rPr>
                <w:rFonts w:ascii="Arial" w:hAnsi="Arial" w:cs="Arial"/>
                <w:color w:val="000000"/>
                <w:sz w:val="20"/>
              </w:rPr>
            </w:pPr>
            <w:r>
              <w:rPr>
                <w:rFonts w:cs="Arial" w:ascii="Arial" w:hAnsi="Arial"/>
                <w:color w:val="000000"/>
                <w:sz w:val="20"/>
              </w:rPr>
              <w:t xml:space="preserve">ARIÈS, Philippe; DUBY, Georges. </w:t>
            </w:r>
            <w:r>
              <w:rPr>
                <w:rFonts w:cs="Arial" w:ascii="Arial" w:hAnsi="Arial"/>
                <w:i/>
                <w:color w:val="000000"/>
                <w:sz w:val="20"/>
              </w:rPr>
              <w:t>História da vida privada.</w:t>
            </w:r>
            <w:r>
              <w:rPr>
                <w:rFonts w:cs="Arial" w:ascii="Arial" w:hAnsi="Arial"/>
                <w:color w:val="000000"/>
                <w:sz w:val="20"/>
              </w:rPr>
              <w:t xml:space="preserve"> São Paulo: Companhia das Letras, 1989-1997. V.1 e 2.</w:t>
            </w:r>
          </w:p>
          <w:p>
            <w:pPr>
              <w:pStyle w:val="Normal"/>
              <w:spacing w:lineRule="auto" w:line="240" w:before="0" w:after="0"/>
              <w:jc w:val="both"/>
              <w:rPr>
                <w:rFonts w:ascii="Arial" w:hAnsi="Arial" w:cs="Arial"/>
                <w:color w:val="000000"/>
                <w:sz w:val="20"/>
              </w:rPr>
            </w:pPr>
            <w:r>
              <w:rPr>
                <w:rFonts w:cs="Arial" w:ascii="Arial" w:hAnsi="Arial"/>
                <w:color w:val="000000"/>
                <w:sz w:val="20"/>
              </w:rPr>
              <w:t xml:space="preserve">FRANCO JR., Hilário. </w:t>
            </w:r>
            <w:r>
              <w:rPr>
                <w:rFonts w:cs="Arial" w:ascii="Arial" w:hAnsi="Arial"/>
                <w:i/>
                <w:color w:val="000000"/>
                <w:sz w:val="20"/>
              </w:rPr>
              <w:t>A Idade Média:</w:t>
            </w:r>
            <w:r>
              <w:rPr>
                <w:rFonts w:cs="Arial" w:ascii="Arial" w:hAnsi="Arial"/>
                <w:color w:val="000000"/>
                <w:sz w:val="20"/>
              </w:rPr>
              <w:t xml:space="preserve"> nascimento do ocidente. 2ª ed. São Paulo: Brasiliense, 1988.</w:t>
            </w:r>
          </w:p>
          <w:p>
            <w:pPr>
              <w:pStyle w:val="Normal"/>
              <w:spacing w:lineRule="auto" w:line="240" w:before="0" w:after="0"/>
              <w:jc w:val="both"/>
              <w:rPr>
                <w:rFonts w:ascii="Arial" w:hAnsi="Arial" w:cs="Arial"/>
                <w:b/>
                <w:b/>
              </w:rPr>
            </w:pPr>
            <w:r>
              <w:rPr>
                <w:rFonts w:cs="Arial" w:ascii="Arial" w:hAnsi="Arial"/>
                <w:color w:val="000000"/>
                <w:sz w:val="20"/>
                <w:lang w:val="es-ES"/>
              </w:rPr>
              <w:t xml:space="preserve">LE GOFF, Jacques e SCHMIDT, Jean-Claude. </w:t>
            </w:r>
            <w:r>
              <w:rPr>
                <w:rFonts w:cs="Arial" w:ascii="Arial" w:hAnsi="Arial"/>
                <w:i/>
                <w:color w:val="000000"/>
                <w:sz w:val="20"/>
              </w:rPr>
              <w:t>Dicionário temático do ocidente medieval.</w:t>
            </w:r>
            <w:r>
              <w:rPr>
                <w:rFonts w:cs="Arial" w:ascii="Arial" w:hAnsi="Arial"/>
                <w:color w:val="000000"/>
                <w:sz w:val="20"/>
              </w:rPr>
              <w:t xml:space="preserve"> Bauru: EDUSC, 2002.</w:t>
            </w:r>
          </w:p>
        </w:tc>
      </w:tr>
      <w:tr>
        <w:trPr/>
        <w:tc>
          <w:tcPr>
            <w:tcW w:w="8494" w:type="dxa"/>
            <w:tcBorders>
              <w:top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Bibliografia Complementar:</w:t>
            </w:r>
          </w:p>
          <w:p>
            <w:pPr>
              <w:pStyle w:val="Normal"/>
              <w:spacing w:lineRule="auto" w:line="240" w:before="0" w:after="0"/>
              <w:jc w:val="both"/>
              <w:rPr>
                <w:rFonts w:ascii="Arial" w:hAnsi="Arial" w:cs="Arial"/>
                <w:color w:val="000000"/>
                <w:sz w:val="20"/>
              </w:rPr>
            </w:pPr>
            <w:r>
              <w:rPr>
                <w:rFonts w:cs="Arial" w:ascii="Arial" w:hAnsi="Arial"/>
                <w:color w:val="000000"/>
                <w:sz w:val="20"/>
              </w:rPr>
              <w:t xml:space="preserve">D’HAUCOURT, Geneviève. </w:t>
            </w:r>
            <w:r>
              <w:rPr>
                <w:rFonts w:cs="Arial" w:ascii="Arial" w:hAnsi="Arial"/>
                <w:i/>
                <w:color w:val="000000"/>
                <w:sz w:val="20"/>
              </w:rPr>
              <w:t>A vida na Idade Média.</w:t>
            </w:r>
            <w:r>
              <w:rPr>
                <w:rFonts w:cs="Arial" w:ascii="Arial" w:hAnsi="Arial"/>
                <w:color w:val="000000"/>
                <w:sz w:val="20"/>
              </w:rPr>
              <w:t xml:space="preserve"> São Paulo: Martins Fontes, 1994.</w:t>
            </w:r>
          </w:p>
          <w:p>
            <w:pPr>
              <w:pStyle w:val="Normal"/>
              <w:spacing w:lineRule="auto" w:line="240" w:before="0" w:after="0"/>
              <w:jc w:val="both"/>
              <w:rPr>
                <w:rFonts w:ascii="Arial" w:hAnsi="Arial" w:cs="Arial"/>
                <w:color w:val="000000"/>
                <w:sz w:val="20"/>
              </w:rPr>
            </w:pPr>
            <w:r>
              <w:rPr>
                <w:rFonts w:cs="Arial" w:ascii="Arial" w:hAnsi="Arial"/>
                <w:color w:val="000000"/>
                <w:sz w:val="20"/>
              </w:rPr>
              <w:t xml:space="preserve">DUBY, Georges. </w:t>
            </w:r>
            <w:r>
              <w:rPr>
                <w:rFonts w:cs="Arial" w:ascii="Arial" w:hAnsi="Arial"/>
                <w:i/>
                <w:color w:val="000000"/>
                <w:sz w:val="20"/>
              </w:rPr>
              <w:t>Ano 1000, ano 2000 na pista de nossos medos</w:t>
            </w:r>
            <w:r>
              <w:rPr>
                <w:rFonts w:cs="Arial" w:ascii="Arial" w:hAnsi="Arial"/>
                <w:color w:val="000000"/>
                <w:sz w:val="20"/>
              </w:rPr>
              <w:t>. São Paulo: UNESP,1998.</w:t>
            </w:r>
          </w:p>
          <w:p>
            <w:pPr>
              <w:pStyle w:val="Normal"/>
              <w:spacing w:lineRule="auto" w:line="240" w:before="0" w:after="0"/>
              <w:jc w:val="both"/>
              <w:rPr>
                <w:rFonts w:ascii="Arial" w:hAnsi="Arial" w:cs="Arial"/>
                <w:color w:val="000000"/>
                <w:sz w:val="20"/>
              </w:rPr>
            </w:pPr>
            <w:r>
              <w:rPr>
                <w:rFonts w:cs="Arial" w:ascii="Arial" w:hAnsi="Arial"/>
                <w:color w:val="000000"/>
                <w:sz w:val="20"/>
              </w:rPr>
              <w:t xml:space="preserve">LAUAND, Jean. </w:t>
            </w:r>
            <w:r>
              <w:rPr>
                <w:rFonts w:cs="Arial" w:ascii="Arial" w:hAnsi="Arial"/>
                <w:i/>
                <w:color w:val="000000"/>
                <w:sz w:val="20"/>
              </w:rPr>
              <w:t>Cultura e educação na Idade Média:</w:t>
            </w:r>
            <w:r>
              <w:rPr>
                <w:rFonts w:cs="Arial" w:ascii="Arial" w:hAnsi="Arial"/>
                <w:color w:val="000000"/>
                <w:sz w:val="20"/>
              </w:rPr>
              <w:t xml:space="preserve"> textos do século V ao XIII. São Paulo: Martins Fontes, 1998.</w:t>
            </w:r>
          </w:p>
          <w:p>
            <w:pPr>
              <w:pStyle w:val="Normal"/>
              <w:spacing w:lineRule="auto" w:line="240" w:before="0" w:after="0"/>
              <w:jc w:val="both"/>
              <w:rPr>
                <w:rFonts w:ascii="Arial" w:hAnsi="Arial" w:cs="Arial"/>
                <w:color w:val="000000"/>
                <w:sz w:val="20"/>
              </w:rPr>
            </w:pPr>
            <w:r>
              <w:rPr>
                <w:rFonts w:cs="Arial" w:ascii="Arial" w:hAnsi="Arial"/>
                <w:color w:val="000000"/>
                <w:sz w:val="20"/>
              </w:rPr>
              <w:t xml:space="preserve">LE GOFF, Jacques. </w:t>
            </w:r>
            <w:r>
              <w:rPr>
                <w:rFonts w:cs="Arial" w:ascii="Arial" w:hAnsi="Arial"/>
                <w:i/>
                <w:color w:val="000000"/>
                <w:sz w:val="20"/>
              </w:rPr>
              <w:t>O imaginário medieval.</w:t>
            </w:r>
            <w:r>
              <w:rPr>
                <w:rFonts w:cs="Arial" w:ascii="Arial" w:hAnsi="Arial"/>
                <w:color w:val="000000"/>
                <w:sz w:val="20"/>
              </w:rPr>
              <w:t xml:space="preserve"> Lisboa: Estampa, 1994.</w:t>
            </w:r>
          </w:p>
          <w:p>
            <w:pPr>
              <w:pStyle w:val="Normal"/>
              <w:spacing w:lineRule="auto" w:line="240" w:before="0" w:after="0"/>
              <w:jc w:val="both"/>
              <w:rPr>
                <w:rFonts w:ascii="Arial" w:hAnsi="Arial" w:cs="Arial"/>
                <w:b/>
                <w:b/>
              </w:rPr>
            </w:pPr>
            <w:r>
              <w:rPr>
                <w:rFonts w:cs="Arial" w:ascii="Arial" w:hAnsi="Arial"/>
                <w:color w:val="000000"/>
                <w:sz w:val="20"/>
              </w:rPr>
              <w:t xml:space="preserve">VERGER, Jacques. </w:t>
            </w:r>
            <w:r>
              <w:rPr>
                <w:rFonts w:cs="Arial" w:ascii="Arial" w:hAnsi="Arial"/>
                <w:i/>
                <w:color w:val="000000"/>
                <w:sz w:val="20"/>
              </w:rPr>
              <w:t>Homens e saber na Idade Média.</w:t>
            </w:r>
            <w:r>
              <w:rPr>
                <w:rFonts w:cs="Arial" w:ascii="Arial" w:hAnsi="Arial"/>
                <w:color w:val="000000"/>
                <w:sz w:val="20"/>
              </w:rPr>
              <w:t xml:space="preserve"> Bauru: EDUSC, 1999.</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rPr>
            </w:pPr>
            <w:r>
              <w:rPr>
                <w:rFonts w:cs="Arial" w:ascii="Arial" w:hAnsi="Arial"/>
                <w:b/>
              </w:rPr>
              <w:t xml:space="preserve">Unidade Curricular: </w:t>
            </w:r>
            <w:r>
              <w:rPr>
                <w:rFonts w:cs="Arial" w:ascii="Arial" w:hAnsi="Arial"/>
                <w:b/>
                <w:u w:val="single"/>
              </w:rPr>
              <w:t xml:space="preserve">Tópicos Especiais em História Moderna </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A)</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r>
              <w:rPr>
                <w:rFonts w:eastAsia="Times New Roman" w:cs="Arial" w:ascii="Arial" w:hAnsi="Arial"/>
                <w:color w:val="000000"/>
                <w:lang w:eastAsia="pt-BR"/>
              </w:rPr>
              <w:t xml:space="preserve"> </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eastAsia="Times New Roman" w:cs="Arial" w:ascii="Arial" w:hAnsi="Arial"/>
                <w:color w:val="000000"/>
                <w:lang w:eastAsia="pt-BR"/>
              </w:rPr>
              <w:t xml:space="preserve"> Estudo de diferentes aspectos da história da Europa Ocidental Moderna.</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Bibliografia Básica:</w:t>
            </w:r>
          </w:p>
          <w:p>
            <w:pPr>
              <w:pStyle w:val="Normal"/>
              <w:spacing w:lineRule="auto" w:line="240" w:before="0" w:after="0"/>
              <w:jc w:val="both"/>
              <w:rPr>
                <w:rFonts w:ascii="Arial" w:hAnsi="Arial" w:eastAsia="Times New Roman" w:cs="Arial"/>
                <w:color w:val="000000"/>
                <w:sz w:val="20"/>
                <w:lang w:eastAsia="pt-BR"/>
              </w:rPr>
            </w:pPr>
            <w:r>
              <w:rPr>
                <w:rFonts w:eastAsia="Times New Roman" w:cs="Arial" w:ascii="Arial" w:hAnsi="Arial"/>
                <w:color w:val="000000"/>
                <w:sz w:val="20"/>
                <w:lang w:eastAsia="pt-BR"/>
              </w:rPr>
              <w:t xml:space="preserve">BENNASSAR, Bartolomé (et al). </w:t>
            </w:r>
            <w:r>
              <w:rPr>
                <w:rFonts w:eastAsia="Times New Roman" w:cs="Arial" w:ascii="Arial" w:hAnsi="Arial"/>
                <w:i/>
                <w:color w:val="000000"/>
                <w:sz w:val="20"/>
                <w:lang w:eastAsia="pt-BR"/>
              </w:rPr>
              <w:t>Historia Moderna.</w:t>
            </w:r>
            <w:r>
              <w:rPr>
                <w:rFonts w:eastAsia="Times New Roman" w:cs="Arial" w:ascii="Arial" w:hAnsi="Arial"/>
                <w:color w:val="000000"/>
                <w:sz w:val="20"/>
                <w:lang w:eastAsia="pt-BR"/>
              </w:rPr>
              <w:t xml:space="preserve"> Toledo: AKAL, 1994.</w:t>
            </w:r>
          </w:p>
          <w:p>
            <w:pPr>
              <w:pStyle w:val="Normal"/>
              <w:spacing w:lineRule="auto" w:line="240" w:before="0" w:after="0"/>
              <w:jc w:val="both"/>
              <w:rPr>
                <w:rFonts w:ascii="Arial" w:hAnsi="Arial" w:eastAsia="Times New Roman" w:cs="Arial"/>
                <w:color w:val="000000"/>
                <w:sz w:val="20"/>
                <w:lang w:eastAsia="pt-BR"/>
              </w:rPr>
            </w:pPr>
            <w:r>
              <w:rPr>
                <w:rFonts w:eastAsia="Times New Roman" w:cs="Arial" w:ascii="Arial" w:hAnsi="Arial"/>
                <w:color w:val="000000"/>
                <w:sz w:val="20"/>
                <w:lang w:eastAsia="pt-BR"/>
              </w:rPr>
              <w:t xml:space="preserve">BRAUDEL, Fernand. </w:t>
            </w:r>
            <w:r>
              <w:rPr>
                <w:rFonts w:eastAsia="Times New Roman" w:cs="Arial" w:ascii="Arial" w:hAnsi="Arial"/>
                <w:i/>
                <w:color w:val="000000"/>
                <w:sz w:val="20"/>
                <w:lang w:eastAsia="pt-BR"/>
              </w:rPr>
              <w:t>Civilização material, economia e capitalismo</w:t>
            </w:r>
            <w:r>
              <w:rPr>
                <w:rFonts w:eastAsia="Times New Roman" w:cs="Arial" w:ascii="Arial" w:hAnsi="Arial"/>
                <w:color w:val="000000"/>
                <w:sz w:val="20"/>
                <w:lang w:eastAsia="pt-BR"/>
              </w:rPr>
              <w:t>: séculos XV – XVIII. 3 vols. São Paulo: Martins Fontes, 1995b (v. 1), 1996a (v. 2), 1996b (v. 3).</w:t>
            </w:r>
          </w:p>
          <w:p>
            <w:pPr>
              <w:pStyle w:val="Normal"/>
              <w:spacing w:lineRule="auto" w:line="240" w:before="0" w:after="0"/>
              <w:jc w:val="both"/>
              <w:rPr>
                <w:rFonts w:ascii="Arial" w:hAnsi="Arial" w:cs="Arial"/>
                <w:b/>
                <w:b/>
                <w:lang w:val="es-ES"/>
              </w:rPr>
            </w:pPr>
            <w:r>
              <w:rPr>
                <w:rFonts w:eastAsia="Times New Roman" w:cs="Arial" w:ascii="Arial" w:hAnsi="Arial"/>
                <w:color w:val="000000"/>
                <w:sz w:val="20"/>
                <w:lang w:val="es-ES" w:eastAsia="pt-BR"/>
              </w:rPr>
              <w:t xml:space="preserve">FLORISTÁN, Alfredo (Coord.) </w:t>
            </w:r>
            <w:r>
              <w:rPr>
                <w:rFonts w:eastAsia="Times New Roman" w:cs="Arial" w:ascii="Arial" w:hAnsi="Arial"/>
                <w:i/>
                <w:color w:val="000000"/>
                <w:sz w:val="20"/>
                <w:lang w:val="es-ES" w:eastAsia="pt-BR"/>
              </w:rPr>
              <w:t>Historia Moderna Universal</w:t>
            </w:r>
            <w:r>
              <w:rPr>
                <w:rFonts w:eastAsia="Times New Roman" w:cs="Arial" w:ascii="Arial" w:hAnsi="Arial"/>
                <w:color w:val="000000"/>
                <w:sz w:val="20"/>
                <w:lang w:val="es-ES" w:eastAsia="pt-BR"/>
              </w:rPr>
              <w:t>. Barcelona: Ariel, 2015.</w:t>
            </w:r>
          </w:p>
        </w:tc>
      </w:tr>
      <w:tr>
        <w:trPr/>
        <w:tc>
          <w:tcPr>
            <w:tcW w:w="8494" w:type="dxa"/>
            <w:tcBorders>
              <w:top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Bibliografia Complementar:</w:t>
            </w:r>
          </w:p>
          <w:p>
            <w:pPr>
              <w:pStyle w:val="Normal"/>
              <w:spacing w:lineRule="auto" w:line="240" w:before="0" w:after="200"/>
              <w:contextualSpacing/>
              <w:jc w:val="both"/>
              <w:rPr>
                <w:rFonts w:ascii="Arial" w:hAnsi="Arial" w:eastAsia="Times New Roman" w:cs="Arial"/>
                <w:color w:val="000000"/>
                <w:sz w:val="20"/>
                <w:lang w:val="es-ES" w:eastAsia="pt-BR"/>
              </w:rPr>
            </w:pPr>
            <w:r>
              <w:rPr>
                <w:rFonts w:eastAsia="Times New Roman" w:cs="Arial" w:ascii="Arial" w:hAnsi="Arial"/>
                <w:color w:val="000000"/>
                <w:sz w:val="20"/>
                <w:lang w:eastAsia="pt-BR"/>
              </w:rPr>
              <w:t xml:space="preserve">ARIÈS, Philippe; CHARTIER, Roger (org). </w:t>
            </w:r>
            <w:r>
              <w:rPr>
                <w:rFonts w:eastAsia="Times New Roman" w:cs="Arial" w:ascii="Arial" w:hAnsi="Arial"/>
                <w:i/>
                <w:color w:val="000000"/>
                <w:sz w:val="20"/>
                <w:lang w:eastAsia="pt-BR"/>
              </w:rPr>
              <w:t>História da Vida Privada</w:t>
            </w:r>
            <w:r>
              <w:rPr>
                <w:rFonts w:eastAsia="Times New Roman" w:cs="Arial" w:ascii="Arial" w:hAnsi="Arial"/>
                <w:color w:val="000000"/>
                <w:sz w:val="20"/>
                <w:lang w:eastAsia="pt-BR"/>
              </w:rPr>
              <w:t xml:space="preserve">: da Renascença ao Século das Luzes. </w:t>
            </w:r>
            <w:r>
              <w:rPr>
                <w:rFonts w:eastAsia="Times New Roman" w:cs="Arial" w:ascii="Arial" w:hAnsi="Arial"/>
                <w:color w:val="000000"/>
                <w:sz w:val="20"/>
                <w:lang w:val="es-ES" w:eastAsia="pt-BR"/>
              </w:rPr>
              <w:t>(vol. 3). São Paulo: Companhia das Letras, 2009.</w:t>
            </w:r>
          </w:p>
          <w:p>
            <w:pPr>
              <w:pStyle w:val="Normal"/>
              <w:spacing w:lineRule="auto" w:line="240" w:before="0" w:after="200"/>
              <w:contextualSpacing/>
              <w:jc w:val="both"/>
              <w:rPr>
                <w:rFonts w:ascii="Arial" w:hAnsi="Arial" w:eastAsia="Times New Roman" w:cs="Arial"/>
                <w:color w:val="000000"/>
                <w:sz w:val="20"/>
                <w:lang w:val="es-ES" w:eastAsia="pt-BR"/>
              </w:rPr>
            </w:pPr>
            <w:r>
              <w:rPr>
                <w:rFonts w:eastAsia="Times New Roman" w:cs="Arial" w:ascii="Arial" w:hAnsi="Arial"/>
                <w:color w:val="000000"/>
                <w:sz w:val="20"/>
                <w:lang w:eastAsia="pt-BR"/>
              </w:rPr>
              <w:t xml:space="preserve">DÜLMEN, Richard Van. </w:t>
            </w:r>
            <w:r>
              <w:rPr>
                <w:rFonts w:eastAsia="Times New Roman" w:cs="Arial" w:ascii="Arial" w:hAnsi="Arial"/>
                <w:i/>
                <w:color w:val="000000"/>
                <w:sz w:val="20"/>
                <w:lang w:eastAsia="pt-BR"/>
              </w:rPr>
              <w:t>El descubrimiento del individuo:</w:t>
            </w:r>
            <w:r>
              <w:rPr>
                <w:rFonts w:eastAsia="Times New Roman" w:cs="Arial" w:ascii="Arial" w:hAnsi="Arial"/>
                <w:color w:val="000000"/>
                <w:sz w:val="20"/>
                <w:lang w:eastAsia="pt-BR"/>
              </w:rPr>
              <w:t xml:space="preserve"> 1500-1800. </w:t>
            </w:r>
            <w:r>
              <w:rPr>
                <w:rFonts w:eastAsia="Times New Roman" w:cs="Arial" w:ascii="Arial" w:hAnsi="Arial"/>
                <w:color w:val="000000"/>
                <w:sz w:val="20"/>
                <w:lang w:val="es-ES" w:eastAsia="pt-BR"/>
              </w:rPr>
              <w:t>Madrid: Siglo Veintiuno, 2016.</w:t>
            </w:r>
          </w:p>
          <w:p>
            <w:pPr>
              <w:pStyle w:val="Normal"/>
              <w:spacing w:lineRule="auto" w:line="240" w:before="0" w:after="200"/>
              <w:contextualSpacing/>
              <w:jc w:val="both"/>
              <w:rPr>
                <w:rFonts w:ascii="Arial" w:hAnsi="Arial" w:eastAsia="Times New Roman" w:cs="Arial"/>
                <w:color w:val="000000"/>
                <w:sz w:val="20"/>
                <w:lang w:val="es-ES" w:eastAsia="pt-BR"/>
              </w:rPr>
            </w:pPr>
            <w:r>
              <w:rPr>
                <w:rFonts w:eastAsia="Times New Roman" w:cs="Arial" w:ascii="Arial" w:hAnsi="Arial"/>
                <w:color w:val="000000"/>
                <w:sz w:val="20"/>
                <w:lang w:eastAsia="pt-BR"/>
              </w:rPr>
              <w:t>DÜLMEN, Richard Van.</w:t>
            </w:r>
            <w:r>
              <w:rPr>
                <w:rFonts w:eastAsia="Times New Roman" w:cs="Arial" w:ascii="Arial" w:hAnsi="Arial"/>
                <w:color w:val="000000"/>
                <w:sz w:val="20"/>
                <w:lang w:val="es-ES" w:eastAsia="pt-BR"/>
              </w:rPr>
              <w:t xml:space="preserve"> </w:t>
            </w:r>
            <w:r>
              <w:rPr>
                <w:rFonts w:eastAsia="Times New Roman" w:cs="Arial" w:ascii="Arial" w:hAnsi="Arial"/>
                <w:i/>
                <w:color w:val="000000"/>
                <w:sz w:val="20"/>
                <w:lang w:val="es-ES" w:eastAsia="pt-BR"/>
              </w:rPr>
              <w:t>Los inicios de la Europa moderna (1550-1648)</w:t>
            </w:r>
            <w:r>
              <w:rPr>
                <w:rFonts w:eastAsia="Times New Roman" w:cs="Arial" w:ascii="Arial" w:hAnsi="Arial"/>
                <w:color w:val="000000"/>
                <w:sz w:val="20"/>
                <w:lang w:val="es-ES" w:eastAsia="pt-BR"/>
              </w:rPr>
              <w:t>. Madrid: Siglo Veintiuno, 2002.</w:t>
            </w:r>
          </w:p>
          <w:p>
            <w:pPr>
              <w:pStyle w:val="Normal"/>
              <w:spacing w:lineRule="auto" w:line="240" w:before="0" w:after="200"/>
              <w:contextualSpacing/>
              <w:jc w:val="both"/>
              <w:rPr>
                <w:rFonts w:ascii="Arial" w:hAnsi="Arial" w:eastAsia="Times New Roman" w:cs="Arial"/>
                <w:color w:val="000000"/>
                <w:sz w:val="20"/>
                <w:lang w:eastAsia="pt-BR"/>
              </w:rPr>
            </w:pPr>
            <w:r>
              <w:rPr>
                <w:rFonts w:eastAsia="Times New Roman" w:cs="Arial" w:ascii="Arial" w:hAnsi="Arial"/>
                <w:color w:val="000000"/>
                <w:sz w:val="20"/>
                <w:lang w:val="es-ES" w:eastAsia="pt-BR"/>
              </w:rPr>
              <w:t xml:space="preserve">ELLIOTT, John H. </w:t>
            </w:r>
            <w:r>
              <w:rPr>
                <w:rFonts w:eastAsia="Times New Roman" w:cs="Arial" w:ascii="Arial" w:hAnsi="Arial"/>
                <w:i/>
                <w:color w:val="000000"/>
                <w:sz w:val="20"/>
                <w:lang w:val="es-ES" w:eastAsia="pt-BR"/>
              </w:rPr>
              <w:t>La Europa Dividida:</w:t>
            </w:r>
            <w:r>
              <w:rPr>
                <w:rFonts w:eastAsia="Times New Roman" w:cs="Arial" w:ascii="Arial" w:hAnsi="Arial"/>
                <w:color w:val="000000"/>
                <w:sz w:val="20"/>
                <w:lang w:val="es-ES" w:eastAsia="pt-BR"/>
              </w:rPr>
              <w:t xml:space="preserve"> 1559-1598. Barcelona: Crítica, 2010. </w:t>
            </w:r>
            <w:r>
              <w:rPr>
                <w:rFonts w:eastAsia="Times New Roman" w:cs="Arial" w:ascii="Arial" w:hAnsi="Arial"/>
                <w:color w:val="000000"/>
                <w:sz w:val="20"/>
                <w:lang w:eastAsia="pt-BR"/>
              </w:rPr>
              <w:t>[Biblioteca de Bolsillo, 145]</w:t>
            </w:r>
          </w:p>
          <w:p>
            <w:pPr>
              <w:pStyle w:val="Normal"/>
              <w:spacing w:lineRule="auto" w:line="240" w:before="0" w:after="0"/>
              <w:jc w:val="both"/>
              <w:rPr>
                <w:rFonts w:ascii="Arial" w:hAnsi="Arial" w:cs="Arial"/>
                <w:b/>
                <w:b/>
              </w:rPr>
            </w:pPr>
            <w:r>
              <w:rPr>
                <w:rFonts w:eastAsia="Times New Roman" w:cs="Arial" w:ascii="Arial" w:hAnsi="Arial"/>
                <w:color w:val="000000"/>
                <w:sz w:val="20"/>
                <w:lang w:eastAsia="pt-BR"/>
              </w:rPr>
              <w:t xml:space="preserve">FALCON, Francisco. </w:t>
            </w:r>
            <w:r>
              <w:rPr>
                <w:rFonts w:eastAsia="Times New Roman" w:cs="Arial" w:ascii="Arial" w:hAnsi="Arial"/>
                <w:i/>
                <w:color w:val="000000"/>
                <w:sz w:val="20"/>
                <w:lang w:eastAsia="pt-BR"/>
              </w:rPr>
              <w:t>A Formação do Mundo Moderno</w:t>
            </w:r>
            <w:r>
              <w:rPr>
                <w:rFonts w:eastAsia="Times New Roman" w:cs="Arial" w:ascii="Arial" w:hAnsi="Arial"/>
                <w:color w:val="000000"/>
                <w:sz w:val="20"/>
                <w:lang w:eastAsia="pt-BR"/>
              </w:rPr>
              <w:t>: a construção do Ocidente dos séculos XIV ao XVIII. 2. ed. Rio de Janeiro: Elsevier, 2006.</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b/>
                <w:u w:val="single"/>
              </w:rPr>
              <w:t xml:space="preserve"> Tópicos Especiais em Teoria da História</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A)</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 xml:space="preserve">Ementa: </w:t>
            </w:r>
            <w:r>
              <w:rPr>
                <w:rFonts w:cs="Arial" w:ascii="Arial" w:hAnsi="Arial"/>
              </w:rPr>
              <w:t xml:space="preserve">Verticalização de estudos de Teoria da História, com ênfase em pressupostos dialéticos na teoria da História; concepções dialéticas no pensamento histórico. </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GRAMSCI, Antonio. </w:t>
            </w:r>
            <w:r>
              <w:rPr>
                <w:rFonts w:cs="Arial" w:ascii="Arial" w:hAnsi="Arial"/>
                <w:i/>
                <w:iCs/>
                <w:color w:val="00000A"/>
                <w:sz w:val="20"/>
                <w:szCs w:val="22"/>
              </w:rPr>
              <w:t>Concepção dialética da história</w:t>
            </w:r>
            <w:r>
              <w:rPr>
                <w:rFonts w:cs="Arial" w:ascii="Arial" w:hAnsi="Arial"/>
                <w:color w:val="00000A"/>
                <w:sz w:val="20"/>
                <w:szCs w:val="22"/>
              </w:rPr>
              <w:t xml:space="preserve">. 4ªed. Rio de Janeiro: Civilização Brasileira, 1981. </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HEGEL, G. </w:t>
            </w:r>
            <w:r>
              <w:rPr>
                <w:rFonts w:cs="Arial" w:ascii="Arial" w:hAnsi="Arial"/>
                <w:i/>
                <w:iCs/>
                <w:color w:val="00000A"/>
                <w:sz w:val="20"/>
                <w:szCs w:val="22"/>
              </w:rPr>
              <w:t>Introdução à filosofia da história universal</w:t>
            </w:r>
            <w:r>
              <w:rPr>
                <w:rFonts w:cs="Arial" w:ascii="Arial" w:hAnsi="Arial"/>
                <w:color w:val="00000A"/>
                <w:sz w:val="20"/>
                <w:szCs w:val="22"/>
              </w:rPr>
              <w:t>. Lisboa: Edições 70, 1995.</w:t>
            </w:r>
          </w:p>
          <w:p>
            <w:pPr>
              <w:pStyle w:val="Normal"/>
              <w:spacing w:before="0" w:after="0"/>
              <w:jc w:val="both"/>
              <w:rPr>
                <w:rFonts w:ascii="Arial" w:hAnsi="Arial" w:cs="Arial"/>
                <w:b/>
                <w:b/>
              </w:rPr>
            </w:pPr>
            <w:r>
              <w:rPr>
                <w:rFonts w:cs="Arial" w:ascii="Arial" w:hAnsi="Arial"/>
                <w:sz w:val="20"/>
              </w:rPr>
              <w:t xml:space="preserve">MARX, Karl; ENGELS, Friedrich. </w:t>
            </w:r>
            <w:r>
              <w:rPr>
                <w:rFonts w:cs="Arial" w:ascii="Arial" w:hAnsi="Arial"/>
                <w:i/>
                <w:sz w:val="20"/>
              </w:rPr>
              <w:t>A ideologia alemã</w:t>
            </w:r>
            <w:r>
              <w:rPr>
                <w:rFonts w:cs="Arial" w:ascii="Arial" w:hAnsi="Arial"/>
                <w:sz w:val="20"/>
              </w:rPr>
              <w:t>. São Paulo: Boi Tempo, 2007.</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rPr>
                <w:rFonts w:ascii="Arial" w:hAnsi="Arial" w:cs="Arial"/>
                <w:color w:val="00000A"/>
                <w:sz w:val="20"/>
                <w:szCs w:val="22"/>
              </w:rPr>
            </w:pPr>
            <w:r>
              <w:rPr>
                <w:rFonts w:cs="Arial" w:ascii="Arial" w:hAnsi="Arial"/>
                <w:color w:val="00000A"/>
                <w:sz w:val="20"/>
                <w:szCs w:val="22"/>
              </w:rPr>
              <w:t xml:space="preserve">ARANTES, Paulo </w:t>
            </w:r>
            <w:r>
              <w:rPr>
                <w:rFonts w:cs="Arial" w:ascii="Arial" w:hAnsi="Arial"/>
                <w:i/>
                <w:iCs/>
                <w:color w:val="00000A"/>
                <w:sz w:val="20"/>
                <w:szCs w:val="22"/>
              </w:rPr>
              <w:t>Ressentimento da Dialética</w:t>
            </w:r>
            <w:r>
              <w:rPr>
                <w:rFonts w:cs="Arial" w:ascii="Arial" w:hAnsi="Arial"/>
                <w:iCs/>
                <w:color w:val="00000A"/>
                <w:sz w:val="20"/>
                <w:szCs w:val="22"/>
              </w:rPr>
              <w:t xml:space="preserve">: dialética e experiência intelectual em Hegel. </w:t>
            </w:r>
            <w:r>
              <w:rPr>
                <w:rFonts w:cs="Arial" w:ascii="Arial" w:hAnsi="Arial"/>
                <w:color w:val="00000A"/>
                <w:sz w:val="20"/>
                <w:szCs w:val="22"/>
              </w:rPr>
              <w:t>São Paulo: Paz e Terra, 1996.</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BENJAMIN, Walter. </w:t>
            </w:r>
            <w:r>
              <w:rPr>
                <w:rFonts w:cs="Arial" w:ascii="Arial" w:hAnsi="Arial"/>
                <w:i/>
                <w:color w:val="00000A"/>
                <w:sz w:val="20"/>
                <w:szCs w:val="22"/>
              </w:rPr>
              <w:t>Obras escolhidas</w:t>
            </w:r>
            <w:r>
              <w:rPr>
                <w:rFonts w:cs="Arial" w:ascii="Arial" w:hAnsi="Arial"/>
                <w:color w:val="00000A"/>
                <w:sz w:val="20"/>
                <w:szCs w:val="22"/>
              </w:rPr>
              <w:t>. 3ª ed. São Paulo: Brasiliense, 1985. vol. I.</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GAGNEBIN, Jeanne M. </w:t>
            </w:r>
            <w:r>
              <w:rPr>
                <w:rFonts w:cs="Arial" w:ascii="Arial" w:hAnsi="Arial"/>
                <w:i/>
                <w:color w:val="00000A"/>
                <w:sz w:val="20"/>
                <w:szCs w:val="22"/>
              </w:rPr>
              <w:t>História e narração em Walter Benjamin</w:t>
            </w:r>
            <w:r>
              <w:rPr>
                <w:rFonts w:cs="Arial" w:ascii="Arial" w:hAnsi="Arial"/>
                <w:color w:val="00000A"/>
                <w:sz w:val="20"/>
                <w:szCs w:val="22"/>
              </w:rPr>
              <w:t>. 2ª ed. São Paulo: Perspectiva, 2004.</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LUKÁCS, Georg. </w:t>
            </w:r>
            <w:r>
              <w:rPr>
                <w:rFonts w:cs="Arial" w:ascii="Arial" w:hAnsi="Arial"/>
                <w:i/>
                <w:color w:val="00000A"/>
                <w:sz w:val="20"/>
                <w:szCs w:val="22"/>
              </w:rPr>
              <w:t>História e consciência de classe</w:t>
            </w:r>
            <w:r>
              <w:rPr>
                <w:rFonts w:cs="Arial" w:ascii="Arial" w:hAnsi="Arial"/>
                <w:color w:val="00000A"/>
                <w:sz w:val="20"/>
                <w:szCs w:val="22"/>
              </w:rPr>
              <w:t>: estudos de dialética marxista. São Paulo: Martins Fontes, 2003.</w:t>
            </w:r>
          </w:p>
          <w:p>
            <w:pPr>
              <w:pStyle w:val="Normal"/>
              <w:spacing w:before="0" w:after="0"/>
              <w:jc w:val="both"/>
              <w:rPr>
                <w:rFonts w:ascii="Arial" w:hAnsi="Arial" w:cs="Arial"/>
                <w:b/>
                <w:b/>
              </w:rPr>
            </w:pPr>
            <w:r>
              <w:rPr>
                <w:rFonts w:cs="Arial" w:ascii="Arial" w:hAnsi="Arial"/>
                <w:sz w:val="20"/>
              </w:rPr>
              <w:t xml:space="preserve">MARX, Karl. </w:t>
            </w:r>
            <w:r>
              <w:rPr>
                <w:rFonts w:cs="Arial" w:ascii="Arial" w:hAnsi="Arial"/>
                <w:i/>
                <w:sz w:val="20"/>
              </w:rPr>
              <w:t>O Capital</w:t>
            </w:r>
            <w:r>
              <w:rPr>
                <w:rFonts w:cs="Arial" w:ascii="Arial" w:hAnsi="Arial"/>
                <w:sz w:val="20"/>
              </w:rPr>
              <w:t>. Crítica da economia política. Rio de Janeiro: Civilização Brasileira, 2003. Liv. I, v. 2.</w:t>
            </w:r>
          </w:p>
        </w:tc>
      </w:tr>
    </w:tbl>
    <w:p>
      <w:pPr>
        <w:pStyle w:val="Normal"/>
        <w:spacing w:lineRule="auto" w:line="240" w:before="0" w:after="0"/>
        <w:jc w:val="center"/>
        <w:rPr>
          <w:rFonts w:ascii="Arial" w:hAnsi="Arial" w:cs="Arial"/>
          <w:b/>
          <w:b/>
          <w:sz w:val="24"/>
          <w:szCs w:val="24"/>
        </w:rPr>
      </w:pPr>
      <w:r>
        <w:rPr>
          <w:rFonts w:cs="Arial" w:ascii="Arial" w:hAnsi="Arial"/>
          <w:b/>
          <w:sz w:val="24"/>
          <w:szCs w:val="24"/>
        </w:rPr>
      </w:r>
    </w:p>
    <w:p>
      <w:pPr>
        <w:pStyle w:val="Normal"/>
        <w:spacing w:lineRule="auto" w:line="240" w:before="0" w:after="0"/>
        <w:jc w:val="center"/>
        <w:rPr>
          <w:rFonts w:ascii="Arial" w:hAnsi="Arial" w:cs="Arial"/>
          <w:b/>
          <w:b/>
          <w:sz w:val="24"/>
          <w:szCs w:val="24"/>
        </w:rPr>
      </w:pPr>
      <w:r>
        <w:rPr>
          <w:rFonts w:cs="Arial" w:ascii="Arial" w:hAnsi="Arial"/>
          <w:b/>
          <w:sz w:val="24"/>
          <w:szCs w:val="24"/>
        </w:rPr>
      </w:r>
    </w:p>
    <w:p>
      <w:pPr>
        <w:pStyle w:val="Normal"/>
        <w:spacing w:lineRule="auto" w:line="240" w:before="0" w:after="0"/>
        <w:jc w:val="center"/>
        <w:rPr>
          <w:rFonts w:ascii="Arial" w:hAnsi="Arial" w:cs="Arial"/>
          <w:b/>
          <w:b/>
          <w:sz w:val="24"/>
          <w:szCs w:val="24"/>
        </w:rPr>
      </w:pPr>
      <w:r>
        <w:rPr>
          <w:rFonts w:cs="Arial" w:ascii="Arial" w:hAnsi="Arial"/>
          <w:b/>
          <w:sz w:val="24"/>
          <w:szCs w:val="24"/>
        </w:rPr>
        <w:t>Eixo 3 – Formação Geral e Interdisciplinar</w:t>
      </w:r>
    </w:p>
    <w:tbl>
      <w:tblPr>
        <w:tblStyle w:val="Tabelacomgrade"/>
        <w:tblW w:w="8494" w:type="dxa"/>
        <w:jc w:val="left"/>
        <w:tblInd w:w="0" w:type="dxa"/>
        <w:tblCellMar>
          <w:top w:w="0" w:type="dxa"/>
          <w:left w:w="108" w:type="dxa"/>
          <w:bottom w:w="0" w:type="dxa"/>
          <w:right w:w="108" w:type="dxa"/>
        </w:tblCellMar>
        <w:tblLook w:firstRow="1" w:noVBand="1" w:lastRow="0" w:firstColumn="1" w:lastColumn="0" w:noHBand="0" w:val="04a0"/>
      </w:tblPr>
      <w:tblGrid>
        <w:gridCol w:w="8494"/>
      </w:tblGrid>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b/>
                <w:u w:val="single"/>
              </w:rPr>
              <w:t xml:space="preserve"> Introdução aos Estudos Históricos</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w:t>
            </w:r>
          </w:p>
          <w:p>
            <w:pPr>
              <w:pStyle w:val="Normal"/>
              <w:spacing w:lineRule="auto" w:line="240" w:before="0" w:after="0"/>
              <w:jc w:val="both"/>
              <w:rPr>
                <w:rFonts w:ascii="Arial" w:hAnsi="Arial" w:cs="Arial"/>
                <w:color w:val="000000"/>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Padro"/>
              <w:spacing w:lineRule="auto" w:line="240" w:before="0" w:after="0"/>
              <w:jc w:val="both"/>
              <w:rPr>
                <w:rFonts w:ascii="Arial" w:hAnsi="Arial" w:eastAsia="Calibri" w:cs="Arial"/>
                <w:color w:val="00000A"/>
                <w:sz w:val="22"/>
                <w:szCs w:val="22"/>
              </w:rPr>
            </w:pPr>
            <w:r>
              <w:rPr>
                <w:rFonts w:cs="Arial" w:ascii="Arial" w:hAnsi="Arial"/>
                <w:b/>
                <w:sz w:val="22"/>
                <w:szCs w:val="22"/>
              </w:rPr>
              <w:t>Ementa:</w:t>
            </w:r>
            <w:r>
              <w:rPr>
                <w:rFonts w:cs="Arial" w:ascii="Arial" w:hAnsi="Arial"/>
                <w:shd w:fill="FFFFFF" w:val="clear"/>
              </w:rPr>
              <w:t xml:space="preserve"> </w:t>
            </w:r>
            <w:r>
              <w:rPr>
                <w:rFonts w:cs="Arial" w:ascii="Arial" w:hAnsi="Arial"/>
                <w:sz w:val="22"/>
                <w:szCs w:val="22"/>
                <w:shd w:fill="FFFFFF" w:val="clear"/>
              </w:rPr>
              <w:t xml:space="preserve">Historiografia greco-romana. </w:t>
            </w:r>
            <w:r>
              <w:rPr>
                <w:rFonts w:cs="Arial" w:ascii="Arial" w:hAnsi="Arial"/>
                <w:sz w:val="22"/>
                <w:szCs w:val="22"/>
              </w:rPr>
              <w:t xml:space="preserve">Institucionalização da História como disciplina científica. </w:t>
            </w:r>
            <w:r>
              <w:rPr>
                <w:rFonts w:cs="Arial" w:ascii="Arial" w:hAnsi="Arial"/>
                <w:sz w:val="22"/>
                <w:szCs w:val="22"/>
                <w:shd w:fill="FFFFFF" w:val="clear"/>
              </w:rPr>
              <w:t xml:space="preserve">Escolas: metódica, historicista, marxista, os </w:t>
            </w:r>
            <w:r>
              <w:rPr>
                <w:rFonts w:cs="Arial" w:ascii="Arial" w:hAnsi="Arial"/>
                <w:i/>
                <w:sz w:val="22"/>
                <w:szCs w:val="22"/>
                <w:shd w:fill="FFFFFF" w:val="clear"/>
              </w:rPr>
              <w:t>Annales</w:t>
            </w:r>
            <w:r>
              <w:rPr>
                <w:rFonts w:cs="Arial" w:ascii="Arial" w:hAnsi="Arial"/>
                <w:sz w:val="22"/>
                <w:szCs w:val="22"/>
                <w:shd w:fill="FFFFFF" w:val="clear"/>
              </w:rPr>
              <w:t xml:space="preserve">. Conhecimento histórico e prática historiográfica: </w:t>
            </w:r>
            <w:r>
              <w:rPr>
                <w:rFonts w:cs="Arial" w:ascii="Arial" w:hAnsi="Arial"/>
                <w:sz w:val="22"/>
                <w:szCs w:val="22"/>
              </w:rPr>
              <w:t xml:space="preserve">conceitos e procedimentos metodológicos de pesquisa. </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BLOCH, Marc. </w:t>
            </w:r>
            <w:r>
              <w:rPr>
                <w:rFonts w:cs="Arial" w:ascii="Arial" w:hAnsi="Arial"/>
                <w:i/>
                <w:color w:val="00000A"/>
                <w:sz w:val="20"/>
                <w:szCs w:val="22"/>
              </w:rPr>
              <w:t>Apologia da História ou o Ofício do Historiador</w:t>
            </w:r>
            <w:r>
              <w:rPr>
                <w:rFonts w:cs="Arial" w:ascii="Arial" w:hAnsi="Arial"/>
                <w:color w:val="00000A"/>
                <w:sz w:val="20"/>
                <w:szCs w:val="22"/>
              </w:rPr>
              <w:t xml:space="preserve">. Rio de Janeiro: Jorge Zahar Ed. 2001. </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LE GOFF, Jacques. </w:t>
            </w:r>
            <w:r>
              <w:rPr>
                <w:rFonts w:cs="Arial" w:ascii="Arial" w:hAnsi="Arial"/>
                <w:i/>
                <w:color w:val="00000A"/>
                <w:sz w:val="20"/>
                <w:szCs w:val="22"/>
              </w:rPr>
              <w:t>História e Memória</w:t>
            </w:r>
            <w:r>
              <w:rPr>
                <w:rFonts w:cs="Arial" w:ascii="Arial" w:hAnsi="Arial"/>
                <w:color w:val="00000A"/>
                <w:sz w:val="20"/>
                <w:szCs w:val="22"/>
              </w:rPr>
              <w:t>. Campinas, SP: Editora da Unicamp, 1990.</w:t>
            </w:r>
          </w:p>
          <w:p>
            <w:pPr>
              <w:pStyle w:val="Normal"/>
              <w:spacing w:before="0" w:after="0"/>
              <w:jc w:val="both"/>
              <w:rPr>
                <w:rFonts w:ascii="Arial" w:hAnsi="Arial" w:cs="Arial"/>
                <w:color w:val="000000"/>
              </w:rPr>
            </w:pPr>
            <w:r>
              <w:rPr>
                <w:rFonts w:cs="Arial" w:ascii="Arial" w:hAnsi="Arial"/>
                <w:iCs/>
                <w:sz w:val="20"/>
              </w:rPr>
              <w:t xml:space="preserve">REIS. José Carlos. </w:t>
            </w:r>
            <w:r>
              <w:rPr>
                <w:rFonts w:cs="Arial" w:ascii="Arial" w:hAnsi="Arial"/>
                <w:i/>
                <w:iCs/>
                <w:sz w:val="20"/>
              </w:rPr>
              <w:t>A História entre a filosofia e a ciência</w:t>
            </w:r>
            <w:r>
              <w:rPr>
                <w:rFonts w:cs="Arial" w:ascii="Arial" w:hAnsi="Arial"/>
                <w:sz w:val="20"/>
              </w:rPr>
              <w:t>. São Paulo: Ática, 1996.</w:t>
            </w:r>
          </w:p>
        </w:tc>
      </w:tr>
      <w:tr>
        <w:trPr/>
        <w:tc>
          <w:tcPr>
            <w:tcW w:w="8494" w:type="dxa"/>
            <w:tcBorders>
              <w:top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Bibliografia Complementar:</w:t>
            </w:r>
          </w:p>
          <w:p>
            <w:pPr>
              <w:pStyle w:val="Normal"/>
              <w:spacing w:lineRule="auto" w:line="240" w:before="0" w:after="0"/>
              <w:jc w:val="both"/>
              <w:rPr>
                <w:rFonts w:ascii="Arial" w:hAnsi="Arial" w:cs="Arial"/>
                <w:sz w:val="20"/>
              </w:rPr>
            </w:pPr>
            <w:r>
              <w:rPr>
                <w:rFonts w:cs="Arial" w:ascii="Arial" w:hAnsi="Arial"/>
                <w:sz w:val="20"/>
              </w:rPr>
              <w:t>HARTOG,</w:t>
            </w:r>
            <w:r>
              <w:rPr>
                <w:rFonts w:cs="Arial" w:ascii="Arial" w:hAnsi="Arial"/>
                <w:b/>
                <w:sz w:val="20"/>
              </w:rPr>
              <w:t xml:space="preserve"> </w:t>
            </w:r>
            <w:r>
              <w:rPr>
                <w:rFonts w:cs="Arial" w:ascii="Arial" w:hAnsi="Arial"/>
                <w:sz w:val="20"/>
              </w:rPr>
              <w:t xml:space="preserve">François. </w:t>
            </w:r>
            <w:r>
              <w:rPr>
                <w:rFonts w:cs="Arial" w:ascii="Arial" w:hAnsi="Arial"/>
                <w:i/>
                <w:sz w:val="20"/>
              </w:rPr>
              <w:t>Evidência da História</w:t>
            </w:r>
            <w:r>
              <w:rPr>
                <w:rFonts w:cs="Arial" w:ascii="Arial" w:hAnsi="Arial"/>
                <w:sz w:val="20"/>
              </w:rPr>
              <w:t>: o que os historiadores veem. Belo Horizonte: Autêntica, 2011.</w:t>
            </w:r>
          </w:p>
          <w:p>
            <w:pPr>
              <w:pStyle w:val="Normal"/>
              <w:spacing w:lineRule="auto" w:line="240" w:before="0" w:after="0"/>
              <w:jc w:val="both"/>
              <w:rPr>
                <w:rFonts w:ascii="Arial" w:hAnsi="Arial" w:cs="Arial"/>
                <w:sz w:val="20"/>
              </w:rPr>
            </w:pPr>
            <w:r>
              <w:rPr>
                <w:rFonts w:cs="Arial" w:ascii="Arial" w:hAnsi="Arial"/>
                <w:sz w:val="20"/>
              </w:rPr>
              <w:t xml:space="preserve">KOSELLECK, R. </w:t>
            </w:r>
            <w:r>
              <w:rPr>
                <w:rFonts w:cs="Arial" w:ascii="Arial" w:hAnsi="Arial"/>
                <w:i/>
                <w:sz w:val="20"/>
              </w:rPr>
              <w:t>Futuro passado</w:t>
            </w:r>
            <w:r>
              <w:rPr>
                <w:rFonts w:cs="Arial" w:ascii="Arial" w:hAnsi="Arial"/>
                <w:sz w:val="20"/>
              </w:rPr>
              <w:t>: contribuição à semântica dos tempos históricos. Rio de Janeiro: Contraponto/PUC-Rio, 2006.</w:t>
            </w:r>
          </w:p>
          <w:p>
            <w:pPr>
              <w:pStyle w:val="Normal"/>
              <w:spacing w:lineRule="auto" w:line="240" w:before="0" w:after="0"/>
              <w:jc w:val="both"/>
              <w:rPr>
                <w:rFonts w:ascii="Arial" w:hAnsi="Arial" w:cs="Arial"/>
                <w:sz w:val="20"/>
              </w:rPr>
            </w:pPr>
            <w:r>
              <w:rPr>
                <w:rFonts w:cs="Arial" w:ascii="Arial" w:hAnsi="Arial"/>
                <w:sz w:val="20"/>
              </w:rPr>
              <w:t xml:space="preserve">MALERBA, J (org). </w:t>
            </w:r>
            <w:r>
              <w:rPr>
                <w:rFonts w:cs="Arial" w:ascii="Arial" w:hAnsi="Arial"/>
                <w:i/>
                <w:sz w:val="20"/>
              </w:rPr>
              <w:t>Lições de História</w:t>
            </w:r>
            <w:r>
              <w:rPr>
                <w:rFonts w:cs="Arial" w:ascii="Arial" w:hAnsi="Arial"/>
                <w:sz w:val="20"/>
              </w:rPr>
              <w:t>: o caminho da ciência no longo século XIX. Porto Alegre, RS: FGV: Editora da PUC-Rio, 2010.</w:t>
            </w:r>
          </w:p>
          <w:p>
            <w:pPr>
              <w:pStyle w:val="Normal"/>
              <w:spacing w:lineRule="auto" w:line="240" w:before="0" w:after="0"/>
              <w:jc w:val="both"/>
              <w:rPr>
                <w:rFonts w:ascii="Arial" w:hAnsi="Arial" w:cs="Arial"/>
                <w:sz w:val="20"/>
              </w:rPr>
            </w:pPr>
            <w:r>
              <w:rPr>
                <w:rFonts w:cs="Arial" w:ascii="Arial" w:hAnsi="Arial"/>
                <w:sz w:val="20"/>
              </w:rPr>
              <w:t xml:space="preserve">MOMIGLIANO, Arnaldo. </w:t>
            </w:r>
            <w:r>
              <w:rPr>
                <w:rFonts w:cs="Arial" w:ascii="Arial" w:hAnsi="Arial"/>
                <w:i/>
                <w:sz w:val="20"/>
              </w:rPr>
              <w:t>As raízes clássicas da historiografia moderna</w:t>
            </w:r>
            <w:r>
              <w:rPr>
                <w:rFonts w:cs="Arial" w:ascii="Arial" w:hAnsi="Arial"/>
                <w:sz w:val="20"/>
              </w:rPr>
              <w:t>. Bauru: EDUSC,  2004.</w:t>
            </w:r>
          </w:p>
          <w:p>
            <w:pPr>
              <w:pStyle w:val="Normal"/>
              <w:spacing w:lineRule="auto" w:line="240" w:before="0" w:after="0"/>
              <w:jc w:val="both"/>
              <w:rPr>
                <w:rFonts w:ascii="Arial" w:hAnsi="Arial" w:cs="Arial"/>
                <w:b/>
                <w:b/>
              </w:rPr>
            </w:pPr>
            <w:r>
              <w:rPr>
                <w:rFonts w:cs="Arial" w:ascii="Arial" w:hAnsi="Arial"/>
                <w:sz w:val="20"/>
              </w:rPr>
              <w:t xml:space="preserve">NICOLAZZI, Fernando et alii (org). </w:t>
            </w:r>
            <w:r>
              <w:rPr>
                <w:rFonts w:cs="Arial" w:ascii="Arial" w:hAnsi="Arial"/>
                <w:i/>
                <w:sz w:val="20"/>
              </w:rPr>
              <w:t xml:space="preserve">Aprender com a história? </w:t>
            </w:r>
            <w:r>
              <w:rPr>
                <w:rFonts w:cs="Arial" w:ascii="Arial" w:hAnsi="Arial"/>
                <w:sz w:val="20"/>
              </w:rPr>
              <w:t>O passado e o futuro de uma questão. São Paulo: FGV Editora, 2012.</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 xml:space="preserve">Unidade Curricular: </w:t>
            </w:r>
            <w:r>
              <w:rPr>
                <w:rFonts w:cs="Arial" w:ascii="Arial" w:hAnsi="Arial"/>
                <w:b/>
                <w:u w:val="single"/>
              </w:rPr>
              <w:t>Língua Brasileira de Sinais - Libras</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7º </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shd w:fill="FFFFFF" w:val="clear"/>
              </w:rPr>
              <w:t xml:space="preserve"> </w:t>
            </w:r>
            <w:r>
              <w:rPr>
                <w:rFonts w:cs="Arial" w:ascii="Arial" w:hAnsi="Arial"/>
              </w:rPr>
              <w:t>Libras, Língua oficial e natural da comunidade surda brasileira. Organização e estruturação da Língua de Sinais. Estratégias contextualizadas de comunicação visual. História da Educação de Surdos, e principais abordagens educacionais. Legislação brasileira e referências legais no campo da surdez. Aquisição de linguagem, alfabetização, letramento e português como segunda língua para surdos. Estratégias didático-pedagógicas e perfil dos profissionais da área da surdez. Aspectos fisiológicos da surdez. Especificidades socioculturais e identitárias do povo surdo.</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Bibliografia Básica:</w:t>
            </w:r>
          </w:p>
          <w:p>
            <w:pPr>
              <w:pStyle w:val="Normal"/>
              <w:spacing w:lineRule="auto" w:line="240" w:before="0" w:after="0"/>
              <w:jc w:val="both"/>
              <w:rPr>
                <w:rFonts w:ascii="Arial" w:hAnsi="Arial" w:cs="Arial"/>
                <w:sz w:val="20"/>
                <w:szCs w:val="20"/>
              </w:rPr>
            </w:pPr>
            <w:r>
              <w:rPr>
                <w:rFonts w:cs="Arial" w:ascii="Arial" w:hAnsi="Arial"/>
                <w:sz w:val="20"/>
                <w:szCs w:val="20"/>
              </w:rPr>
              <w:t xml:space="preserve">CAPOVILLA, F. C.; RAPHAEL, W. D. Dicionário Enciclopédico Ilustrado Trilíngue da Língua de Sinais Brasileira. São Paulo: EDUSP, 2001. v.1, v.2. </w:t>
            </w:r>
          </w:p>
          <w:p>
            <w:pPr>
              <w:pStyle w:val="Normal"/>
              <w:spacing w:lineRule="auto" w:line="240" w:before="0" w:after="0"/>
              <w:jc w:val="both"/>
              <w:rPr/>
            </w:pPr>
            <w:r>
              <w:rPr>
                <w:rFonts w:cs="Arial" w:ascii="Arial" w:hAnsi="Arial"/>
                <w:sz w:val="20"/>
                <w:szCs w:val="20"/>
              </w:rPr>
              <w:t xml:space="preserve">FELIPE, Tanya A; MONTEIRO, Myrna S. Libras em Contexto: curso básico, livro do Estudante – Brasília : Programa Nacional de Apoio à Educação dos Surdos, MEC: SEESP, 2007. Disponível para download na página: </w:t>
            </w:r>
            <w:hyperlink r:id="rId13">
              <w:r>
                <w:rPr>
                  <w:rStyle w:val="LinkdaInternet"/>
                  <w:rFonts w:cs="Arial" w:ascii="Arial" w:hAnsi="Arial"/>
                  <w:color w:val="00000A"/>
                  <w:sz w:val="20"/>
                  <w:szCs w:val="20"/>
                </w:rPr>
                <w:t>www.scribd.com/doc/95562107/Livro-Estudante-2007</w:t>
              </w:r>
            </w:hyperlink>
            <w:r>
              <w:rPr>
                <w:rFonts w:cs="Arial" w:ascii="Arial" w:hAnsi="Arial"/>
                <w:sz w:val="20"/>
                <w:szCs w:val="20"/>
              </w:rPr>
              <w:t>.</w:t>
            </w:r>
          </w:p>
          <w:p>
            <w:pPr>
              <w:pStyle w:val="Normal"/>
              <w:spacing w:lineRule="auto" w:line="240" w:before="0" w:after="0"/>
              <w:jc w:val="both"/>
              <w:rPr>
                <w:rFonts w:ascii="Arial" w:hAnsi="Arial" w:cs="Arial"/>
                <w:sz w:val="20"/>
                <w:szCs w:val="20"/>
              </w:rPr>
            </w:pPr>
            <w:r>
              <w:rPr>
                <w:rFonts w:cs="Arial" w:ascii="Arial" w:hAnsi="Arial"/>
                <w:sz w:val="20"/>
                <w:szCs w:val="20"/>
              </w:rPr>
              <w:t>GESSER, A. Libras? Que Língua é essa? São Paulo: Parábola, 2009.</w:t>
            </w:r>
          </w:p>
          <w:p>
            <w:pPr>
              <w:pStyle w:val="Normal"/>
              <w:spacing w:lineRule="auto" w:line="240" w:before="0" w:after="0"/>
              <w:jc w:val="both"/>
              <w:rPr>
                <w:rFonts w:ascii="Arial" w:hAnsi="Arial" w:cs="Arial"/>
                <w:sz w:val="20"/>
                <w:szCs w:val="20"/>
              </w:rPr>
            </w:pPr>
            <w:r>
              <w:rPr>
                <w:rFonts w:cs="Arial" w:ascii="Arial" w:hAnsi="Arial"/>
                <w:sz w:val="20"/>
                <w:szCs w:val="20"/>
              </w:rPr>
              <w:t>QUADROS, Ronice Muller de; KARNOPP, Lodenir Becker. Língua de sinais brasileira: estudos linguísticos. Porto Alegre : Artmed, 2004.</w:t>
            </w:r>
          </w:p>
          <w:p>
            <w:pPr>
              <w:pStyle w:val="Normal"/>
              <w:spacing w:lineRule="auto" w:line="240" w:before="0" w:after="0"/>
              <w:jc w:val="both"/>
              <w:rPr>
                <w:rFonts w:ascii="Arial" w:hAnsi="Arial" w:cs="Arial"/>
                <w:sz w:val="20"/>
                <w:szCs w:val="20"/>
              </w:rPr>
            </w:pPr>
            <w:r>
              <w:rPr>
                <w:rFonts w:cs="Arial" w:ascii="Arial" w:hAnsi="Arial"/>
                <w:sz w:val="20"/>
                <w:szCs w:val="20"/>
              </w:rPr>
              <w:t>QUADROS, R. M. de. O tradutor e intérprete de língua brasileira de sinais e língua portuguesa / Secretaria de Educação Especial; Programa Nacional de Apoio à Educação de Surdos - Brasília: MEC; SEESP, 2004.</w:t>
            </w:r>
          </w:p>
          <w:p>
            <w:pPr>
              <w:pStyle w:val="Normal"/>
              <w:spacing w:lineRule="auto" w:line="240" w:before="0" w:after="0"/>
              <w:jc w:val="both"/>
              <w:rPr>
                <w:rFonts w:ascii="Arial" w:hAnsi="Arial" w:cs="Arial"/>
                <w:b/>
                <w:b/>
              </w:rPr>
            </w:pPr>
            <w:r>
              <w:rPr>
                <w:rFonts w:cs="Arial" w:ascii="Arial" w:hAnsi="Arial"/>
                <w:sz w:val="20"/>
                <w:szCs w:val="20"/>
              </w:rPr>
              <w:t>ROCHA, Solange Maria da. O INES e a educação de surdos no Brasil: aspectos da trajetória do Instituto Nacional de Educação de Surdos em seu percurso de 150 anos. Rio de Janeiro: INES, 2007. 140 p., il.</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Normal"/>
              <w:spacing w:before="0" w:after="0"/>
              <w:jc w:val="both"/>
              <w:rPr>
                <w:rFonts w:ascii="Arial" w:hAnsi="Arial" w:cs="Arial"/>
                <w:sz w:val="20"/>
                <w:szCs w:val="20"/>
              </w:rPr>
            </w:pPr>
            <w:r>
              <w:rPr>
                <w:rFonts w:cs="Arial" w:ascii="Arial" w:hAnsi="Arial"/>
                <w:sz w:val="20"/>
                <w:szCs w:val="20"/>
              </w:rPr>
              <w:t>ALBRES, Neiva de Aquino. NEVES, Sylvia Lia Grespan. De Sinal em Sinal: comunicação em LIBRAS para aperfeiçoamento do ensino dos componentes curriculares. 1ª edição – São Paulo SP, 2008.</w:t>
            </w:r>
          </w:p>
          <w:p>
            <w:pPr>
              <w:pStyle w:val="Normal"/>
              <w:spacing w:before="0" w:after="0"/>
              <w:jc w:val="both"/>
              <w:rPr>
                <w:rFonts w:ascii="Arial" w:hAnsi="Arial" w:cs="Arial"/>
                <w:sz w:val="20"/>
                <w:szCs w:val="20"/>
              </w:rPr>
            </w:pPr>
            <w:r>
              <w:rPr>
                <w:rFonts w:cs="Arial" w:ascii="Arial" w:hAnsi="Arial"/>
                <w:sz w:val="20"/>
                <w:szCs w:val="20"/>
              </w:rPr>
              <w:t>BRITO, Lucinda Ferreira. Por uma gramática de línguas de sinais. Rio de Janeiro: Tempo Brasileiro: UFRJ, Departamento de Linguística e Filologia, 1995.</w:t>
            </w:r>
          </w:p>
          <w:p>
            <w:pPr>
              <w:pStyle w:val="Normal"/>
              <w:spacing w:before="0" w:after="0"/>
              <w:jc w:val="both"/>
              <w:rPr>
                <w:rFonts w:ascii="Arial" w:hAnsi="Arial" w:cs="Arial"/>
                <w:sz w:val="20"/>
                <w:szCs w:val="20"/>
              </w:rPr>
            </w:pPr>
            <w:r>
              <w:rPr>
                <w:rFonts w:cs="Arial" w:ascii="Arial" w:hAnsi="Arial"/>
                <w:sz w:val="20"/>
                <w:szCs w:val="20"/>
              </w:rPr>
              <w:t>GOLDFELD, Marcia. A criança surda: linguagem e cognição numa perspectiva sociointeracionista. 2. ed. São Paulo: Plexus Editora, 2002.</w:t>
            </w:r>
          </w:p>
          <w:p>
            <w:pPr>
              <w:pStyle w:val="Default"/>
              <w:spacing w:before="0" w:after="0"/>
              <w:jc w:val="both"/>
              <w:rPr>
                <w:rFonts w:ascii="Arial" w:hAnsi="Arial" w:cs="Arial"/>
                <w:color w:val="00000A"/>
                <w:sz w:val="20"/>
                <w:szCs w:val="20"/>
              </w:rPr>
            </w:pPr>
            <w:r>
              <w:rPr>
                <w:rFonts w:cs="Arial" w:ascii="Arial" w:hAnsi="Arial"/>
                <w:color w:val="00000A"/>
                <w:sz w:val="20"/>
                <w:szCs w:val="20"/>
              </w:rPr>
              <w:t xml:space="preserve">SKLIAR, C. (org.) </w:t>
            </w:r>
            <w:r>
              <w:rPr>
                <w:rFonts w:cs="Arial" w:ascii="Arial" w:hAnsi="Arial"/>
                <w:i/>
                <w:iCs/>
                <w:color w:val="00000A"/>
                <w:sz w:val="20"/>
                <w:szCs w:val="20"/>
              </w:rPr>
              <w:t xml:space="preserve">A Surdez: um olhar sobre as diferenças. </w:t>
            </w:r>
            <w:r>
              <w:rPr>
                <w:rFonts w:cs="Arial" w:ascii="Arial" w:hAnsi="Arial"/>
                <w:color w:val="00000A"/>
                <w:sz w:val="20"/>
                <w:szCs w:val="20"/>
              </w:rPr>
              <w:t xml:space="preserve">Porto Alegre: Editora Mediação, 1998. </w:t>
            </w:r>
          </w:p>
          <w:p>
            <w:pPr>
              <w:pStyle w:val="Normal"/>
              <w:spacing w:before="0" w:after="0"/>
              <w:jc w:val="both"/>
              <w:rPr>
                <w:rFonts w:ascii="Arial" w:hAnsi="Arial" w:cs="Arial"/>
                <w:b/>
                <w:b/>
                <w:sz w:val="20"/>
                <w:szCs w:val="20"/>
              </w:rPr>
            </w:pPr>
            <w:r>
              <w:rPr>
                <w:rFonts w:cs="Arial" w:ascii="Arial" w:hAnsi="Arial"/>
                <w:sz w:val="20"/>
                <w:szCs w:val="20"/>
              </w:rPr>
              <w:t xml:space="preserve">THOMA, A. da S. e LOPES, M. C. (orgs). </w:t>
            </w:r>
            <w:r>
              <w:rPr>
                <w:rFonts w:cs="Arial" w:ascii="Arial" w:hAnsi="Arial"/>
                <w:i/>
                <w:iCs/>
                <w:sz w:val="20"/>
                <w:szCs w:val="20"/>
              </w:rPr>
              <w:t xml:space="preserve">A Invenção da Surdez: Cultura, alteridade, Identidade e Diferença no campo da educação. </w:t>
            </w:r>
            <w:r>
              <w:rPr>
                <w:rFonts w:cs="Arial" w:ascii="Arial" w:hAnsi="Arial"/>
                <w:sz w:val="20"/>
                <w:szCs w:val="20"/>
              </w:rPr>
              <w:t>Santa Cruz do Sul: EDUNISC, 2004.</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b/>
                <w:u w:val="single"/>
              </w:rPr>
              <w:t xml:space="preserve"> Política, Cidadania e Direitos Humanos no Brasil</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shd w:fill="FFFFFF" w:val="clear"/>
              </w:rPr>
              <w:t xml:space="preserve"> </w:t>
            </w:r>
            <w:r>
              <w:rPr>
                <w:rFonts w:cs="Arial" w:ascii="Arial" w:hAnsi="Arial"/>
              </w:rPr>
              <w:t xml:space="preserve">Estado, política, cidadania e democracia ao longo da história do Brasil. Os direitos civis, políticos e sociais. Movimentos sociais e participação da sociedade. A situação dos jovens em </w:t>
            </w:r>
            <w:r>
              <w:rPr>
                <w:rFonts w:cs="Arial" w:ascii="Arial" w:hAnsi="Arial"/>
                <w:lang w:eastAsia="ar-SA"/>
              </w:rPr>
              <w:t>cumprimento de medidas socioeducativas: a necessidade do debate.</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CARVALHO, José Murilo de. </w:t>
            </w:r>
            <w:r>
              <w:rPr>
                <w:rFonts w:cs="Arial" w:ascii="Arial" w:hAnsi="Arial"/>
                <w:bCs/>
                <w:i/>
                <w:color w:val="00000A"/>
                <w:sz w:val="20"/>
                <w:szCs w:val="22"/>
              </w:rPr>
              <w:t>Cidadania no Brasil</w:t>
            </w:r>
            <w:r>
              <w:rPr>
                <w:rFonts w:cs="Arial" w:ascii="Arial" w:hAnsi="Arial"/>
                <w:bCs/>
                <w:color w:val="00000A"/>
                <w:sz w:val="20"/>
                <w:szCs w:val="22"/>
              </w:rPr>
              <w:t>: o longo caminho</w:t>
            </w:r>
            <w:r>
              <w:rPr>
                <w:rFonts w:cs="Arial" w:ascii="Arial" w:hAnsi="Arial"/>
                <w:color w:val="00000A"/>
                <w:sz w:val="20"/>
                <w:szCs w:val="22"/>
              </w:rPr>
              <w:t>. Rio de Janeiro: Civilização Brasileira, 2002.</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DAGNINO, Evelina (org). </w:t>
            </w:r>
            <w:r>
              <w:rPr>
                <w:rFonts w:cs="Arial" w:ascii="Arial" w:hAnsi="Arial"/>
                <w:bCs/>
                <w:i/>
                <w:color w:val="00000A"/>
                <w:sz w:val="20"/>
                <w:szCs w:val="22"/>
              </w:rPr>
              <w:t>Anos 90</w:t>
            </w:r>
            <w:r>
              <w:rPr>
                <w:rFonts w:cs="Arial" w:ascii="Arial" w:hAnsi="Arial"/>
                <w:bCs/>
                <w:color w:val="00000A"/>
                <w:sz w:val="20"/>
                <w:szCs w:val="22"/>
              </w:rPr>
              <w:t>: política e sociedade no Brasil</w:t>
            </w:r>
            <w:r>
              <w:rPr>
                <w:rFonts w:cs="Arial" w:ascii="Arial" w:hAnsi="Arial"/>
                <w:color w:val="00000A"/>
                <w:sz w:val="20"/>
                <w:szCs w:val="22"/>
              </w:rPr>
              <w:t>. São Paulo: Brasiliense. 1994.</w:t>
            </w:r>
          </w:p>
          <w:p>
            <w:pPr>
              <w:pStyle w:val="Normal"/>
              <w:spacing w:before="0" w:after="0"/>
              <w:jc w:val="both"/>
              <w:rPr>
                <w:rFonts w:ascii="Arial" w:hAnsi="Arial" w:cs="Arial"/>
                <w:b/>
                <w:b/>
              </w:rPr>
            </w:pPr>
            <w:r>
              <w:rPr>
                <w:rFonts w:cs="Arial" w:ascii="Arial" w:hAnsi="Arial"/>
                <w:sz w:val="20"/>
              </w:rPr>
              <w:t xml:space="preserve">PINSKY, Jaime; PINSKY, Carla Bassanezi (Orgs). </w:t>
            </w:r>
            <w:r>
              <w:rPr>
                <w:rFonts w:cs="Arial" w:ascii="Arial" w:hAnsi="Arial"/>
                <w:bCs/>
                <w:i/>
                <w:sz w:val="20"/>
              </w:rPr>
              <w:t>História da cidadania</w:t>
            </w:r>
            <w:r>
              <w:rPr>
                <w:rFonts w:cs="Arial" w:ascii="Arial" w:hAnsi="Arial"/>
                <w:b/>
                <w:bCs/>
                <w:sz w:val="20"/>
              </w:rPr>
              <w:t xml:space="preserve">. </w:t>
            </w:r>
            <w:r>
              <w:rPr>
                <w:rFonts w:cs="Arial" w:ascii="Arial" w:hAnsi="Arial"/>
                <w:sz w:val="20"/>
              </w:rPr>
              <w:t>São Paulo, Ed. Contexto, 2003.</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BECKER, Antonio; CAVALCANTI, Vanuza. </w:t>
            </w:r>
            <w:r>
              <w:rPr>
                <w:rFonts w:cs="Arial" w:ascii="Arial" w:hAnsi="Arial"/>
                <w:bCs/>
                <w:i/>
                <w:color w:val="00000A"/>
                <w:sz w:val="20"/>
                <w:szCs w:val="22"/>
              </w:rPr>
              <w:t>Constituições brasileiras de 1824 a 1988</w:t>
            </w:r>
            <w:r>
              <w:rPr>
                <w:rFonts w:cs="Arial" w:ascii="Arial" w:hAnsi="Arial"/>
                <w:i/>
                <w:color w:val="00000A"/>
                <w:sz w:val="20"/>
                <w:szCs w:val="22"/>
              </w:rPr>
              <w:t xml:space="preserve">. </w:t>
            </w:r>
            <w:r>
              <w:rPr>
                <w:rFonts w:cs="Arial" w:ascii="Arial" w:hAnsi="Arial"/>
                <w:color w:val="00000A"/>
                <w:sz w:val="20"/>
                <w:szCs w:val="22"/>
              </w:rPr>
              <w:t>Rio de Janeiro: Letra Legal, 2004.</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shd w:fill="FFFFFF" w:val="clear"/>
              </w:rPr>
              <w:t xml:space="preserve">BENEVIDES, Maria Vitória. </w:t>
            </w:r>
            <w:r>
              <w:rPr>
                <w:rFonts w:cs="Arial" w:ascii="Arial" w:hAnsi="Arial"/>
                <w:i/>
                <w:color w:val="00000A"/>
                <w:sz w:val="20"/>
                <w:szCs w:val="22"/>
                <w:shd w:fill="FFFFFF" w:val="clear"/>
              </w:rPr>
              <w:t>A cidadania ativa</w:t>
            </w:r>
            <w:r>
              <w:rPr>
                <w:rFonts w:cs="Arial" w:ascii="Arial" w:hAnsi="Arial"/>
                <w:b/>
                <w:color w:val="00000A"/>
                <w:sz w:val="20"/>
                <w:szCs w:val="22"/>
                <w:shd w:fill="FFFFFF" w:val="clear"/>
              </w:rPr>
              <w:t xml:space="preserve">: </w:t>
            </w:r>
            <w:r>
              <w:rPr>
                <w:rFonts w:cs="Arial" w:ascii="Arial" w:hAnsi="Arial"/>
                <w:color w:val="00000A"/>
                <w:sz w:val="20"/>
                <w:szCs w:val="22"/>
                <w:shd w:fill="FFFFFF" w:val="clear"/>
              </w:rPr>
              <w:t>referendo, plebiscito e iniciativa popular. São Paulo: Ática, 1991. v. 1. 208 p.</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CARVALHO, José Murilo de (org). </w:t>
            </w:r>
            <w:r>
              <w:rPr>
                <w:rFonts w:cs="Arial" w:ascii="Arial" w:hAnsi="Arial"/>
                <w:bCs/>
                <w:i/>
                <w:color w:val="00000A"/>
                <w:sz w:val="20"/>
                <w:szCs w:val="22"/>
              </w:rPr>
              <w:t>Nação e cidadania no Império</w:t>
            </w:r>
            <w:r>
              <w:rPr>
                <w:rFonts w:cs="Arial" w:ascii="Arial" w:hAnsi="Arial"/>
                <w:color w:val="00000A"/>
                <w:sz w:val="20"/>
                <w:szCs w:val="22"/>
              </w:rPr>
              <w:t>: novos horizontes. Rio de Janeiro: Civilização Brasileira, 2007.</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DALLARI, Dalmo. </w:t>
            </w:r>
            <w:r>
              <w:rPr>
                <w:rFonts w:cs="Arial" w:ascii="Arial" w:hAnsi="Arial"/>
                <w:bCs/>
                <w:i/>
                <w:color w:val="00000A"/>
                <w:sz w:val="20"/>
                <w:szCs w:val="22"/>
              </w:rPr>
              <w:t>Direitos humanos e cidadania</w:t>
            </w:r>
            <w:r>
              <w:rPr>
                <w:rFonts w:cs="Arial" w:ascii="Arial" w:hAnsi="Arial"/>
                <w:color w:val="00000A"/>
                <w:sz w:val="20"/>
                <w:szCs w:val="22"/>
              </w:rPr>
              <w:t>. São Paulo: Moderna, 1998.</w:t>
            </w:r>
          </w:p>
          <w:p>
            <w:pPr>
              <w:pStyle w:val="Normal"/>
              <w:spacing w:before="0" w:after="0"/>
              <w:jc w:val="both"/>
              <w:rPr>
                <w:rFonts w:ascii="Arial" w:hAnsi="Arial" w:cs="Arial"/>
                <w:b/>
                <w:b/>
              </w:rPr>
            </w:pPr>
            <w:r>
              <w:rPr>
                <w:rStyle w:val="Nfase"/>
                <w:rFonts w:cs="Arial" w:ascii="Arial" w:hAnsi="Arial"/>
                <w:bCs/>
                <w:i w:val="false"/>
                <w:sz w:val="20"/>
                <w:shd w:fill="FFFFFF" w:val="clear"/>
              </w:rPr>
              <w:t>ZALUAR,</w:t>
            </w:r>
            <w:r>
              <w:rPr>
                <w:rStyle w:val="Nfase"/>
                <w:rFonts w:cs="Arial" w:ascii="Arial" w:hAnsi="Arial"/>
                <w:bCs/>
                <w:sz w:val="20"/>
                <w:shd w:fill="FFFFFF" w:val="clear"/>
              </w:rPr>
              <w:t xml:space="preserve"> Alba.</w:t>
            </w:r>
            <w:r>
              <w:rPr>
                <w:rStyle w:val="Nfase"/>
                <w:rFonts w:cs="Arial" w:ascii="Arial" w:hAnsi="Arial"/>
                <w:b/>
                <w:bCs/>
                <w:sz w:val="20"/>
                <w:shd w:fill="FFFFFF" w:val="clear"/>
              </w:rPr>
              <w:t xml:space="preserve"> </w:t>
            </w:r>
            <w:r>
              <w:rPr>
                <w:rStyle w:val="Nfase"/>
                <w:rFonts w:cs="Arial" w:ascii="Arial" w:hAnsi="Arial"/>
                <w:bCs/>
                <w:sz w:val="20"/>
                <w:shd w:fill="FFFFFF" w:val="clear"/>
              </w:rPr>
              <w:t>Cidadãos não vão ao Paraíso</w:t>
            </w:r>
            <w:r>
              <w:rPr>
                <w:rFonts w:cs="Arial" w:ascii="Arial" w:hAnsi="Arial"/>
                <w:sz w:val="20"/>
                <w:shd w:fill="FFFFFF" w:val="clear"/>
              </w:rPr>
              <w:t>. São Paulo: Escuta; Unicamp, 1988.</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b/>
                <w:u w:val="single"/>
              </w:rPr>
              <w:t xml:space="preserve"> Cultura e Identidade no Mundo Pós-Colonial</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B)</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shd w:fill="FFFFFF" w:val="clear"/>
              </w:rPr>
              <w:t xml:space="preserve"> </w:t>
            </w:r>
            <w:r>
              <w:rPr>
                <w:rFonts w:cs="Arial" w:ascii="Arial" w:hAnsi="Arial"/>
              </w:rPr>
              <w:t>Os estudos pós-coloniais. Produção historiográfica referente ao ensino da cultura e identidade no mundo pós-colonial. A crítica histórica e interdisciplinar ao Orientalismo. Descolonização e construção de Identidades. As sociedades pós-coloniais e as relações de resistência, assimilação e ressignificação da cultura. Multiculturalismo, hibridismo e transculturação.</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BHABHA, Homi K. </w:t>
            </w:r>
            <w:r>
              <w:rPr>
                <w:rFonts w:cs="Arial" w:ascii="Arial" w:hAnsi="Arial"/>
                <w:i/>
                <w:color w:val="00000A"/>
                <w:sz w:val="20"/>
                <w:szCs w:val="22"/>
              </w:rPr>
              <w:t>O local da cultura.</w:t>
            </w:r>
            <w:r>
              <w:rPr>
                <w:rFonts w:cs="Arial" w:ascii="Arial" w:hAnsi="Arial"/>
                <w:color w:val="00000A"/>
                <w:sz w:val="20"/>
                <w:szCs w:val="22"/>
              </w:rPr>
              <w:t xml:space="preserve"> Belo Horizonte: Editora da UFMG, 2001.</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CÉSAIRE, Aimé. </w:t>
            </w:r>
            <w:r>
              <w:rPr>
                <w:rFonts w:cs="Arial" w:ascii="Arial" w:hAnsi="Arial"/>
                <w:i/>
                <w:color w:val="00000A"/>
                <w:sz w:val="20"/>
                <w:szCs w:val="22"/>
              </w:rPr>
              <w:t>Discurso sobre colonialismo.</w:t>
            </w:r>
            <w:r>
              <w:rPr>
                <w:rFonts w:cs="Arial" w:ascii="Arial" w:hAnsi="Arial"/>
                <w:color w:val="00000A"/>
                <w:sz w:val="20"/>
                <w:szCs w:val="22"/>
              </w:rPr>
              <w:t xml:space="preserve"> Blumenau: Letras Contemporâneas, 2010.</w:t>
            </w:r>
          </w:p>
          <w:p>
            <w:pPr>
              <w:pStyle w:val="Normal"/>
              <w:spacing w:before="0" w:after="0"/>
              <w:jc w:val="both"/>
              <w:rPr>
                <w:rFonts w:ascii="Arial" w:hAnsi="Arial" w:cs="Arial"/>
                <w:b/>
                <w:b/>
              </w:rPr>
            </w:pPr>
            <w:r>
              <w:rPr>
                <w:rFonts w:cs="Arial" w:ascii="Arial" w:hAnsi="Arial"/>
                <w:sz w:val="20"/>
              </w:rPr>
              <w:t xml:space="preserve">HALL, Stuart. </w:t>
            </w:r>
            <w:r>
              <w:rPr>
                <w:rFonts w:cs="Arial" w:ascii="Arial" w:hAnsi="Arial"/>
                <w:i/>
                <w:sz w:val="20"/>
              </w:rPr>
              <w:t>Da Diáspora:</w:t>
            </w:r>
            <w:r>
              <w:rPr>
                <w:rFonts w:cs="Arial" w:ascii="Arial" w:hAnsi="Arial"/>
                <w:sz w:val="20"/>
              </w:rPr>
              <w:t xml:space="preserve"> identidades e mediações culturais. Belo Horizonte: Editora da UFMG, 2003.</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SAID, Edward. </w:t>
            </w:r>
            <w:r>
              <w:rPr>
                <w:rFonts w:cs="Arial" w:ascii="Arial" w:hAnsi="Arial"/>
                <w:i/>
                <w:color w:val="00000A"/>
                <w:sz w:val="20"/>
                <w:szCs w:val="22"/>
              </w:rPr>
              <w:t>Orientalismo:</w:t>
            </w:r>
            <w:r>
              <w:rPr>
                <w:rFonts w:cs="Arial" w:ascii="Arial" w:hAnsi="Arial"/>
                <w:color w:val="00000A"/>
                <w:sz w:val="20"/>
                <w:szCs w:val="22"/>
              </w:rPr>
              <w:t xml:space="preserve"> o oriente como invenção do ocidente. São Paulo: Companhia das Letras, 1990.</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SHOHAT, Ella, STAM, Rober. </w:t>
            </w:r>
            <w:r>
              <w:rPr>
                <w:rFonts w:cs="Arial" w:ascii="Arial" w:hAnsi="Arial"/>
                <w:i/>
                <w:color w:val="00000A"/>
                <w:sz w:val="20"/>
                <w:szCs w:val="22"/>
              </w:rPr>
              <w:t>Crítica da imagem eurocêntrica.</w:t>
            </w:r>
            <w:r>
              <w:rPr>
                <w:rFonts w:cs="Arial" w:ascii="Arial" w:hAnsi="Arial"/>
                <w:color w:val="00000A"/>
                <w:sz w:val="20"/>
                <w:szCs w:val="22"/>
              </w:rPr>
              <w:t xml:space="preserve"> Multiculturalismo e representação. São Paulo: Cosac Naify, 2006.</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SILVA, Tomaz Tadeu da (org). </w:t>
            </w:r>
            <w:r>
              <w:rPr>
                <w:rFonts w:cs="Arial" w:ascii="Arial" w:hAnsi="Arial"/>
                <w:i/>
                <w:color w:val="00000A"/>
                <w:sz w:val="20"/>
                <w:szCs w:val="22"/>
              </w:rPr>
              <w:t>O que é, afinal, estudos culturais?</w:t>
            </w:r>
            <w:r>
              <w:rPr>
                <w:rFonts w:cs="Arial" w:ascii="Arial" w:hAnsi="Arial"/>
                <w:color w:val="00000A"/>
                <w:sz w:val="20"/>
                <w:szCs w:val="22"/>
              </w:rPr>
              <w:t xml:space="preserve"> 3ª ed. Belo Horizonte: Autêntica, 2006.</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SILVA, Tomaz Tadeu da (Org). </w:t>
            </w:r>
            <w:r>
              <w:rPr>
                <w:rFonts w:cs="Arial" w:ascii="Arial" w:hAnsi="Arial"/>
                <w:i/>
                <w:color w:val="00000A"/>
                <w:sz w:val="20"/>
                <w:szCs w:val="22"/>
              </w:rPr>
              <w:t>Identidade e diferença:</w:t>
            </w:r>
            <w:r>
              <w:rPr>
                <w:rFonts w:cs="Arial" w:ascii="Arial" w:hAnsi="Arial"/>
                <w:color w:val="00000A"/>
                <w:sz w:val="20"/>
                <w:szCs w:val="22"/>
              </w:rPr>
              <w:t xml:space="preserve"> a perspectiva dos estudos culturais. Petrópolis: Vozes, 2000.</w:t>
            </w:r>
          </w:p>
          <w:p>
            <w:pPr>
              <w:pStyle w:val="Normal"/>
              <w:spacing w:before="0" w:after="0"/>
              <w:jc w:val="both"/>
              <w:rPr>
                <w:rFonts w:ascii="Arial" w:hAnsi="Arial" w:cs="Arial"/>
                <w:b/>
                <w:b/>
              </w:rPr>
            </w:pPr>
            <w:r>
              <w:rPr>
                <w:rFonts w:eastAsia="Times New Roman" w:cs="Arial" w:ascii="Arial" w:hAnsi="Arial"/>
                <w:sz w:val="20"/>
                <w:lang w:eastAsia="pt-BR"/>
              </w:rPr>
              <w:t xml:space="preserve">SPIVAK, Gayatri C. </w:t>
            </w:r>
            <w:r>
              <w:rPr>
                <w:rFonts w:eastAsia="Times New Roman" w:cs="Arial" w:ascii="Arial" w:hAnsi="Arial"/>
                <w:i/>
                <w:sz w:val="20"/>
                <w:lang w:eastAsia="pt-BR"/>
              </w:rPr>
              <w:t>Pode o Subalterno Falar?</w:t>
            </w:r>
            <w:r>
              <w:rPr>
                <w:rFonts w:eastAsia="Times New Roman" w:cs="Arial" w:ascii="Arial" w:hAnsi="Arial"/>
                <w:sz w:val="20"/>
                <w:lang w:eastAsia="pt-BR"/>
              </w:rPr>
              <w:t xml:space="preserve"> Belo Horizonte: Editora da UFMG, 2010.</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u w:val="single"/>
              </w:rPr>
            </w:pPr>
            <w:r>
              <w:rPr>
                <w:rFonts w:cs="Arial" w:ascii="Arial" w:hAnsi="Arial"/>
                <w:b/>
              </w:rPr>
              <w:t xml:space="preserve">Unidade Curricular: </w:t>
            </w:r>
            <w:r>
              <w:rPr>
                <w:rFonts w:cs="Arial" w:ascii="Arial" w:hAnsi="Arial"/>
                <w:b/>
                <w:u w:val="single"/>
              </w:rPr>
              <w:t>Direitos Humanos e cidadania</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A)</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shd w:fill="FFFFFF" w:val="clear"/>
              </w:rPr>
              <w:t xml:space="preserve"> </w:t>
            </w:r>
            <w:r>
              <w:rPr>
                <w:rFonts w:cs="Arial" w:ascii="Arial" w:hAnsi="Arial"/>
                <w:color w:val="000000"/>
              </w:rPr>
              <w:t>Fundamentos e argumentos teórico-históricos da fundação do Estado Moderno ao Liberalismo. Nesse contexto: o desenvolvimento da democracia e as reivindicações derivadas da afirmação dos direitos humanos. Os direitos humanos na história do Brasil. Relação em direitos humanos e cidadania. A formação da cidadania das lutas pela ampliação da cidadania no século XIX às reinterpretações no século XXI.</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NormalWeb"/>
              <w:spacing w:beforeAutospacing="0" w:before="0" w:afterAutospacing="0" w:after="0"/>
              <w:jc w:val="both"/>
              <w:rPr>
                <w:rFonts w:ascii="Arial" w:hAnsi="Arial" w:cs="Arial"/>
                <w:color w:val="000000"/>
                <w:sz w:val="20"/>
                <w:szCs w:val="22"/>
              </w:rPr>
            </w:pPr>
            <w:r>
              <w:rPr>
                <w:rFonts w:cs="Arial" w:ascii="Arial" w:hAnsi="Arial"/>
                <w:color w:val="000000"/>
                <w:sz w:val="20"/>
                <w:szCs w:val="22"/>
              </w:rPr>
              <w:t xml:space="preserve">CARVALHO, José Murilo de. </w:t>
            </w:r>
            <w:r>
              <w:rPr>
                <w:rFonts w:cs="Arial" w:ascii="Arial" w:hAnsi="Arial"/>
                <w:bCs/>
                <w:i/>
                <w:color w:val="000000"/>
                <w:sz w:val="20"/>
                <w:szCs w:val="22"/>
              </w:rPr>
              <w:t>Cidadania no Brasil:</w:t>
            </w:r>
            <w:r>
              <w:rPr>
                <w:rFonts w:cs="Arial" w:ascii="Arial" w:hAnsi="Arial"/>
                <w:b/>
                <w:bCs/>
                <w:color w:val="000000"/>
                <w:sz w:val="20"/>
                <w:szCs w:val="22"/>
              </w:rPr>
              <w:t xml:space="preserve"> </w:t>
            </w:r>
            <w:r>
              <w:rPr>
                <w:rFonts w:cs="Arial" w:ascii="Arial" w:hAnsi="Arial"/>
                <w:bCs/>
                <w:color w:val="000000"/>
                <w:sz w:val="20"/>
                <w:szCs w:val="22"/>
              </w:rPr>
              <w:t>o longo caminho</w:t>
            </w:r>
            <w:r>
              <w:rPr>
                <w:rFonts w:cs="Arial" w:ascii="Arial" w:hAnsi="Arial"/>
                <w:color w:val="000000"/>
                <w:sz w:val="20"/>
                <w:szCs w:val="22"/>
              </w:rPr>
              <w:t>. Rio de Janeiro: Civilização Brasileira, 2002.</w:t>
            </w:r>
          </w:p>
          <w:p>
            <w:pPr>
              <w:pStyle w:val="NormalWeb"/>
              <w:spacing w:beforeAutospacing="0" w:before="0" w:afterAutospacing="0" w:after="0"/>
              <w:jc w:val="both"/>
              <w:rPr>
                <w:rFonts w:ascii="Arial" w:hAnsi="Arial" w:cs="Arial"/>
                <w:color w:val="000000"/>
                <w:sz w:val="20"/>
                <w:szCs w:val="22"/>
              </w:rPr>
            </w:pPr>
            <w:r>
              <w:rPr>
                <w:rFonts w:cs="Arial" w:ascii="Arial" w:hAnsi="Arial"/>
                <w:sz w:val="20"/>
                <w:szCs w:val="22"/>
              </w:rPr>
              <w:t xml:space="preserve">DALLARI, Dalmo. </w:t>
            </w:r>
            <w:r>
              <w:rPr>
                <w:rFonts w:cs="Arial" w:ascii="Arial" w:hAnsi="Arial"/>
                <w:bCs/>
                <w:i/>
                <w:sz w:val="20"/>
                <w:szCs w:val="22"/>
              </w:rPr>
              <w:t>Direitos Humanos e Cidadania</w:t>
            </w:r>
            <w:r>
              <w:rPr>
                <w:rFonts w:cs="Arial" w:ascii="Arial" w:hAnsi="Arial"/>
                <w:i/>
                <w:sz w:val="20"/>
                <w:szCs w:val="22"/>
              </w:rPr>
              <w:t>.</w:t>
            </w:r>
            <w:r>
              <w:rPr>
                <w:rFonts w:cs="Arial" w:ascii="Arial" w:hAnsi="Arial"/>
                <w:sz w:val="20"/>
                <w:szCs w:val="22"/>
              </w:rPr>
              <w:t xml:space="preserve"> São Paulo: Moderna, 1998.</w:t>
            </w:r>
          </w:p>
          <w:p>
            <w:pPr>
              <w:pStyle w:val="Normal"/>
              <w:spacing w:before="0" w:after="0"/>
              <w:jc w:val="both"/>
              <w:rPr>
                <w:rFonts w:ascii="Arial" w:hAnsi="Arial" w:cs="Arial"/>
                <w:color w:val="000000"/>
              </w:rPr>
            </w:pPr>
            <w:r>
              <w:rPr>
                <w:rFonts w:cs="Arial" w:ascii="Arial" w:hAnsi="Arial"/>
                <w:color w:val="000000"/>
                <w:sz w:val="20"/>
              </w:rPr>
              <w:t xml:space="preserve">PINSKY, Jaime; PINSKY, Carla Bassanezi (Orgs). </w:t>
            </w:r>
            <w:r>
              <w:rPr>
                <w:rFonts w:cs="Arial" w:ascii="Arial" w:hAnsi="Arial"/>
                <w:bCs/>
                <w:i/>
                <w:color w:val="000000"/>
                <w:sz w:val="20"/>
              </w:rPr>
              <w:t>História da Cidadania</w:t>
            </w:r>
            <w:r>
              <w:rPr>
                <w:rFonts w:cs="Arial" w:ascii="Arial" w:hAnsi="Arial"/>
                <w:i/>
                <w:color w:val="000000"/>
                <w:sz w:val="20"/>
              </w:rPr>
              <w:t>.</w:t>
            </w:r>
            <w:r>
              <w:rPr>
                <w:rFonts w:cs="Arial" w:ascii="Arial" w:hAnsi="Arial"/>
                <w:color w:val="000000"/>
                <w:sz w:val="20"/>
              </w:rPr>
              <w:t xml:space="preserve"> São Paulo, Ed. Contexto, 2003.</w:t>
            </w:r>
          </w:p>
        </w:tc>
      </w:tr>
      <w:tr>
        <w:trPr/>
        <w:tc>
          <w:tcPr>
            <w:tcW w:w="8494" w:type="dxa"/>
            <w:tcBorders>
              <w:top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Bibliografia Complementar:</w:t>
            </w:r>
          </w:p>
          <w:p>
            <w:pPr>
              <w:pStyle w:val="Normal"/>
              <w:spacing w:lineRule="auto" w:line="240" w:before="0" w:after="0"/>
              <w:jc w:val="both"/>
              <w:rPr>
                <w:rFonts w:ascii="Arial" w:hAnsi="Arial" w:cs="Arial"/>
                <w:sz w:val="20"/>
              </w:rPr>
            </w:pPr>
            <w:r>
              <w:rPr>
                <w:rFonts w:cs="Arial" w:ascii="Arial" w:hAnsi="Arial"/>
                <w:sz w:val="20"/>
              </w:rPr>
              <w:t xml:space="preserve">CARVALHO, José Murilo de (org). </w:t>
            </w:r>
            <w:r>
              <w:rPr>
                <w:rFonts w:cs="Arial" w:ascii="Arial" w:hAnsi="Arial"/>
                <w:bCs/>
                <w:i/>
                <w:sz w:val="20"/>
              </w:rPr>
              <w:t>Nação e cidadania no Império</w:t>
            </w:r>
            <w:r>
              <w:rPr>
                <w:rFonts w:cs="Arial" w:ascii="Arial" w:hAnsi="Arial"/>
                <w:i/>
                <w:sz w:val="20"/>
              </w:rPr>
              <w:t>:</w:t>
            </w:r>
            <w:r>
              <w:rPr>
                <w:rFonts w:cs="Arial" w:ascii="Arial" w:hAnsi="Arial"/>
                <w:sz w:val="20"/>
              </w:rPr>
              <w:t xml:space="preserve"> novos horizontes. Rio de Janeiro:</w:t>
            </w:r>
          </w:p>
          <w:p>
            <w:pPr>
              <w:pStyle w:val="Normal"/>
              <w:spacing w:lineRule="auto" w:line="240" w:before="0" w:after="0"/>
              <w:jc w:val="both"/>
              <w:rPr>
                <w:rFonts w:ascii="Arial" w:hAnsi="Arial" w:cs="Arial"/>
                <w:sz w:val="20"/>
              </w:rPr>
            </w:pPr>
            <w:r>
              <w:rPr>
                <w:rFonts w:cs="Arial" w:ascii="Arial" w:hAnsi="Arial"/>
                <w:sz w:val="20"/>
              </w:rPr>
              <w:t>Civilização Brasileira, 2007.</w:t>
            </w:r>
          </w:p>
          <w:p>
            <w:pPr>
              <w:pStyle w:val="Normal"/>
              <w:spacing w:lineRule="auto" w:line="240" w:before="0" w:after="0"/>
              <w:jc w:val="both"/>
              <w:rPr>
                <w:rFonts w:ascii="Arial" w:hAnsi="Arial" w:cs="Arial"/>
                <w:sz w:val="20"/>
              </w:rPr>
            </w:pPr>
            <w:r>
              <w:rPr>
                <w:rFonts w:cs="Arial" w:ascii="Arial" w:hAnsi="Arial"/>
                <w:sz w:val="20"/>
              </w:rPr>
              <w:t xml:space="preserve">CORDEIRO, A. PINHEIRO, A. </w:t>
            </w:r>
            <w:r>
              <w:rPr>
                <w:rFonts w:cs="Arial" w:ascii="Arial" w:hAnsi="Arial"/>
                <w:i/>
                <w:sz w:val="20"/>
              </w:rPr>
              <w:t>Direitos Humanos de Crianças e Adolescentes: aprendizagens compartilhadas.</w:t>
            </w:r>
            <w:r>
              <w:rPr>
                <w:rFonts w:cs="Arial" w:ascii="Arial" w:hAnsi="Arial"/>
                <w:sz w:val="20"/>
              </w:rPr>
              <w:t xml:space="preserve">  Fortaleza, NUCEPEC, 2009.</w:t>
            </w:r>
          </w:p>
          <w:p>
            <w:pPr>
              <w:pStyle w:val="Normal"/>
              <w:spacing w:lineRule="auto" w:line="240" w:before="0" w:after="0"/>
              <w:jc w:val="both"/>
              <w:rPr>
                <w:rFonts w:ascii="Arial" w:hAnsi="Arial" w:cs="Arial"/>
                <w:sz w:val="20"/>
              </w:rPr>
            </w:pPr>
            <w:r>
              <w:rPr>
                <w:rFonts w:cs="Arial" w:ascii="Arial" w:hAnsi="Arial"/>
                <w:sz w:val="20"/>
              </w:rPr>
              <w:t>DORNELLES, J. R. W.</w:t>
            </w:r>
            <w:r>
              <w:rPr>
                <w:rFonts w:cs="Arial" w:ascii="Arial" w:hAnsi="Arial"/>
                <w:b/>
                <w:sz w:val="20"/>
              </w:rPr>
              <w:t xml:space="preserve"> </w:t>
            </w:r>
            <w:r>
              <w:rPr>
                <w:rFonts w:cs="Arial" w:ascii="Arial" w:hAnsi="Arial"/>
                <w:i/>
                <w:sz w:val="20"/>
              </w:rPr>
              <w:t>O Que são Direitos Humanos.</w:t>
            </w:r>
            <w:r>
              <w:rPr>
                <w:rFonts w:cs="Arial" w:ascii="Arial" w:hAnsi="Arial"/>
                <w:b/>
                <w:sz w:val="20"/>
              </w:rPr>
              <w:t xml:space="preserve"> </w:t>
            </w:r>
            <w:r>
              <w:rPr>
                <w:rFonts w:cs="Arial" w:ascii="Arial" w:hAnsi="Arial"/>
                <w:sz w:val="20"/>
              </w:rPr>
              <w:t>Coleção primeiros passos, São Paulo, editora brasiliense, 2007, 2</w:t>
            </w:r>
            <w:r>
              <w:rPr>
                <w:rFonts w:cs="Arial" w:ascii="Arial" w:hAnsi="Arial"/>
                <w:sz w:val="20"/>
                <w:u w:val="single"/>
                <w:vertAlign w:val="superscript"/>
              </w:rPr>
              <w:t>a</w:t>
            </w:r>
            <w:r>
              <w:rPr>
                <w:rFonts w:cs="Arial" w:ascii="Arial" w:hAnsi="Arial"/>
                <w:sz w:val="20"/>
              </w:rPr>
              <w:t xml:space="preserve"> ed.</w:t>
            </w:r>
          </w:p>
          <w:p>
            <w:pPr>
              <w:pStyle w:val="Normal"/>
              <w:spacing w:lineRule="auto" w:line="240" w:before="0" w:after="0"/>
              <w:jc w:val="both"/>
              <w:rPr>
                <w:rFonts w:ascii="Arial" w:hAnsi="Arial" w:cs="Arial"/>
                <w:bCs/>
                <w:color w:val="000000"/>
                <w:sz w:val="20"/>
              </w:rPr>
            </w:pPr>
            <w:r>
              <w:rPr>
                <w:rFonts w:cs="Arial" w:ascii="Arial" w:hAnsi="Arial"/>
                <w:color w:val="000000"/>
                <w:sz w:val="20"/>
              </w:rPr>
              <w:t xml:space="preserve">DAGNINO, Evelina (org). </w:t>
            </w:r>
            <w:r>
              <w:rPr>
                <w:rFonts w:cs="Arial" w:ascii="Arial" w:hAnsi="Arial"/>
                <w:bCs/>
                <w:i/>
                <w:color w:val="000000"/>
                <w:sz w:val="20"/>
              </w:rPr>
              <w:t>Anos 90: Política e Sociedade no Brasil.</w:t>
            </w:r>
            <w:r>
              <w:rPr>
                <w:rFonts w:cs="Arial" w:ascii="Arial" w:hAnsi="Arial"/>
                <w:b/>
                <w:bCs/>
                <w:color w:val="000000"/>
                <w:sz w:val="20"/>
              </w:rPr>
              <w:t xml:space="preserve"> </w:t>
            </w:r>
            <w:r>
              <w:rPr>
                <w:rFonts w:cs="Arial" w:ascii="Arial" w:hAnsi="Arial"/>
                <w:bCs/>
                <w:color w:val="000000"/>
                <w:sz w:val="20"/>
              </w:rPr>
              <w:t>São Paulo: Brasiliense, 1994.</w:t>
            </w:r>
          </w:p>
          <w:p>
            <w:pPr>
              <w:pStyle w:val="Normal"/>
              <w:spacing w:lineRule="auto" w:line="240" w:before="0" w:after="0"/>
              <w:jc w:val="both"/>
              <w:rPr>
                <w:rFonts w:ascii="Arial" w:hAnsi="Arial" w:cs="Arial"/>
              </w:rPr>
            </w:pPr>
            <w:r>
              <w:rPr>
                <w:rFonts w:cs="Arial" w:ascii="Arial" w:hAnsi="Arial"/>
                <w:sz w:val="20"/>
              </w:rPr>
              <w:t xml:space="preserve">SYMONIDES, J. </w:t>
            </w:r>
            <w:r>
              <w:rPr>
                <w:rFonts w:cs="Arial" w:ascii="Arial" w:hAnsi="Arial"/>
                <w:i/>
                <w:sz w:val="20"/>
              </w:rPr>
              <w:t>Direitos humanos:</w:t>
            </w:r>
            <w:r>
              <w:rPr>
                <w:rFonts w:cs="Arial" w:ascii="Arial" w:hAnsi="Arial"/>
                <w:sz w:val="20"/>
              </w:rPr>
              <w:t xml:space="preserve"> novas dimensões e desafios. Brasília, edições UNESCO, 2003. (Disponível em: www.dominio publico.gov.br)</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b/>
                <w:u w:val="single"/>
              </w:rPr>
              <w:t xml:space="preserve"> Formadores do Brasil</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A)</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shd w:fill="FFFFFF" w:val="clear"/>
              </w:rPr>
              <w:t xml:space="preserve"> </w:t>
            </w:r>
            <w:r>
              <w:rPr>
                <w:rFonts w:cs="Arial" w:ascii="Arial" w:hAnsi="Arial"/>
              </w:rPr>
              <w:t>A construção do Brasil e suas interpretações. Estudo da produção intelectual e das linhas de pesquisa que abordam a constituição do Brasil como nação.</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Yiv1308036644msonormal"/>
              <w:spacing w:beforeAutospacing="0" w:before="0" w:afterAutospacing="0" w:after="0"/>
              <w:jc w:val="both"/>
              <w:rPr>
                <w:rFonts w:ascii="Arial" w:hAnsi="Arial" w:cs="Arial"/>
                <w:sz w:val="20"/>
                <w:szCs w:val="22"/>
                <w:lang w:val="pt-BR"/>
              </w:rPr>
            </w:pPr>
            <w:r>
              <w:rPr>
                <w:rFonts w:cs="Arial" w:ascii="Arial" w:hAnsi="Arial"/>
                <w:sz w:val="20"/>
                <w:szCs w:val="22"/>
                <w:lang w:val="pt-BR"/>
              </w:rPr>
              <w:t xml:space="preserve">JANCSÓ, István (org). </w:t>
            </w:r>
            <w:r>
              <w:rPr>
                <w:rFonts w:cs="Arial" w:ascii="Arial" w:hAnsi="Arial"/>
                <w:i/>
                <w:sz w:val="20"/>
                <w:szCs w:val="22"/>
                <w:lang w:val="pt-BR"/>
              </w:rPr>
              <w:t>Brasil: formação do Estado e da Nação</w:t>
            </w:r>
            <w:r>
              <w:rPr>
                <w:rFonts w:cs="Arial" w:ascii="Arial" w:hAnsi="Arial"/>
                <w:sz w:val="20"/>
                <w:szCs w:val="22"/>
                <w:lang w:val="pt-BR"/>
              </w:rPr>
              <w:t>. São Paulo, Hucitec/ Unijui, 2003</w:t>
            </w:r>
          </w:p>
          <w:p>
            <w:pPr>
              <w:pStyle w:val="Yiv1308036644msonormal"/>
              <w:spacing w:beforeAutospacing="0" w:before="0" w:afterAutospacing="0" w:after="0"/>
              <w:jc w:val="both"/>
              <w:rPr>
                <w:rFonts w:ascii="Arial" w:hAnsi="Arial" w:cs="Arial"/>
                <w:sz w:val="20"/>
                <w:szCs w:val="22"/>
                <w:lang w:val="pt-BR"/>
              </w:rPr>
            </w:pPr>
            <w:r>
              <w:rPr>
                <w:rFonts w:cs="Arial" w:ascii="Arial" w:hAnsi="Arial"/>
                <w:sz w:val="20"/>
                <w:szCs w:val="22"/>
                <w:lang w:val="pt-BR"/>
              </w:rPr>
              <w:t xml:space="preserve">PIVA, Luiz Guilherme. </w:t>
            </w:r>
            <w:r>
              <w:rPr>
                <w:rFonts w:cs="Arial" w:ascii="Arial" w:hAnsi="Arial"/>
                <w:i/>
                <w:sz w:val="20"/>
                <w:szCs w:val="22"/>
                <w:lang w:val="pt-BR"/>
              </w:rPr>
              <w:t>Ladrilhadores e semeadores:</w:t>
            </w:r>
            <w:r>
              <w:rPr>
                <w:rFonts w:cs="Arial" w:ascii="Arial" w:hAnsi="Arial"/>
                <w:sz w:val="20"/>
                <w:szCs w:val="22"/>
                <w:lang w:val="pt-BR"/>
              </w:rPr>
              <w:t xml:space="preserve"> A modernização brasileira no pensamento político de Oliveira Vianna, Sérgio Buarque de Holanda, Azevedo Amaral e Nestor Duarte (1920-1940). São Paulo: Editora 34, 2000.</w:t>
            </w:r>
          </w:p>
          <w:p>
            <w:pPr>
              <w:pStyle w:val="Normal"/>
              <w:spacing w:before="0" w:after="0"/>
              <w:jc w:val="both"/>
              <w:rPr>
                <w:rFonts w:ascii="Arial" w:hAnsi="Arial" w:cs="Arial"/>
                <w:b/>
                <w:b/>
              </w:rPr>
            </w:pPr>
            <w:r>
              <w:rPr>
                <w:rFonts w:cs="Arial" w:ascii="Arial" w:hAnsi="Arial"/>
                <w:sz w:val="20"/>
              </w:rPr>
              <w:t xml:space="preserve">REIS, José Carlos. </w:t>
            </w:r>
            <w:r>
              <w:rPr>
                <w:rFonts w:cs="Arial" w:ascii="Arial" w:hAnsi="Arial"/>
                <w:i/>
                <w:sz w:val="20"/>
              </w:rPr>
              <w:t>As identidades do Brasil:</w:t>
            </w:r>
            <w:r>
              <w:rPr>
                <w:rFonts w:cs="Arial" w:ascii="Arial" w:hAnsi="Arial"/>
                <w:sz w:val="20"/>
              </w:rPr>
              <w:t xml:space="preserve"> de Varnhagen a FHC. 3ª ed. Rio de Janeiro: Editora FGV, 2000.</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Yiv1308036644msonormal"/>
              <w:spacing w:beforeAutospacing="0" w:before="0" w:afterAutospacing="0" w:after="0"/>
              <w:jc w:val="both"/>
              <w:rPr>
                <w:rFonts w:ascii="Arial" w:hAnsi="Arial" w:cs="Arial"/>
                <w:sz w:val="20"/>
                <w:szCs w:val="22"/>
                <w:lang w:val="pt-BR"/>
              </w:rPr>
            </w:pPr>
            <w:r>
              <w:rPr>
                <w:rFonts w:cs="Arial" w:ascii="Arial" w:hAnsi="Arial"/>
                <w:sz w:val="20"/>
                <w:szCs w:val="22"/>
                <w:lang w:val="pt-BR"/>
              </w:rPr>
              <w:t xml:space="preserve">ANDERSON, Benedict. </w:t>
            </w:r>
            <w:r>
              <w:rPr>
                <w:rFonts w:cs="Arial" w:ascii="Arial" w:hAnsi="Arial"/>
                <w:i/>
                <w:sz w:val="20"/>
                <w:szCs w:val="22"/>
                <w:lang w:val="pt-BR"/>
              </w:rPr>
              <w:t>Comunidades imaginadas.</w:t>
            </w:r>
            <w:r>
              <w:rPr>
                <w:rFonts w:cs="Arial" w:ascii="Arial" w:hAnsi="Arial"/>
                <w:sz w:val="20"/>
                <w:szCs w:val="22"/>
                <w:lang w:val="pt-BR"/>
              </w:rPr>
              <w:t xml:space="preserve"> Reflexões sobre a origem e a difusão do nacionalismo. São Paulo: Companhia das Letras, 2008.</w:t>
            </w:r>
          </w:p>
          <w:p>
            <w:pPr>
              <w:pStyle w:val="Yiv1308036644msonormal"/>
              <w:spacing w:beforeAutospacing="0" w:before="0" w:afterAutospacing="0" w:after="0"/>
              <w:jc w:val="both"/>
              <w:rPr>
                <w:rFonts w:ascii="Arial" w:hAnsi="Arial" w:cs="Arial"/>
                <w:sz w:val="20"/>
                <w:szCs w:val="22"/>
                <w:lang w:val="pt-BR"/>
              </w:rPr>
            </w:pPr>
            <w:r>
              <w:rPr>
                <w:rFonts w:cs="Arial" w:ascii="Arial" w:hAnsi="Arial"/>
                <w:sz w:val="20"/>
                <w:szCs w:val="22"/>
                <w:lang w:val="pt-BR"/>
              </w:rPr>
              <w:t xml:space="preserve">FERNANDES, Florestan. A </w:t>
            </w:r>
            <w:r>
              <w:rPr>
                <w:rFonts w:cs="Arial" w:ascii="Arial" w:hAnsi="Arial"/>
                <w:i/>
                <w:sz w:val="20"/>
                <w:szCs w:val="22"/>
                <w:lang w:val="pt-BR"/>
              </w:rPr>
              <w:t>Revolução Burguesa no Brasil:</w:t>
            </w:r>
            <w:r>
              <w:rPr>
                <w:rFonts w:cs="Arial" w:ascii="Arial" w:hAnsi="Arial"/>
                <w:sz w:val="20"/>
                <w:szCs w:val="22"/>
                <w:lang w:val="pt-BR"/>
              </w:rPr>
              <w:t xml:space="preserve"> Ensaio de interpretação sociológica. 5ª ed. São Paulo: Globo, 2006. </w:t>
            </w:r>
          </w:p>
          <w:p>
            <w:pPr>
              <w:pStyle w:val="Yiv1308036644msonormal"/>
              <w:spacing w:beforeAutospacing="0" w:before="0" w:afterAutospacing="0" w:after="0"/>
              <w:jc w:val="both"/>
              <w:rPr>
                <w:rFonts w:ascii="Arial" w:hAnsi="Arial" w:cs="Arial"/>
                <w:sz w:val="20"/>
                <w:szCs w:val="22"/>
                <w:lang w:val="pt-BR"/>
              </w:rPr>
            </w:pPr>
            <w:r>
              <w:rPr>
                <w:rFonts w:cs="Arial" w:ascii="Arial" w:hAnsi="Arial"/>
                <w:sz w:val="20"/>
                <w:szCs w:val="22"/>
                <w:lang w:val="pt-BR"/>
              </w:rPr>
              <w:t xml:space="preserve">FREYRE, Gilberto. </w:t>
            </w:r>
            <w:r>
              <w:rPr>
                <w:rFonts w:cs="Arial" w:ascii="Arial" w:hAnsi="Arial"/>
                <w:i/>
                <w:sz w:val="20"/>
                <w:szCs w:val="22"/>
                <w:lang w:val="pt-BR"/>
              </w:rPr>
              <w:t>Casa Grande e Senzala</w:t>
            </w:r>
            <w:r>
              <w:rPr>
                <w:rFonts w:cs="Arial" w:ascii="Arial" w:hAnsi="Arial"/>
                <w:sz w:val="20"/>
                <w:szCs w:val="22"/>
                <w:lang w:val="pt-BR"/>
              </w:rPr>
              <w:t xml:space="preserve">. 49ª ed., São Paulo: Global, 2004. </w:t>
            </w:r>
          </w:p>
          <w:p>
            <w:pPr>
              <w:pStyle w:val="Yiv1308036644msonormal"/>
              <w:spacing w:beforeAutospacing="0" w:before="0" w:afterAutospacing="0" w:after="0"/>
              <w:jc w:val="both"/>
              <w:rPr>
                <w:rFonts w:ascii="Arial" w:hAnsi="Arial" w:cs="Arial"/>
                <w:sz w:val="20"/>
                <w:szCs w:val="22"/>
                <w:lang w:val="pt-BR"/>
              </w:rPr>
            </w:pPr>
            <w:r>
              <w:rPr>
                <w:rFonts w:cs="Arial" w:ascii="Arial" w:hAnsi="Arial"/>
                <w:sz w:val="20"/>
                <w:szCs w:val="22"/>
                <w:lang w:val="pt-BR"/>
              </w:rPr>
              <w:t xml:space="preserve">HOLANDA, Sérgio Buarque de.  </w:t>
            </w:r>
            <w:r>
              <w:rPr>
                <w:rFonts w:cs="Arial" w:ascii="Arial" w:hAnsi="Arial"/>
                <w:i/>
                <w:sz w:val="20"/>
                <w:szCs w:val="22"/>
                <w:lang w:val="pt-BR"/>
              </w:rPr>
              <w:t>Raízes do Brasil.</w:t>
            </w:r>
            <w:r>
              <w:rPr>
                <w:rFonts w:cs="Arial" w:ascii="Arial" w:hAnsi="Arial"/>
                <w:sz w:val="20"/>
                <w:szCs w:val="22"/>
                <w:lang w:val="pt-BR"/>
              </w:rPr>
              <w:t xml:space="preserve"> 26ª ed., São Paulo: Companhia das Letras, 2005. </w:t>
            </w:r>
          </w:p>
          <w:p>
            <w:pPr>
              <w:pStyle w:val="Normal"/>
              <w:spacing w:before="0" w:after="0"/>
              <w:jc w:val="both"/>
              <w:rPr>
                <w:rFonts w:ascii="Arial" w:hAnsi="Arial" w:cs="Arial"/>
                <w:b/>
                <w:b/>
              </w:rPr>
            </w:pPr>
            <w:r>
              <w:rPr>
                <w:rFonts w:cs="Arial" w:ascii="Arial" w:hAnsi="Arial"/>
                <w:sz w:val="20"/>
              </w:rPr>
              <w:t xml:space="preserve">PRADO JÚNIOR, Caio.  </w:t>
            </w:r>
            <w:r>
              <w:rPr>
                <w:rFonts w:cs="Arial" w:ascii="Arial" w:hAnsi="Arial"/>
                <w:i/>
                <w:sz w:val="20"/>
              </w:rPr>
              <w:t>Formação do Brasil Contemporâneo.</w:t>
            </w:r>
            <w:r>
              <w:rPr>
                <w:rFonts w:cs="Arial" w:ascii="Arial" w:hAnsi="Arial"/>
                <w:sz w:val="20"/>
              </w:rPr>
              <w:t xml:space="preserve"> 23ª ed., São Paulo: Brasiliense, 2004.</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 xml:space="preserve">Unidade Curricular: </w:t>
            </w:r>
            <w:r>
              <w:rPr>
                <w:rFonts w:cs="Arial" w:ascii="Arial" w:hAnsi="Arial"/>
                <w:b/>
                <w:u w:val="single"/>
              </w:rPr>
              <w:t>Fotografia e História</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B)</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shd w:fill="FFFFFF" w:val="clear"/>
              </w:rPr>
              <w:t xml:space="preserve"> </w:t>
            </w:r>
            <w:r>
              <w:rPr>
                <w:rFonts w:cs="Arial" w:ascii="Arial" w:hAnsi="Arial"/>
              </w:rPr>
              <w:t>História da fotografia: processos pioneiros, desenvolvimento tecnológico e apropriações sociais. História da fotografia em Minas Gerais: os fotógrafos e a itinerância. A produção do conhecimento histórico a partir da fotografia. A fotografia como documento e forma de expressão artística.</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BORGES, Maria Eliza Linhares. </w:t>
            </w:r>
            <w:r>
              <w:rPr>
                <w:rFonts w:cs="Arial" w:ascii="Arial" w:hAnsi="Arial"/>
                <w:i/>
                <w:color w:val="00000A"/>
                <w:sz w:val="20"/>
                <w:szCs w:val="22"/>
              </w:rPr>
              <w:t>História &amp; fotografia.</w:t>
            </w:r>
            <w:r>
              <w:rPr>
                <w:rFonts w:cs="Arial" w:ascii="Arial" w:hAnsi="Arial"/>
                <w:color w:val="00000A"/>
                <w:sz w:val="20"/>
                <w:szCs w:val="22"/>
              </w:rPr>
              <w:t xml:space="preserve"> Belo Horizonte: Autêntica, 2003.</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FABRIS, Annateresa (org). </w:t>
            </w:r>
            <w:r>
              <w:rPr>
                <w:rFonts w:cs="Arial" w:ascii="Arial" w:hAnsi="Arial"/>
                <w:i/>
                <w:color w:val="00000A"/>
                <w:sz w:val="20"/>
                <w:szCs w:val="22"/>
              </w:rPr>
              <w:t>Fotografia:</w:t>
            </w:r>
            <w:r>
              <w:rPr>
                <w:rFonts w:cs="Arial" w:ascii="Arial" w:hAnsi="Arial"/>
                <w:color w:val="00000A"/>
                <w:sz w:val="20"/>
                <w:szCs w:val="22"/>
              </w:rPr>
              <w:t xml:space="preserve"> usos e funções no século XIX. São Paulo: Edusp, 1991.</w:t>
            </w:r>
          </w:p>
          <w:p>
            <w:pPr>
              <w:pStyle w:val="Normal"/>
              <w:spacing w:before="0" w:after="0"/>
              <w:jc w:val="both"/>
              <w:rPr>
                <w:rFonts w:ascii="Arial" w:hAnsi="Arial" w:cs="Arial"/>
                <w:b/>
                <w:b/>
              </w:rPr>
            </w:pPr>
            <w:r>
              <w:rPr>
                <w:rFonts w:cs="Arial" w:ascii="Arial" w:hAnsi="Arial"/>
                <w:sz w:val="20"/>
              </w:rPr>
              <w:t xml:space="preserve">KOSSOY, Boris. </w:t>
            </w:r>
            <w:r>
              <w:rPr>
                <w:rFonts w:cs="Arial" w:ascii="Arial" w:hAnsi="Arial"/>
                <w:i/>
                <w:sz w:val="20"/>
              </w:rPr>
              <w:t>Fotografia &amp; História.</w:t>
            </w:r>
            <w:r>
              <w:rPr>
                <w:rFonts w:cs="Arial" w:ascii="Arial" w:hAnsi="Arial"/>
                <w:sz w:val="20"/>
              </w:rPr>
              <w:t xml:space="preserve"> 5ª ed. rev. São Paulo: Ateliê Editorial, 2010.</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BARTHES, Roland. </w:t>
            </w:r>
            <w:r>
              <w:rPr>
                <w:rFonts w:cs="Arial" w:ascii="Arial" w:hAnsi="Arial"/>
                <w:i/>
                <w:color w:val="00000A"/>
                <w:sz w:val="20"/>
                <w:szCs w:val="22"/>
              </w:rPr>
              <w:t>A câmara clara:</w:t>
            </w:r>
            <w:r>
              <w:rPr>
                <w:rFonts w:cs="Arial" w:ascii="Arial" w:hAnsi="Arial"/>
                <w:color w:val="00000A"/>
                <w:sz w:val="20"/>
                <w:szCs w:val="22"/>
              </w:rPr>
              <w:t xml:space="preserve"> nota sobre a fotografia. Lisboa: Edições 70.</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GOULART, Paulo Cezar Alves; MENDES, Ricardo. </w:t>
            </w:r>
            <w:r>
              <w:rPr>
                <w:rFonts w:cs="Arial" w:ascii="Arial" w:hAnsi="Arial"/>
                <w:i/>
                <w:color w:val="00000A"/>
                <w:sz w:val="20"/>
                <w:szCs w:val="22"/>
              </w:rPr>
              <w:t>Noticiário Geral da fotografia paulistana, 1839-1900</w:t>
            </w:r>
            <w:r>
              <w:rPr>
                <w:rFonts w:cs="Arial" w:ascii="Arial" w:hAnsi="Arial"/>
                <w:color w:val="00000A"/>
                <w:sz w:val="20"/>
                <w:szCs w:val="22"/>
              </w:rPr>
              <w:t>. São Paulo: Centro Cultural São Paulo, Imprensa Oficial do Estado de São Paulo, 2007.</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KOSSOY, Boris. </w:t>
            </w:r>
            <w:r>
              <w:rPr>
                <w:rFonts w:cs="Arial" w:ascii="Arial" w:hAnsi="Arial"/>
                <w:i/>
                <w:color w:val="00000A"/>
                <w:sz w:val="20"/>
                <w:szCs w:val="22"/>
              </w:rPr>
              <w:t>Dicionário histórico-fotográfico brasileiro:</w:t>
            </w:r>
            <w:r>
              <w:rPr>
                <w:rFonts w:cs="Arial" w:ascii="Arial" w:hAnsi="Arial"/>
                <w:color w:val="00000A"/>
                <w:sz w:val="20"/>
                <w:szCs w:val="22"/>
              </w:rPr>
              <w:t xml:space="preserve"> fotógrafos e ofício da fotografia (1833-1910). São Paulo: Instituto Moreira Salles, 2002.</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MAUAD, Ana Maria (org). </w:t>
            </w:r>
            <w:r>
              <w:rPr>
                <w:rFonts w:cs="Arial" w:ascii="Arial" w:hAnsi="Arial"/>
                <w:i/>
                <w:color w:val="00000A"/>
                <w:sz w:val="20"/>
                <w:szCs w:val="22"/>
              </w:rPr>
              <w:t xml:space="preserve">História pública no Brasil: </w:t>
            </w:r>
            <w:r>
              <w:rPr>
                <w:rFonts w:cs="Arial" w:ascii="Arial" w:hAnsi="Arial"/>
                <w:color w:val="00000A"/>
                <w:sz w:val="20"/>
                <w:szCs w:val="22"/>
              </w:rPr>
              <w:t>sentidos e itinerários. Rio de Janeiro: Letra e Voz, 2016.</w:t>
            </w:r>
          </w:p>
          <w:p>
            <w:pPr>
              <w:pStyle w:val="Normal"/>
              <w:spacing w:before="0" w:after="0"/>
              <w:jc w:val="both"/>
              <w:rPr>
                <w:rFonts w:ascii="Arial" w:hAnsi="Arial" w:cs="Arial"/>
                <w:b/>
                <w:b/>
              </w:rPr>
            </w:pPr>
            <w:r>
              <w:rPr>
                <w:rFonts w:cs="Arial" w:ascii="Arial" w:hAnsi="Arial"/>
                <w:sz w:val="20"/>
              </w:rPr>
              <w:t xml:space="preserve">ROUILLÉ, André. </w:t>
            </w:r>
            <w:r>
              <w:rPr>
                <w:rFonts w:cs="Arial" w:ascii="Arial" w:hAnsi="Arial"/>
                <w:i/>
                <w:sz w:val="20"/>
              </w:rPr>
              <w:t>Fotografia:</w:t>
            </w:r>
            <w:r>
              <w:rPr>
                <w:rFonts w:cs="Arial" w:ascii="Arial" w:hAnsi="Arial"/>
                <w:sz w:val="20"/>
              </w:rPr>
              <w:t xml:space="preserve"> entre documento e arte contemporânea. São Paulo: Senac - São Paulo, 2009.</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 xml:space="preserve">Unidade Curricular: </w:t>
            </w:r>
            <w:r>
              <w:rPr>
                <w:rFonts w:cs="Arial" w:ascii="Arial" w:hAnsi="Arial"/>
                <w:b/>
                <w:u w:val="single"/>
              </w:rPr>
              <w:t>História, Arte e Cultura</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A)</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shd w:fill="FFFFFF" w:val="clear"/>
              </w:rPr>
              <w:t xml:space="preserve"> </w:t>
            </w:r>
            <w:r>
              <w:rPr>
                <w:rFonts w:cs="Arial" w:ascii="Arial" w:hAnsi="Arial"/>
              </w:rPr>
              <w:t xml:space="preserve">Aspectos gerais da arte na antiguidade: Egito, Grécia e Roma. Arte e cultura medieval, renascentista e barroca. Arte e cultura no século XIX e início do XX. O estudo da arte e as questões historiográficas, teóricas e metodológicas. </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ARCHER, Michael. </w:t>
            </w:r>
            <w:r>
              <w:rPr>
                <w:rFonts w:cs="Arial" w:ascii="Arial" w:hAnsi="Arial"/>
                <w:i/>
                <w:color w:val="00000A"/>
                <w:sz w:val="20"/>
                <w:szCs w:val="22"/>
              </w:rPr>
              <w:t>Arte contemporânea</w:t>
            </w:r>
            <w:r>
              <w:rPr>
                <w:rFonts w:cs="Arial" w:ascii="Arial" w:hAnsi="Arial"/>
                <w:color w:val="00000A"/>
                <w:sz w:val="20"/>
                <w:szCs w:val="22"/>
              </w:rPr>
              <w:t>: uma história concisa. São Paulo: Martins Fontes, 2001.</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BAXANDALL, Michael. </w:t>
            </w:r>
            <w:r>
              <w:rPr>
                <w:rFonts w:cs="Arial" w:ascii="Arial" w:hAnsi="Arial"/>
                <w:i/>
                <w:color w:val="00000A"/>
                <w:sz w:val="20"/>
                <w:szCs w:val="22"/>
              </w:rPr>
              <w:t>Padrões de intenção</w:t>
            </w:r>
            <w:r>
              <w:rPr>
                <w:rFonts w:cs="Arial" w:ascii="Arial" w:hAnsi="Arial"/>
                <w:color w:val="00000A"/>
                <w:sz w:val="20"/>
                <w:szCs w:val="22"/>
              </w:rPr>
              <w:t>: a explicação histórica dos quadros. São Paulo: companhia das Letras, 2006.</w:t>
            </w:r>
          </w:p>
          <w:p>
            <w:pPr>
              <w:pStyle w:val="Normal"/>
              <w:spacing w:before="0" w:after="0"/>
              <w:jc w:val="both"/>
              <w:rPr>
                <w:rFonts w:ascii="Arial" w:hAnsi="Arial" w:cs="Arial"/>
                <w:b/>
                <w:b/>
              </w:rPr>
            </w:pPr>
            <w:r>
              <w:rPr>
                <w:rFonts w:cs="Arial" w:ascii="Arial" w:hAnsi="Arial"/>
                <w:sz w:val="20"/>
              </w:rPr>
              <w:t xml:space="preserve">GOMBRICH, Ernst. </w:t>
            </w:r>
            <w:r>
              <w:rPr>
                <w:rFonts w:cs="Arial" w:ascii="Arial" w:hAnsi="Arial"/>
                <w:i/>
                <w:sz w:val="20"/>
              </w:rPr>
              <w:t>História da arte</w:t>
            </w:r>
            <w:r>
              <w:rPr>
                <w:rFonts w:cs="Arial" w:ascii="Arial" w:hAnsi="Arial"/>
                <w:sz w:val="20"/>
              </w:rPr>
              <w:t>. Rio de Janeiro: Guanabara Koogan, 1993.</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BURCKARDT, Jacob. </w:t>
            </w:r>
            <w:r>
              <w:rPr>
                <w:rFonts w:cs="Arial" w:ascii="Arial" w:hAnsi="Arial"/>
                <w:i/>
                <w:color w:val="00000A"/>
                <w:sz w:val="20"/>
                <w:szCs w:val="22"/>
              </w:rPr>
              <w:t>A cultura do renascimento na Itália</w:t>
            </w:r>
            <w:r>
              <w:rPr>
                <w:rFonts w:cs="Arial" w:ascii="Arial" w:hAnsi="Arial"/>
                <w:color w:val="00000A"/>
                <w:sz w:val="20"/>
                <w:szCs w:val="22"/>
              </w:rPr>
              <w:t>: um ensaio. Companhia das Letras, 2009.</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HAUSER, Arnold. </w:t>
            </w:r>
            <w:r>
              <w:rPr>
                <w:rFonts w:cs="Arial" w:ascii="Arial" w:hAnsi="Arial"/>
                <w:i/>
                <w:color w:val="00000A"/>
                <w:sz w:val="20"/>
                <w:szCs w:val="22"/>
              </w:rPr>
              <w:t>História social da arte e da literatura</w:t>
            </w:r>
            <w:r>
              <w:rPr>
                <w:rFonts w:cs="Arial" w:ascii="Arial" w:hAnsi="Arial"/>
                <w:color w:val="00000A"/>
                <w:sz w:val="20"/>
                <w:szCs w:val="22"/>
              </w:rPr>
              <w:t>. São Paulo: Martins Fontes, 1998.</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MICELI, Sergio. </w:t>
            </w:r>
            <w:r>
              <w:rPr>
                <w:rFonts w:cs="Arial" w:ascii="Arial" w:hAnsi="Arial"/>
                <w:i/>
                <w:color w:val="00000A"/>
                <w:sz w:val="20"/>
                <w:szCs w:val="22"/>
              </w:rPr>
              <w:t>Imagens negociadas</w:t>
            </w:r>
            <w:r>
              <w:rPr>
                <w:rFonts w:cs="Arial" w:ascii="Arial" w:hAnsi="Arial"/>
                <w:color w:val="00000A"/>
                <w:sz w:val="20"/>
                <w:szCs w:val="22"/>
              </w:rPr>
              <w:t>. São Paulo: Cia. das Letras, 1996.</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STANGOS, Nikos. </w:t>
            </w:r>
            <w:r>
              <w:rPr>
                <w:rFonts w:cs="Arial" w:ascii="Arial" w:hAnsi="Arial"/>
                <w:i/>
                <w:color w:val="00000A"/>
                <w:sz w:val="20"/>
                <w:szCs w:val="22"/>
              </w:rPr>
              <w:t>Conceitos da arte moderna</w:t>
            </w:r>
            <w:r>
              <w:rPr>
                <w:rFonts w:cs="Arial" w:ascii="Arial" w:hAnsi="Arial"/>
                <w:color w:val="00000A"/>
                <w:sz w:val="20"/>
                <w:szCs w:val="22"/>
              </w:rPr>
              <w:t>. Rio de Janeiro: Zahar, 1991.</w:t>
            </w:r>
          </w:p>
          <w:p>
            <w:pPr>
              <w:pStyle w:val="Normal"/>
              <w:spacing w:before="0" w:after="0"/>
              <w:jc w:val="both"/>
              <w:rPr>
                <w:rFonts w:ascii="Arial" w:hAnsi="Arial" w:cs="Arial"/>
                <w:b/>
                <w:b/>
              </w:rPr>
            </w:pPr>
            <w:r>
              <w:rPr>
                <w:rFonts w:cs="Arial" w:ascii="Arial" w:hAnsi="Arial"/>
                <w:sz w:val="20"/>
              </w:rPr>
              <w:t xml:space="preserve">WÖLFFLIN, Heinrich. </w:t>
            </w:r>
            <w:r>
              <w:rPr>
                <w:rFonts w:cs="Arial" w:ascii="Arial" w:hAnsi="Arial"/>
                <w:i/>
                <w:sz w:val="20"/>
              </w:rPr>
              <w:t>Conceitos fundamentais da história da arte</w:t>
            </w:r>
            <w:r>
              <w:rPr>
                <w:rFonts w:cs="Arial" w:ascii="Arial" w:hAnsi="Arial"/>
                <w:sz w:val="20"/>
              </w:rPr>
              <w:t>. 4. ed. São Paulo: Martins Fontes, 1989.</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 xml:space="preserve">Unidade Curricular: </w:t>
            </w:r>
            <w:r>
              <w:rPr>
                <w:rFonts w:cs="Arial" w:ascii="Arial" w:hAnsi="Arial"/>
                <w:b/>
                <w:u w:val="single"/>
              </w:rPr>
              <w:t>História da Ciência</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B)</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 xml:space="preserve">Ementa: </w:t>
            </w:r>
            <w:r>
              <w:rPr>
                <w:rFonts w:cs="Arial" w:ascii="Arial" w:hAnsi="Arial"/>
              </w:rPr>
              <w:t>Problematização sobre modos de pensar o conhecimento científico moderno. Bases históricas e filosóficas do pensamento moderno, além de sua crítica e autocrítica. Modos de pensar o conhecimento e a ciência na contemporaneidade. Conhecimento científico e emancipação social e humana. Dimensão ética e política do debate epistemológico da atualidade.</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KUHN, Thomas. </w:t>
            </w:r>
            <w:r>
              <w:rPr>
                <w:rFonts w:cs="Arial" w:ascii="Arial" w:hAnsi="Arial"/>
                <w:i/>
                <w:color w:val="00000A"/>
                <w:sz w:val="20"/>
                <w:szCs w:val="22"/>
              </w:rPr>
              <w:t>A estrutura das revoluções científicas.</w:t>
            </w:r>
            <w:r>
              <w:rPr>
                <w:rFonts w:cs="Arial" w:ascii="Arial" w:hAnsi="Arial"/>
                <w:color w:val="00000A"/>
                <w:sz w:val="20"/>
                <w:szCs w:val="22"/>
              </w:rPr>
              <w:t xml:space="preserve"> São Paulo: Perspectiva, 1991.</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MORIN, Edgar. </w:t>
            </w:r>
            <w:r>
              <w:rPr>
                <w:rFonts w:cs="Arial" w:ascii="Arial" w:hAnsi="Arial"/>
                <w:i/>
                <w:color w:val="00000A"/>
                <w:sz w:val="20"/>
                <w:szCs w:val="22"/>
              </w:rPr>
              <w:t>Ciência com consciência</w:t>
            </w:r>
            <w:r>
              <w:rPr>
                <w:rFonts w:cs="Arial" w:ascii="Arial" w:hAnsi="Arial"/>
                <w:color w:val="00000A"/>
                <w:sz w:val="20"/>
                <w:szCs w:val="22"/>
              </w:rPr>
              <w:t>. 4ª ed., Rio de Janeiro: Bertrand Brasil, 2000.</w:t>
            </w:r>
          </w:p>
          <w:p>
            <w:pPr>
              <w:pStyle w:val="Normal"/>
              <w:spacing w:before="0" w:after="0"/>
              <w:jc w:val="both"/>
              <w:rPr>
                <w:rFonts w:ascii="Arial" w:hAnsi="Arial" w:cs="Arial"/>
                <w:b/>
                <w:b/>
              </w:rPr>
            </w:pPr>
            <w:r>
              <w:rPr>
                <w:rFonts w:cs="Arial" w:ascii="Arial" w:hAnsi="Arial"/>
                <w:sz w:val="20"/>
              </w:rPr>
              <w:t xml:space="preserve">SANTOS, Boaventura de Sousa. </w:t>
            </w:r>
            <w:r>
              <w:rPr>
                <w:rFonts w:cs="Arial" w:ascii="Arial" w:hAnsi="Arial"/>
                <w:i/>
                <w:sz w:val="20"/>
              </w:rPr>
              <w:t>Um discurso sobre as ciências.</w:t>
            </w:r>
            <w:r>
              <w:rPr>
                <w:rFonts w:cs="Arial" w:ascii="Arial" w:hAnsi="Arial"/>
                <w:sz w:val="20"/>
              </w:rPr>
              <w:t xml:space="preserve"> 3ª ed., São Paulo: Cortez, 2005.</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ANDERY, Maria Amália Pie Abib et al. </w:t>
            </w:r>
            <w:r>
              <w:rPr>
                <w:rFonts w:cs="Arial" w:ascii="Arial" w:hAnsi="Arial"/>
                <w:i/>
                <w:color w:val="00000A"/>
                <w:sz w:val="20"/>
                <w:szCs w:val="22"/>
              </w:rPr>
              <w:t>Para compreender a ciência:</w:t>
            </w:r>
            <w:r>
              <w:rPr>
                <w:rFonts w:cs="Arial" w:ascii="Arial" w:hAnsi="Arial"/>
                <w:color w:val="00000A"/>
                <w:sz w:val="20"/>
                <w:szCs w:val="22"/>
              </w:rPr>
              <w:t xml:space="preserve"> uma perspectiva histórica. Rio de Janeiro: Garamond; São Paulo: Edusc, 2004.</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BRAGA, Marco; GUERRA, Andreia; REIS, José Claudio. </w:t>
            </w:r>
            <w:r>
              <w:rPr>
                <w:rFonts w:cs="Arial" w:ascii="Arial" w:hAnsi="Arial"/>
                <w:i/>
                <w:color w:val="00000A"/>
                <w:sz w:val="20"/>
                <w:szCs w:val="22"/>
              </w:rPr>
              <w:t xml:space="preserve">Breve história da ciência moderna. </w:t>
            </w:r>
            <w:r>
              <w:rPr>
                <w:rFonts w:cs="Arial" w:ascii="Arial" w:hAnsi="Arial"/>
                <w:color w:val="00000A"/>
                <w:sz w:val="20"/>
                <w:szCs w:val="22"/>
              </w:rPr>
              <w:t>Rio de Janeiro: Jorge Zahar, 2005. 4 v.</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CHAUÍ, Marilena. </w:t>
            </w:r>
            <w:r>
              <w:rPr>
                <w:rFonts w:cs="Arial" w:ascii="Arial" w:hAnsi="Arial"/>
                <w:i/>
                <w:color w:val="00000A"/>
                <w:sz w:val="20"/>
                <w:szCs w:val="22"/>
              </w:rPr>
              <w:t>Convite à Filosofia.</w:t>
            </w:r>
            <w:r>
              <w:rPr>
                <w:rFonts w:cs="Arial" w:ascii="Arial" w:hAnsi="Arial"/>
                <w:color w:val="00000A"/>
                <w:sz w:val="20"/>
                <w:szCs w:val="22"/>
              </w:rPr>
              <w:t xml:space="preserve"> São Paulo: Ática, 2000.</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CORBIN, Alain; COURTINE, Jean-Jacques; VIGARELLO, Georges. </w:t>
            </w:r>
            <w:r>
              <w:rPr>
                <w:rFonts w:cs="Arial" w:ascii="Arial" w:hAnsi="Arial"/>
                <w:i/>
                <w:color w:val="00000A"/>
                <w:sz w:val="20"/>
                <w:szCs w:val="22"/>
              </w:rPr>
              <w:t>História do corpo.</w:t>
            </w:r>
            <w:r>
              <w:rPr>
                <w:rFonts w:cs="Arial" w:ascii="Arial" w:hAnsi="Arial"/>
                <w:color w:val="00000A"/>
                <w:sz w:val="20"/>
                <w:szCs w:val="22"/>
              </w:rPr>
              <w:t xml:space="preserve"> 5ª ed. Petrópolis: RJ: Vozes, 2012.</w:t>
            </w:r>
          </w:p>
          <w:p>
            <w:pPr>
              <w:pStyle w:val="Normal"/>
              <w:spacing w:before="0" w:after="0"/>
              <w:jc w:val="both"/>
              <w:rPr>
                <w:rFonts w:ascii="Arial" w:hAnsi="Arial" w:cs="Arial"/>
                <w:b/>
                <w:b/>
              </w:rPr>
            </w:pPr>
            <w:r>
              <w:rPr>
                <w:rFonts w:cs="Arial" w:ascii="Arial" w:hAnsi="Arial"/>
                <w:sz w:val="20"/>
              </w:rPr>
              <w:t xml:space="preserve">FILGUEIRAS, Carlos Alberto. </w:t>
            </w:r>
            <w:r>
              <w:rPr>
                <w:rFonts w:cs="Arial" w:ascii="Arial" w:hAnsi="Arial"/>
                <w:i/>
                <w:sz w:val="20"/>
              </w:rPr>
              <w:t>Origens da química no Brasil.</w:t>
            </w:r>
            <w:r>
              <w:rPr>
                <w:rFonts w:cs="Arial" w:ascii="Arial" w:hAnsi="Arial"/>
                <w:sz w:val="20"/>
              </w:rPr>
              <w:t xml:space="preserve"> Campinas: SP: Unicamp, 2015.</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 xml:space="preserve">Unidade Curricular: </w:t>
            </w:r>
            <w:r>
              <w:rPr>
                <w:rFonts w:cs="Arial" w:ascii="Arial" w:hAnsi="Arial"/>
                <w:b/>
                <w:bCs/>
                <w:u w:val="single"/>
              </w:rPr>
              <w:t>História e Ciências Sociais</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B)</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shd w:fill="FFFFFF" w:val="clear"/>
              </w:rPr>
              <w:t xml:space="preserve"> </w:t>
            </w:r>
            <w:r>
              <w:rPr>
                <w:rFonts w:cs="Arial" w:ascii="Arial" w:hAnsi="Arial"/>
              </w:rPr>
              <w:t xml:space="preserve">História e teoria social. Método histórico e ciência social. História e estrutura. História e mudança social. A sociologia clássica e a análise da modernidade: Marx, Durkheim e Weber. A Sociologia Histórica: temas, métodos e expoentes. As contribuições da Antropologia para a produção do conhecimento histórico. </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Bibliografia Básica:</w:t>
            </w:r>
          </w:p>
          <w:p>
            <w:pPr>
              <w:pStyle w:val="Normal"/>
              <w:spacing w:lineRule="auto" w:line="240" w:before="0" w:after="0"/>
              <w:jc w:val="both"/>
              <w:rPr>
                <w:rFonts w:ascii="Arial" w:hAnsi="Arial" w:cs="Arial"/>
                <w:sz w:val="20"/>
              </w:rPr>
            </w:pPr>
            <w:r>
              <w:rPr>
                <w:rFonts w:cs="Arial" w:ascii="Arial" w:hAnsi="Arial"/>
                <w:sz w:val="20"/>
              </w:rPr>
              <w:t xml:space="preserve">BURKE, Peter. </w:t>
            </w:r>
            <w:r>
              <w:rPr>
                <w:rFonts w:cs="Arial" w:ascii="Arial" w:hAnsi="Arial"/>
                <w:i/>
                <w:sz w:val="20"/>
              </w:rPr>
              <w:t>Sociologia e História.</w:t>
            </w:r>
            <w:r>
              <w:rPr>
                <w:rFonts w:cs="Arial" w:ascii="Arial" w:hAnsi="Arial"/>
                <w:sz w:val="20"/>
              </w:rPr>
              <w:t xml:space="preserve"> 2ª ed. Lisboa: Edições Afrontamento, 1980.</w:t>
            </w:r>
          </w:p>
          <w:p>
            <w:pPr>
              <w:pStyle w:val="Normal"/>
              <w:spacing w:lineRule="auto" w:line="240" w:before="0" w:after="0"/>
              <w:jc w:val="both"/>
              <w:rPr>
                <w:rFonts w:ascii="Arial" w:hAnsi="Arial" w:cs="Arial"/>
                <w:sz w:val="20"/>
              </w:rPr>
            </w:pPr>
            <w:r>
              <w:rPr>
                <w:rFonts w:cs="Arial" w:ascii="Arial" w:hAnsi="Arial"/>
                <w:sz w:val="20"/>
              </w:rPr>
              <w:t xml:space="preserve">DOMINGUES, José Maurício. </w:t>
            </w:r>
            <w:r>
              <w:rPr>
                <w:rFonts w:cs="Arial" w:ascii="Arial" w:hAnsi="Arial"/>
                <w:i/>
                <w:sz w:val="20"/>
              </w:rPr>
              <w:t>Sociologia e modernidade:</w:t>
            </w:r>
            <w:r>
              <w:rPr>
                <w:rFonts w:cs="Arial" w:ascii="Arial" w:hAnsi="Arial"/>
                <w:sz w:val="20"/>
              </w:rPr>
              <w:t xml:space="preserve"> para entender a sociedade contemporânea. Rio de Janeiro: Civilização Brasileira, 1999.</w:t>
            </w:r>
          </w:p>
          <w:p>
            <w:pPr>
              <w:pStyle w:val="Normal"/>
              <w:spacing w:lineRule="auto" w:line="240" w:before="0" w:after="0"/>
              <w:jc w:val="both"/>
              <w:rPr>
                <w:rFonts w:ascii="Arial" w:hAnsi="Arial" w:cs="Arial"/>
                <w:b/>
                <w:b/>
              </w:rPr>
            </w:pPr>
            <w:r>
              <w:rPr>
                <w:rFonts w:cs="Arial" w:ascii="Arial" w:hAnsi="Arial"/>
                <w:sz w:val="20"/>
              </w:rPr>
              <w:t xml:space="preserve">QUINTANEIRO, Tânia et al. </w:t>
            </w:r>
            <w:r>
              <w:rPr>
                <w:rFonts w:cs="Arial" w:ascii="Arial" w:hAnsi="Arial"/>
                <w:i/>
                <w:sz w:val="20"/>
              </w:rPr>
              <w:t>Um toque de clássicos:</w:t>
            </w:r>
            <w:r>
              <w:rPr>
                <w:rFonts w:cs="Arial" w:ascii="Arial" w:hAnsi="Arial"/>
                <w:sz w:val="20"/>
              </w:rPr>
              <w:t xml:space="preserve"> Durkheim, Marx e Weber. 3ª ed. Belo Horizonte: Editora da UFMG, 2002.</w:t>
            </w:r>
          </w:p>
        </w:tc>
      </w:tr>
      <w:tr>
        <w:trPr/>
        <w:tc>
          <w:tcPr>
            <w:tcW w:w="8494" w:type="dxa"/>
            <w:tcBorders>
              <w:top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Bibliografia Complementar:</w:t>
            </w:r>
          </w:p>
          <w:p>
            <w:pPr>
              <w:pStyle w:val="Normal"/>
              <w:spacing w:lineRule="auto" w:line="240" w:before="0" w:after="0"/>
              <w:jc w:val="both"/>
              <w:rPr>
                <w:rFonts w:ascii="Arial" w:hAnsi="Arial" w:cs="Arial"/>
              </w:rPr>
            </w:pPr>
            <w:r>
              <w:rPr>
                <w:rFonts w:cs="Arial" w:ascii="Arial" w:hAnsi="Arial"/>
              </w:rPr>
              <w:t xml:space="preserve">BRAUDEL, Fernand. </w:t>
            </w:r>
            <w:r>
              <w:rPr>
                <w:rFonts w:cs="Arial" w:ascii="Arial" w:hAnsi="Arial"/>
                <w:i/>
                <w:iCs/>
              </w:rPr>
              <w:t>Escritos sobre a história</w:t>
            </w:r>
            <w:r>
              <w:rPr>
                <w:rFonts w:cs="Arial" w:ascii="Arial" w:hAnsi="Arial"/>
              </w:rPr>
              <w:t>. São Paulo: Perspectiva, 1969.</w:t>
            </w:r>
          </w:p>
          <w:p>
            <w:pPr>
              <w:pStyle w:val="Normal"/>
              <w:spacing w:lineRule="auto" w:line="240" w:before="0" w:after="0"/>
              <w:jc w:val="both"/>
              <w:rPr>
                <w:rFonts w:ascii="Arial" w:hAnsi="Arial" w:cs="Arial"/>
              </w:rPr>
            </w:pPr>
            <w:r>
              <w:rPr>
                <w:rFonts w:cs="Arial" w:ascii="Arial" w:hAnsi="Arial"/>
              </w:rPr>
              <w:t xml:space="preserve">DARNTON, Robert. </w:t>
            </w:r>
            <w:r>
              <w:rPr>
                <w:rFonts w:cs="Arial" w:ascii="Arial" w:hAnsi="Arial"/>
                <w:i/>
                <w:iCs/>
              </w:rPr>
              <w:t>O beijo de Lamourette</w:t>
            </w:r>
            <w:r>
              <w:rPr>
                <w:rFonts w:cs="Arial" w:ascii="Arial" w:hAnsi="Arial"/>
              </w:rPr>
              <w:t>. São Paulo: Companhia das Letras, 1995.</w:t>
            </w:r>
          </w:p>
          <w:p>
            <w:pPr>
              <w:pStyle w:val="Normal"/>
              <w:spacing w:lineRule="auto" w:line="240" w:before="0" w:after="0"/>
              <w:jc w:val="both"/>
              <w:rPr>
                <w:rFonts w:ascii="Arial" w:hAnsi="Arial" w:cs="Arial"/>
              </w:rPr>
            </w:pPr>
            <w:r>
              <w:rPr>
                <w:rFonts w:cs="Arial" w:ascii="Arial" w:hAnsi="Arial"/>
              </w:rPr>
              <w:t xml:space="preserve">GEERTZ, Clifford. </w:t>
            </w:r>
            <w:r>
              <w:rPr>
                <w:rFonts w:cs="Arial" w:ascii="Arial" w:hAnsi="Arial"/>
                <w:i/>
                <w:iCs/>
              </w:rPr>
              <w:t>A interpretação das culturas</w:t>
            </w:r>
            <w:r>
              <w:rPr>
                <w:rFonts w:cs="Arial" w:ascii="Arial" w:hAnsi="Arial"/>
              </w:rPr>
              <w:t>. Rio de Janeiro: Guanabara, 1989.</w:t>
            </w:r>
          </w:p>
          <w:p>
            <w:pPr>
              <w:pStyle w:val="Normal"/>
              <w:spacing w:lineRule="auto" w:line="240" w:before="0" w:after="0"/>
              <w:jc w:val="both"/>
              <w:rPr>
                <w:rFonts w:ascii="Arial" w:hAnsi="Arial" w:cs="Arial"/>
              </w:rPr>
            </w:pPr>
            <w:r>
              <w:rPr>
                <w:rFonts w:cs="Arial" w:ascii="Arial" w:hAnsi="Arial"/>
              </w:rPr>
              <w:t xml:space="preserve">SAHLINS, Marshall. </w:t>
            </w:r>
            <w:r>
              <w:rPr>
                <w:rFonts w:cs="Arial" w:ascii="Arial" w:hAnsi="Arial"/>
                <w:i/>
                <w:iCs/>
              </w:rPr>
              <w:t>Ilhas de história</w:t>
            </w:r>
            <w:r>
              <w:rPr>
                <w:rFonts w:cs="Arial" w:ascii="Arial" w:hAnsi="Arial"/>
              </w:rPr>
              <w:t>. Rio de Janeiro: Jorge Zahar Editor, 1990.</w:t>
            </w:r>
          </w:p>
          <w:p>
            <w:pPr>
              <w:pStyle w:val="Normal"/>
              <w:spacing w:lineRule="auto" w:line="240" w:before="0" w:after="0"/>
              <w:jc w:val="both"/>
              <w:rPr>
                <w:rFonts w:ascii="Arial" w:hAnsi="Arial" w:cs="Arial"/>
                <w:b/>
                <w:b/>
              </w:rPr>
            </w:pPr>
            <w:r>
              <w:rPr>
                <w:rFonts w:cs="Arial" w:ascii="Arial" w:hAnsi="Arial"/>
              </w:rPr>
              <w:t xml:space="preserve">SIMIAND, François. </w:t>
            </w:r>
            <w:r>
              <w:rPr>
                <w:rFonts w:cs="Arial" w:ascii="Arial" w:hAnsi="Arial"/>
                <w:i/>
                <w:iCs/>
              </w:rPr>
              <w:t>Método histórico e ciência social</w:t>
            </w:r>
            <w:r>
              <w:rPr>
                <w:rFonts w:cs="Arial" w:ascii="Arial" w:hAnsi="Arial"/>
              </w:rPr>
              <w:t>. Bauru, SP: EDUSC, 2003.</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 xml:space="preserve">Unidade Curricular: </w:t>
            </w:r>
            <w:r>
              <w:rPr>
                <w:rFonts w:cs="Arial" w:ascii="Arial" w:hAnsi="Arial"/>
                <w:b/>
                <w:u w:val="single"/>
              </w:rPr>
              <w:t>História, Memória e Fontes Orais</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B)</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shd w:fill="FFFFFF" w:val="clear"/>
              </w:rPr>
              <w:t xml:space="preserve"> A </w:t>
            </w:r>
            <w:r>
              <w:rPr>
                <w:rFonts w:eastAsia="Calibri" w:cs="Arial" w:ascii="Arial" w:hAnsi="Arial"/>
                <w:lang w:eastAsia="zh-CN"/>
              </w:rPr>
              <w:t>memória e sua relação com a História. História oral, memória e ensino de história: discussões teóricas e metodológicas. Memória e escrita. Memória e História Oral. Aportes teóricos e metodológicos para a construção da História a partir dos depoimentos orais.</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lang w:eastAsia="zh-CN"/>
              </w:rPr>
              <w:t xml:space="preserve">ALBERTI, Verena. </w:t>
            </w:r>
            <w:r>
              <w:rPr>
                <w:rFonts w:eastAsia="Calibri" w:cs="Arial" w:ascii="Arial" w:hAnsi="Arial"/>
                <w:i/>
                <w:iCs/>
                <w:color w:val="00000A"/>
                <w:sz w:val="20"/>
                <w:szCs w:val="22"/>
                <w:lang w:eastAsia="zh-CN"/>
              </w:rPr>
              <w:t>Ouvir e Contar:</w:t>
            </w:r>
            <w:r>
              <w:rPr>
                <w:rFonts w:eastAsia="Calibri" w:cs="Arial" w:ascii="Arial" w:hAnsi="Arial"/>
                <w:i/>
                <w:color w:val="00000A"/>
                <w:sz w:val="20"/>
                <w:szCs w:val="22"/>
                <w:lang w:eastAsia="zh-CN"/>
              </w:rPr>
              <w:t xml:space="preserve"> </w:t>
            </w:r>
            <w:r>
              <w:rPr>
                <w:rFonts w:eastAsia="Calibri" w:cs="Arial" w:ascii="Arial" w:hAnsi="Arial"/>
                <w:color w:val="00000A"/>
                <w:sz w:val="20"/>
                <w:szCs w:val="22"/>
                <w:lang w:eastAsia="zh-CN"/>
              </w:rPr>
              <w:t>textos em História Oral. Rio de Janeiro: Editora FGV, 2004.</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lang w:eastAsia="zh-CN"/>
              </w:rPr>
              <w:t xml:space="preserve">FERREIRA, Marieta; AMADO, Janaína. </w:t>
            </w:r>
            <w:r>
              <w:rPr>
                <w:rFonts w:eastAsia="Calibri" w:cs="Arial" w:ascii="Arial" w:hAnsi="Arial"/>
                <w:i/>
                <w:color w:val="00000A"/>
                <w:sz w:val="20"/>
                <w:szCs w:val="22"/>
                <w:lang w:eastAsia="zh-CN"/>
              </w:rPr>
              <w:t>Usos e abusos da História Oral</w:t>
            </w:r>
            <w:r>
              <w:rPr>
                <w:rFonts w:eastAsia="Calibri" w:cs="Arial" w:ascii="Arial" w:hAnsi="Arial"/>
                <w:color w:val="00000A"/>
                <w:sz w:val="20"/>
                <w:szCs w:val="22"/>
                <w:lang w:eastAsia="zh-CN"/>
              </w:rPr>
              <w:t>. Rio de Janeiro: Editora FGV, 1996.</w:t>
            </w:r>
          </w:p>
          <w:p>
            <w:pPr>
              <w:pStyle w:val="Normal"/>
              <w:spacing w:before="0" w:after="0"/>
              <w:jc w:val="both"/>
              <w:rPr>
                <w:rFonts w:ascii="Arial" w:hAnsi="Arial" w:cs="Arial"/>
                <w:b/>
                <w:b/>
              </w:rPr>
            </w:pPr>
            <w:r>
              <w:rPr>
                <w:rFonts w:eastAsia="Calibri" w:cs="Arial" w:ascii="Arial" w:hAnsi="Arial"/>
                <w:sz w:val="20"/>
                <w:lang w:eastAsia="zh-CN"/>
              </w:rPr>
              <w:t xml:space="preserve">LE GOFF, Jacques. </w:t>
            </w:r>
            <w:r>
              <w:rPr>
                <w:rFonts w:eastAsia="Calibri" w:cs="Arial" w:ascii="Arial" w:hAnsi="Arial"/>
                <w:i/>
                <w:sz w:val="20"/>
                <w:lang w:eastAsia="zh-CN"/>
              </w:rPr>
              <w:t>História e Memória</w:t>
            </w:r>
            <w:r>
              <w:rPr>
                <w:rFonts w:eastAsia="Calibri" w:cs="Arial" w:ascii="Arial" w:hAnsi="Arial"/>
                <w:sz w:val="20"/>
                <w:lang w:eastAsia="zh-CN"/>
              </w:rPr>
              <w:t>. Campinas, SP: Editora da Unicamp, 1996.</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eastAsia="Calibri" w:cs="Arial"/>
                <w:color w:val="00000A"/>
                <w:sz w:val="20"/>
                <w:szCs w:val="22"/>
                <w:lang w:eastAsia="zh-CN"/>
              </w:rPr>
            </w:pPr>
            <w:r>
              <w:rPr>
                <w:rFonts w:eastAsia="Calibri" w:cs="Arial" w:ascii="Arial" w:hAnsi="Arial"/>
                <w:color w:val="00000A"/>
                <w:sz w:val="20"/>
                <w:szCs w:val="22"/>
                <w:lang w:eastAsia="zh-CN"/>
              </w:rPr>
              <w:t xml:space="preserve">DELGADO, Lucília de Almeida Neves. </w:t>
            </w:r>
            <w:r>
              <w:rPr>
                <w:rFonts w:eastAsia="Calibri" w:cs="Arial" w:ascii="Arial" w:hAnsi="Arial"/>
                <w:i/>
                <w:color w:val="00000A"/>
                <w:sz w:val="20"/>
                <w:szCs w:val="22"/>
                <w:lang w:eastAsia="zh-CN"/>
              </w:rPr>
              <w:t xml:space="preserve">História Oral: </w:t>
            </w:r>
            <w:r>
              <w:rPr>
                <w:rFonts w:eastAsia="Calibri" w:cs="Arial" w:ascii="Arial" w:hAnsi="Arial"/>
                <w:color w:val="00000A"/>
                <w:sz w:val="20"/>
                <w:szCs w:val="22"/>
                <w:lang w:eastAsia="zh-CN"/>
              </w:rPr>
              <w:t>memória, tempo, identidades</w:t>
            </w:r>
            <w:r>
              <w:rPr>
                <w:rFonts w:eastAsia="Calibri" w:cs="Arial" w:ascii="Arial" w:hAnsi="Arial"/>
                <w:i/>
                <w:color w:val="00000A"/>
                <w:sz w:val="20"/>
                <w:szCs w:val="22"/>
                <w:lang w:eastAsia="zh-CN"/>
              </w:rPr>
              <w:t>.</w:t>
            </w:r>
            <w:r>
              <w:rPr>
                <w:rFonts w:eastAsia="Calibri" w:cs="Arial" w:ascii="Arial" w:hAnsi="Arial"/>
                <w:color w:val="00000A"/>
                <w:sz w:val="20"/>
                <w:szCs w:val="22"/>
                <w:lang w:eastAsia="zh-CN"/>
              </w:rPr>
              <w:t xml:space="preserve"> Belo Horizonte: Autêntica, 2006.</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HUYSSEN, Andreas. </w:t>
            </w:r>
            <w:r>
              <w:rPr>
                <w:rFonts w:cs="Arial" w:ascii="Arial" w:hAnsi="Arial"/>
                <w:i/>
                <w:color w:val="00000A"/>
                <w:sz w:val="20"/>
                <w:szCs w:val="22"/>
              </w:rPr>
              <w:t>Resistência à memória:</w:t>
            </w:r>
            <w:r>
              <w:rPr>
                <w:rFonts w:cs="Arial" w:ascii="Arial" w:hAnsi="Arial"/>
                <w:color w:val="00000A"/>
                <w:sz w:val="20"/>
                <w:szCs w:val="22"/>
              </w:rPr>
              <w:t xml:space="preserve"> usos e abusos do esquecimento público. Porto Alegre, 2004.</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lang w:eastAsia="zh-CN"/>
              </w:rPr>
              <w:t xml:space="preserve">OLSON, David. </w:t>
            </w:r>
            <w:r>
              <w:rPr>
                <w:rFonts w:eastAsia="Calibri" w:cs="Arial" w:ascii="Arial" w:hAnsi="Arial"/>
                <w:i/>
                <w:color w:val="00000A"/>
                <w:sz w:val="20"/>
                <w:szCs w:val="22"/>
                <w:lang w:eastAsia="zh-CN"/>
              </w:rPr>
              <w:t>O Mundo no papel</w:t>
            </w:r>
            <w:r>
              <w:rPr>
                <w:rFonts w:eastAsia="Calibri" w:cs="Arial" w:ascii="Arial" w:hAnsi="Arial"/>
                <w:color w:val="00000A"/>
                <w:sz w:val="20"/>
                <w:szCs w:val="22"/>
                <w:lang w:eastAsia="zh-CN"/>
              </w:rPr>
              <w:t>. São Paulo: Ática, 1997.</w:t>
            </w:r>
          </w:p>
          <w:p>
            <w:pPr>
              <w:pStyle w:val="Padro"/>
              <w:spacing w:lineRule="auto" w:line="240" w:before="0" w:after="0"/>
              <w:jc w:val="both"/>
              <w:rPr>
                <w:rFonts w:ascii="Arial" w:hAnsi="Arial" w:eastAsia="Calibri" w:cs="Arial"/>
                <w:color w:val="00000A"/>
                <w:sz w:val="20"/>
                <w:szCs w:val="22"/>
                <w:lang w:eastAsia="zh-CN"/>
              </w:rPr>
            </w:pPr>
            <w:r>
              <w:rPr>
                <w:rFonts w:eastAsia="Calibri" w:cs="Arial" w:ascii="Arial" w:hAnsi="Arial"/>
                <w:color w:val="00000A"/>
                <w:sz w:val="20"/>
                <w:szCs w:val="22"/>
                <w:lang w:eastAsia="zh-CN"/>
              </w:rPr>
              <w:t xml:space="preserve">ONG, Walter J. </w:t>
            </w:r>
            <w:r>
              <w:rPr>
                <w:rFonts w:eastAsia="Calibri" w:cs="Arial" w:ascii="Arial" w:hAnsi="Arial"/>
                <w:i/>
                <w:color w:val="00000A"/>
                <w:sz w:val="20"/>
                <w:szCs w:val="22"/>
                <w:lang w:eastAsia="zh-CN"/>
              </w:rPr>
              <w:t>Oralidade e cultura escrita</w:t>
            </w:r>
            <w:r>
              <w:rPr>
                <w:rFonts w:eastAsia="Calibri" w:cs="Arial" w:ascii="Arial" w:hAnsi="Arial"/>
                <w:color w:val="00000A"/>
                <w:sz w:val="20"/>
                <w:szCs w:val="22"/>
                <w:lang w:eastAsia="zh-CN"/>
              </w:rPr>
              <w:t>: a tecnologização de palavra. São Paulo: Papirus, 1998.</w:t>
            </w:r>
          </w:p>
          <w:p>
            <w:pPr>
              <w:pStyle w:val="Normal"/>
              <w:spacing w:before="0" w:after="0"/>
              <w:jc w:val="both"/>
              <w:rPr>
                <w:rFonts w:ascii="Arial" w:hAnsi="Arial" w:cs="Arial"/>
                <w:b/>
                <w:b/>
              </w:rPr>
            </w:pPr>
            <w:r>
              <w:rPr>
                <w:rFonts w:eastAsia="Calibri" w:cs="Arial" w:ascii="Arial" w:hAnsi="Arial"/>
                <w:sz w:val="20"/>
                <w:lang w:eastAsia="zh-CN"/>
              </w:rPr>
              <w:t xml:space="preserve">RICOEUR, Paul. </w:t>
            </w:r>
            <w:r>
              <w:rPr>
                <w:rFonts w:eastAsia="Calibri" w:cs="Arial" w:ascii="Arial" w:hAnsi="Arial"/>
                <w:i/>
                <w:sz w:val="20"/>
                <w:lang w:eastAsia="zh-CN"/>
              </w:rPr>
              <w:t>A memória, a história e o esquecimento</w:t>
            </w:r>
            <w:r>
              <w:rPr>
                <w:rFonts w:eastAsia="Calibri" w:cs="Arial" w:ascii="Arial" w:hAnsi="Arial"/>
                <w:sz w:val="20"/>
                <w:lang w:eastAsia="zh-CN"/>
              </w:rPr>
              <w:t>. Campinas: São Paulo: Editora da Unicamp, 2007.</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 xml:space="preserve">Unidade Curricular: </w:t>
            </w:r>
            <w:r>
              <w:rPr>
                <w:rFonts w:cs="Arial" w:ascii="Arial" w:hAnsi="Arial"/>
                <w:b/>
                <w:u w:val="single"/>
              </w:rPr>
              <w:t>História, Memória e Patrimônio</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A)</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shd w:fill="FFFFFF" w:val="clear"/>
              </w:rPr>
              <w:t xml:space="preserve"> </w:t>
            </w:r>
            <w:r>
              <w:rPr>
                <w:rFonts w:cs="Arial" w:ascii="Arial" w:hAnsi="Arial"/>
              </w:rPr>
              <w:t>História e Memória. A invenção das tradições. O papel do historiador. A formação das coleções a partir do século XIV. O desenvolvimento da ciência da classificação no século XVIII. A Revolução Francesa e a invenção do patrimônio. O nascimento dos museus no século XIX. Os estados nacionais e a institucionalização do patrimônio. A questão do patrimônio como narrativa do passado.</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Bibliografia Básica:</w:t>
            </w:r>
          </w:p>
          <w:p>
            <w:pPr>
              <w:pStyle w:val="Normal"/>
              <w:spacing w:lineRule="auto" w:line="240" w:before="0" w:after="0"/>
              <w:ind w:right="-2" w:hanging="0"/>
              <w:jc w:val="both"/>
              <w:rPr>
                <w:rFonts w:ascii="Arial" w:hAnsi="Arial" w:cs="Arial"/>
                <w:sz w:val="20"/>
              </w:rPr>
            </w:pPr>
            <w:r>
              <w:rPr>
                <w:rFonts w:cs="Arial" w:ascii="Arial" w:hAnsi="Arial"/>
                <w:sz w:val="20"/>
              </w:rPr>
              <w:t>CHOAY, Françoise</w:t>
            </w:r>
            <w:r>
              <w:rPr>
                <w:rFonts w:cs="Arial" w:ascii="Arial" w:hAnsi="Arial"/>
                <w:i/>
                <w:sz w:val="20"/>
              </w:rPr>
              <w:t>. Alegoria do patrimônio</w:t>
            </w:r>
            <w:r>
              <w:rPr>
                <w:rFonts w:cs="Arial" w:ascii="Arial" w:hAnsi="Arial"/>
                <w:sz w:val="20"/>
              </w:rPr>
              <w:t>. São Paulo: Estação Liberdade e UNESP, 2001.</w:t>
            </w:r>
          </w:p>
          <w:p>
            <w:pPr>
              <w:pStyle w:val="Normal"/>
              <w:spacing w:lineRule="auto" w:line="240" w:before="0" w:after="0"/>
              <w:jc w:val="both"/>
              <w:rPr>
                <w:rFonts w:ascii="Arial" w:hAnsi="Arial" w:cs="Arial"/>
                <w:sz w:val="20"/>
              </w:rPr>
            </w:pPr>
            <w:r>
              <w:rPr>
                <w:rFonts w:cs="Arial" w:ascii="Arial" w:hAnsi="Arial"/>
                <w:sz w:val="20"/>
              </w:rPr>
              <w:t xml:space="preserve">FUNARI, Pedro Paulo e PELEGRINI, Sandra de Cássia Araújo. </w:t>
            </w:r>
            <w:r>
              <w:rPr>
                <w:rFonts w:cs="Arial" w:ascii="Arial" w:hAnsi="Arial"/>
                <w:i/>
                <w:iCs/>
                <w:sz w:val="20"/>
              </w:rPr>
              <w:t xml:space="preserve">Patrimônio histórico e cultural. </w:t>
            </w:r>
            <w:r>
              <w:rPr>
                <w:rFonts w:cs="Arial" w:ascii="Arial" w:hAnsi="Arial"/>
                <w:sz w:val="20"/>
              </w:rPr>
              <w:t>Rio de Janeiro: Jorge Zahar, 2006.</w:t>
            </w:r>
          </w:p>
          <w:p>
            <w:pPr>
              <w:pStyle w:val="Normal"/>
              <w:spacing w:lineRule="auto" w:line="240" w:before="0" w:after="0"/>
              <w:jc w:val="both"/>
              <w:rPr>
                <w:rFonts w:ascii="Arial" w:hAnsi="Arial" w:cs="Arial"/>
              </w:rPr>
            </w:pPr>
            <w:r>
              <w:rPr>
                <w:rFonts w:cs="Arial" w:ascii="Arial" w:hAnsi="Arial"/>
                <w:sz w:val="20"/>
              </w:rPr>
              <w:t xml:space="preserve">LEMOS, Carlos A. C. </w:t>
            </w:r>
            <w:r>
              <w:rPr>
                <w:rFonts w:cs="Arial" w:ascii="Arial" w:hAnsi="Arial"/>
                <w:bCs/>
                <w:i/>
                <w:sz w:val="20"/>
              </w:rPr>
              <w:t>O que é patrimônio histórico</w:t>
            </w:r>
            <w:r>
              <w:rPr>
                <w:rFonts w:cs="Arial" w:ascii="Arial" w:hAnsi="Arial"/>
                <w:b/>
                <w:bCs/>
                <w:sz w:val="20"/>
              </w:rPr>
              <w:t xml:space="preserve">. </w:t>
            </w:r>
            <w:r>
              <w:rPr>
                <w:rFonts w:cs="Arial" w:ascii="Arial" w:hAnsi="Arial"/>
                <w:sz w:val="20"/>
              </w:rPr>
              <w:t>São Paulo: Brasiliense, 1981.</w:t>
            </w:r>
          </w:p>
        </w:tc>
      </w:tr>
      <w:tr>
        <w:trPr/>
        <w:tc>
          <w:tcPr>
            <w:tcW w:w="8494" w:type="dxa"/>
            <w:tcBorders>
              <w:top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Bibliografia Complementar:</w:t>
            </w:r>
          </w:p>
          <w:p>
            <w:pPr>
              <w:pStyle w:val="Normal"/>
              <w:spacing w:lineRule="auto" w:line="240" w:before="0" w:after="0"/>
              <w:jc w:val="both"/>
              <w:rPr>
                <w:rFonts w:ascii="Arial" w:hAnsi="Arial" w:cs="Arial"/>
                <w:sz w:val="20"/>
                <w:lang w:val="pt-PT"/>
              </w:rPr>
            </w:pPr>
            <w:r>
              <w:rPr>
                <w:rFonts w:cs="Arial" w:ascii="Arial" w:hAnsi="Arial"/>
                <w:sz w:val="20"/>
                <w:lang w:val="pt-PT"/>
              </w:rPr>
              <w:t xml:space="preserve">ABREU, Regina e CHAGAS, Mário (orgs.). </w:t>
            </w:r>
            <w:r>
              <w:rPr>
                <w:rFonts w:cs="Arial" w:ascii="Arial" w:hAnsi="Arial"/>
                <w:i/>
                <w:sz w:val="20"/>
                <w:lang w:val="pt-PT"/>
              </w:rPr>
              <w:t>Memória e Patrimônio</w:t>
            </w:r>
            <w:r>
              <w:rPr>
                <w:rFonts w:cs="Arial" w:ascii="Arial" w:hAnsi="Arial"/>
                <w:sz w:val="20"/>
                <w:lang w:val="pt-PT"/>
              </w:rPr>
              <w:t>: ensaios contemporâneos. Rio de Janeiro: DP&amp;A, 2003.</w:t>
            </w:r>
          </w:p>
          <w:p>
            <w:pPr>
              <w:pStyle w:val="Normal"/>
              <w:spacing w:lineRule="auto" w:line="240" w:before="0" w:after="0"/>
              <w:jc w:val="both"/>
              <w:rPr>
                <w:rFonts w:ascii="Arial" w:hAnsi="Arial" w:cs="Arial"/>
                <w:sz w:val="20"/>
              </w:rPr>
            </w:pPr>
            <w:r>
              <w:rPr>
                <w:rFonts w:cs="Arial" w:ascii="Arial" w:hAnsi="Arial"/>
                <w:sz w:val="20"/>
              </w:rPr>
              <w:t xml:space="preserve">CHAGAS, Mário (orgs.) </w:t>
            </w:r>
            <w:r>
              <w:rPr>
                <w:rFonts w:cs="Arial" w:ascii="Arial" w:hAnsi="Arial"/>
                <w:bCs/>
                <w:i/>
                <w:sz w:val="20"/>
              </w:rPr>
              <w:t>Memória e Patrimônio: ensaios contemporâneos</w:t>
            </w:r>
            <w:r>
              <w:rPr>
                <w:rFonts w:cs="Arial" w:ascii="Arial" w:hAnsi="Arial"/>
                <w:sz w:val="20"/>
              </w:rPr>
              <w:t>. Rio de Janeiro: DP&amp;A, 2003.</w:t>
            </w:r>
          </w:p>
          <w:p>
            <w:pPr>
              <w:pStyle w:val="Normal"/>
              <w:spacing w:lineRule="auto" w:line="240" w:before="0" w:after="0"/>
              <w:jc w:val="both"/>
              <w:rPr>
                <w:rFonts w:ascii="Arial" w:hAnsi="Arial" w:cs="Arial"/>
                <w:sz w:val="20"/>
              </w:rPr>
            </w:pPr>
            <w:r>
              <w:rPr>
                <w:rFonts w:cs="Arial" w:ascii="Arial" w:hAnsi="Arial"/>
                <w:sz w:val="20"/>
              </w:rPr>
              <w:t xml:space="preserve">LE GOFF, Jacques. </w:t>
            </w:r>
            <w:r>
              <w:rPr>
                <w:rFonts w:cs="Arial" w:ascii="Arial" w:hAnsi="Arial"/>
                <w:i/>
                <w:iCs/>
                <w:sz w:val="20"/>
              </w:rPr>
              <w:t>História e memória</w:t>
            </w:r>
            <w:r>
              <w:rPr>
                <w:rFonts w:cs="Arial" w:ascii="Arial" w:hAnsi="Arial"/>
                <w:sz w:val="20"/>
              </w:rPr>
              <w:t>. 4ª ed. Campinas: UNICAMP, 1996.</w:t>
            </w:r>
          </w:p>
          <w:p>
            <w:pPr>
              <w:pStyle w:val="Normal"/>
              <w:spacing w:lineRule="auto" w:line="240" w:before="0" w:after="0"/>
              <w:jc w:val="both"/>
              <w:rPr>
                <w:rFonts w:ascii="Arial" w:hAnsi="Arial" w:cs="Arial"/>
                <w:sz w:val="20"/>
                <w:lang w:eastAsia="pt-BR"/>
              </w:rPr>
            </w:pPr>
            <w:r>
              <w:rPr>
                <w:rFonts w:cs="Arial" w:ascii="Arial" w:hAnsi="Arial"/>
                <w:sz w:val="20"/>
                <w:lang w:eastAsia="pt-BR"/>
              </w:rPr>
              <w:t xml:space="preserve">PINHEIRO, Marcos José. </w:t>
            </w:r>
            <w:r>
              <w:rPr>
                <w:rFonts w:cs="Arial" w:ascii="Arial" w:hAnsi="Arial"/>
                <w:i/>
                <w:sz w:val="20"/>
                <w:lang w:eastAsia="pt-BR"/>
              </w:rPr>
              <w:t>Museu, memória e esquecimento</w:t>
            </w:r>
            <w:r>
              <w:rPr>
                <w:rFonts w:cs="Arial" w:ascii="Arial" w:hAnsi="Arial"/>
                <w:sz w:val="20"/>
                <w:lang w:eastAsia="pt-BR"/>
              </w:rPr>
              <w:t xml:space="preserve">: um projeto da modernidade. Rio de Janeiro: E-papers, 2004. </w:t>
            </w:r>
          </w:p>
          <w:p>
            <w:pPr>
              <w:pStyle w:val="Normal"/>
              <w:spacing w:lineRule="auto" w:line="240" w:before="0" w:after="0"/>
              <w:jc w:val="both"/>
              <w:rPr>
                <w:rFonts w:ascii="Arial" w:hAnsi="Arial" w:cs="Arial"/>
                <w:sz w:val="20"/>
              </w:rPr>
            </w:pPr>
            <w:r>
              <w:rPr>
                <w:rFonts w:cs="Arial" w:ascii="Arial" w:hAnsi="Arial"/>
                <w:sz w:val="20"/>
              </w:rPr>
              <w:t xml:space="preserve">RICOEUR, Paul. </w:t>
            </w:r>
            <w:r>
              <w:rPr>
                <w:rFonts w:cs="Arial" w:ascii="Arial" w:hAnsi="Arial"/>
                <w:i/>
                <w:sz w:val="20"/>
              </w:rPr>
              <w:t>A memória, a História, o Esquecimento</w:t>
            </w:r>
            <w:r>
              <w:rPr>
                <w:rFonts w:cs="Arial" w:ascii="Arial" w:hAnsi="Arial"/>
                <w:sz w:val="20"/>
              </w:rPr>
              <w:t>. Campinas, SP: Editora da UNICAMP, 2007.</w:t>
            </w:r>
          </w:p>
          <w:p>
            <w:pPr>
              <w:pStyle w:val="Normal"/>
              <w:spacing w:lineRule="auto" w:line="240" w:before="0" w:after="0"/>
              <w:jc w:val="both"/>
              <w:rPr>
                <w:rFonts w:ascii="Arial" w:hAnsi="Arial" w:cs="Arial"/>
                <w:b/>
                <w:b/>
              </w:rPr>
            </w:pPr>
            <w:r>
              <w:rPr>
                <w:rFonts w:cs="Arial" w:ascii="Arial" w:hAnsi="Arial"/>
                <w:sz w:val="20"/>
                <w:lang w:val="es-ES"/>
              </w:rPr>
              <w:t xml:space="preserve">RIEGL, Alois. </w:t>
            </w:r>
            <w:r>
              <w:rPr>
                <w:rFonts w:cs="Arial" w:ascii="Arial" w:hAnsi="Arial"/>
                <w:bCs/>
                <w:i/>
                <w:sz w:val="20"/>
                <w:lang w:val="es-ES"/>
              </w:rPr>
              <w:t>El culto moderno a los monumentos</w:t>
            </w:r>
            <w:r>
              <w:rPr>
                <w:rFonts w:cs="Arial" w:ascii="Arial" w:hAnsi="Arial"/>
                <w:i/>
                <w:sz w:val="20"/>
                <w:lang w:val="es-ES"/>
              </w:rPr>
              <w:t>.</w:t>
            </w:r>
            <w:r>
              <w:rPr>
                <w:rFonts w:cs="Arial" w:ascii="Arial" w:hAnsi="Arial"/>
                <w:sz w:val="20"/>
                <w:lang w:val="es-ES"/>
              </w:rPr>
              <w:t xml:space="preserve"> </w:t>
            </w:r>
            <w:r>
              <w:rPr>
                <w:rFonts w:cs="Arial" w:ascii="Arial" w:hAnsi="Arial"/>
                <w:sz w:val="20"/>
              </w:rPr>
              <w:t>Madrid: Visor, 1987.</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 xml:space="preserve">Unidade Curricular: </w:t>
            </w:r>
            <w:r>
              <w:rPr>
                <w:rFonts w:cs="Arial" w:ascii="Arial" w:hAnsi="Arial"/>
                <w:b/>
                <w:u w:val="single"/>
              </w:rPr>
              <w:t>Intérpretes Contemporâneos do Brasil</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A)</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shd w:fill="FFFFFF" w:val="clear"/>
              </w:rPr>
              <w:t xml:space="preserve"> </w:t>
            </w:r>
            <w:r>
              <w:rPr>
                <w:rFonts w:cs="Arial" w:ascii="Arial" w:hAnsi="Arial"/>
              </w:rPr>
              <w:t>O Brasil do século XX. As reinterpretações e releituras sobre a construção da nação. Estudo da produção cultural e intelectual. Novos temas que interpretaram o Brasil. Novas abordagens sobre a constituição social brasileira. O Brasil do século XXI e suas múltiplas abordagens.</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BOTELHO André; SCHWARCZ, Lilia Moritz. </w:t>
            </w:r>
            <w:r>
              <w:rPr>
                <w:rFonts w:cs="Arial" w:ascii="Arial" w:hAnsi="Arial"/>
                <w:bCs/>
                <w:i/>
                <w:color w:val="00000A"/>
                <w:sz w:val="20"/>
                <w:szCs w:val="22"/>
              </w:rPr>
              <w:t>Um Enigma Chamado Brasil</w:t>
            </w:r>
            <w:r>
              <w:rPr>
                <w:rFonts w:cs="Arial" w:ascii="Arial" w:hAnsi="Arial"/>
                <w:b/>
                <w:bCs/>
                <w:color w:val="00000A"/>
                <w:sz w:val="20"/>
                <w:szCs w:val="22"/>
              </w:rPr>
              <w:t xml:space="preserve"> </w:t>
            </w:r>
            <w:r>
              <w:rPr>
                <w:rFonts w:cs="Arial" w:ascii="Arial" w:hAnsi="Arial"/>
                <w:i/>
                <w:iCs/>
                <w:color w:val="00000A"/>
                <w:sz w:val="20"/>
                <w:szCs w:val="22"/>
              </w:rPr>
              <w:t xml:space="preserve">– </w:t>
            </w:r>
            <w:r>
              <w:rPr>
                <w:rFonts w:cs="Arial" w:ascii="Arial" w:hAnsi="Arial"/>
                <w:color w:val="00000A"/>
                <w:sz w:val="20"/>
                <w:szCs w:val="22"/>
              </w:rPr>
              <w:t>29 Intérpretes e um país. São Paulo: Companhia das Letras, 2009.</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MOTA, Lourenço Dantas (org). </w:t>
            </w:r>
            <w:r>
              <w:rPr>
                <w:rFonts w:cs="Arial" w:ascii="Arial" w:hAnsi="Arial"/>
                <w:bCs/>
                <w:i/>
                <w:color w:val="00000A"/>
                <w:sz w:val="20"/>
                <w:szCs w:val="22"/>
              </w:rPr>
              <w:t>Um banquete no trópico</w:t>
            </w:r>
            <w:r>
              <w:rPr>
                <w:rFonts w:cs="Arial" w:ascii="Arial" w:hAnsi="Arial"/>
                <w:b/>
                <w:bCs/>
                <w:color w:val="00000A"/>
                <w:sz w:val="20"/>
                <w:szCs w:val="22"/>
              </w:rPr>
              <w:t>,</w:t>
            </w:r>
            <w:r>
              <w:rPr>
                <w:rFonts w:cs="Arial" w:ascii="Arial" w:hAnsi="Arial"/>
                <w:color w:val="00000A"/>
                <w:sz w:val="20"/>
                <w:szCs w:val="22"/>
              </w:rPr>
              <w:t xml:space="preserve"> Introdução ao Brasil. São Paulo Editora Senac. Volume 1, 5. ed., 2008 e volume 2, 2. ed, 2002.</w:t>
            </w:r>
          </w:p>
          <w:p>
            <w:pPr>
              <w:pStyle w:val="Normal"/>
              <w:spacing w:before="0" w:after="0"/>
              <w:jc w:val="both"/>
              <w:rPr>
                <w:rFonts w:ascii="Arial" w:hAnsi="Arial" w:cs="Arial"/>
                <w:b/>
                <w:b/>
              </w:rPr>
            </w:pPr>
            <w:r>
              <w:rPr>
                <w:rFonts w:cs="Arial" w:ascii="Arial" w:hAnsi="Arial"/>
                <w:sz w:val="20"/>
              </w:rPr>
              <w:t xml:space="preserve">REIS, José Carlos. </w:t>
            </w:r>
            <w:r>
              <w:rPr>
                <w:rFonts w:cs="Arial" w:ascii="Arial" w:hAnsi="Arial"/>
                <w:bCs/>
                <w:i/>
                <w:sz w:val="20"/>
              </w:rPr>
              <w:t>As identidades do Brasil 2.</w:t>
            </w:r>
            <w:r>
              <w:rPr>
                <w:rFonts w:cs="Arial" w:ascii="Arial" w:hAnsi="Arial"/>
                <w:i/>
                <w:iCs/>
                <w:sz w:val="20"/>
              </w:rPr>
              <w:t xml:space="preserve"> </w:t>
            </w:r>
            <w:r>
              <w:rPr>
                <w:rFonts w:cs="Arial" w:ascii="Arial" w:hAnsi="Arial"/>
                <w:sz w:val="20"/>
              </w:rPr>
              <w:t>De Calmon a Bomfim: A favor do Brasil: direita ou esquerda? Rio de Janeiro: Editora FGV, 2006.</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BOTELHO André; SCHWARCZ, Lilia Moritz. </w:t>
            </w:r>
            <w:r>
              <w:rPr>
                <w:rFonts w:cs="Arial" w:ascii="Arial" w:hAnsi="Arial"/>
                <w:bCs/>
                <w:i/>
                <w:color w:val="00000A"/>
                <w:sz w:val="20"/>
                <w:szCs w:val="22"/>
              </w:rPr>
              <w:t>Agenda brasileira</w:t>
            </w:r>
            <w:r>
              <w:rPr>
                <w:rFonts w:cs="Arial" w:ascii="Arial" w:hAnsi="Arial"/>
                <w:i/>
                <w:iCs/>
                <w:color w:val="00000A"/>
                <w:sz w:val="20"/>
                <w:szCs w:val="22"/>
              </w:rPr>
              <w:t xml:space="preserve">: </w:t>
            </w:r>
            <w:r>
              <w:rPr>
                <w:rFonts w:cs="Arial" w:ascii="Arial" w:hAnsi="Arial"/>
                <w:color w:val="00000A"/>
                <w:sz w:val="20"/>
                <w:szCs w:val="22"/>
              </w:rPr>
              <w:t>Temas de uma sociedade em mudança. São Paulo: Companhia das Letras, 2011.</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NOVAIS, Fernando A. </w:t>
            </w:r>
            <w:r>
              <w:rPr>
                <w:rFonts w:cs="Arial" w:ascii="Arial" w:hAnsi="Arial"/>
                <w:bCs/>
                <w:i/>
                <w:color w:val="00000A"/>
                <w:sz w:val="20"/>
                <w:szCs w:val="22"/>
              </w:rPr>
              <w:t>Aproximações: estudos de história e historiografia</w:t>
            </w:r>
            <w:r>
              <w:rPr>
                <w:rFonts w:cs="Arial" w:ascii="Arial" w:hAnsi="Arial"/>
                <w:i/>
                <w:iCs/>
                <w:color w:val="00000A"/>
                <w:sz w:val="20"/>
                <w:szCs w:val="22"/>
              </w:rPr>
              <w:t xml:space="preserve">. </w:t>
            </w:r>
            <w:r>
              <w:rPr>
                <w:rFonts w:cs="Arial" w:ascii="Arial" w:hAnsi="Arial"/>
                <w:color w:val="00000A"/>
                <w:sz w:val="20"/>
                <w:szCs w:val="22"/>
              </w:rPr>
              <w:t>São Paulo: Cosac Naify, 2005.</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SANTOS, Afonso Carlos Marques dos. </w:t>
            </w:r>
            <w:r>
              <w:rPr>
                <w:rFonts w:cs="Arial" w:ascii="Arial" w:hAnsi="Arial"/>
                <w:bCs/>
                <w:i/>
                <w:color w:val="00000A"/>
                <w:sz w:val="20"/>
                <w:szCs w:val="22"/>
              </w:rPr>
              <w:t>A invenção do Brasil</w:t>
            </w:r>
            <w:r>
              <w:rPr>
                <w:rFonts w:cs="Arial" w:ascii="Arial" w:hAnsi="Arial"/>
                <w:i/>
                <w:iCs/>
                <w:color w:val="00000A"/>
                <w:sz w:val="20"/>
                <w:szCs w:val="22"/>
              </w:rPr>
              <w:t xml:space="preserve">: </w:t>
            </w:r>
            <w:r>
              <w:rPr>
                <w:rFonts w:cs="Arial" w:ascii="Arial" w:hAnsi="Arial"/>
                <w:color w:val="00000A"/>
                <w:sz w:val="20"/>
                <w:szCs w:val="22"/>
              </w:rPr>
              <w:t>Ensaios de história e cultura. Rio de Janeiro: Editora da UERJ, 2007.</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SCHWARZ, Roberto. </w:t>
            </w:r>
            <w:r>
              <w:rPr>
                <w:rFonts w:cs="Arial" w:ascii="Arial" w:hAnsi="Arial"/>
                <w:bCs/>
                <w:i/>
                <w:color w:val="00000A"/>
                <w:sz w:val="20"/>
                <w:szCs w:val="22"/>
              </w:rPr>
              <w:t>Sequências Brasileiras</w:t>
            </w:r>
            <w:r>
              <w:rPr>
                <w:rFonts w:cs="Arial" w:ascii="Arial" w:hAnsi="Arial"/>
                <w:i/>
                <w:iCs/>
                <w:color w:val="00000A"/>
                <w:sz w:val="20"/>
                <w:szCs w:val="22"/>
              </w:rPr>
              <w:t xml:space="preserve">: </w:t>
            </w:r>
            <w:r>
              <w:rPr>
                <w:rFonts w:cs="Arial" w:ascii="Arial" w:hAnsi="Arial"/>
                <w:color w:val="00000A"/>
                <w:sz w:val="20"/>
                <w:szCs w:val="22"/>
              </w:rPr>
              <w:t>Ensaios. São Paulo: Cia. Das Letras, 1999.</w:t>
            </w:r>
          </w:p>
          <w:p>
            <w:pPr>
              <w:pStyle w:val="Normal"/>
              <w:spacing w:before="0" w:after="0"/>
              <w:jc w:val="both"/>
              <w:rPr>
                <w:rFonts w:ascii="Arial" w:hAnsi="Arial" w:cs="Arial"/>
                <w:b/>
                <w:b/>
              </w:rPr>
            </w:pPr>
            <w:r>
              <w:rPr>
                <w:rFonts w:cs="Arial" w:ascii="Arial" w:hAnsi="Arial"/>
                <w:sz w:val="20"/>
                <w:lang w:val="fr-BE"/>
              </w:rPr>
              <w:t xml:space="preserve">SOIHET, Rachel.et alli. (Orgs.). </w:t>
            </w:r>
            <w:r>
              <w:rPr>
                <w:rFonts w:cs="Arial" w:ascii="Arial" w:hAnsi="Arial"/>
                <w:bCs/>
                <w:i/>
                <w:sz w:val="20"/>
              </w:rPr>
              <w:t>Mitos, projetos e práticas políticas:</w:t>
            </w:r>
            <w:r>
              <w:rPr>
                <w:rFonts w:cs="Arial" w:ascii="Arial" w:hAnsi="Arial"/>
                <w:b/>
                <w:bCs/>
                <w:sz w:val="20"/>
              </w:rPr>
              <w:t xml:space="preserve"> </w:t>
            </w:r>
            <w:r>
              <w:rPr>
                <w:rFonts w:cs="Arial" w:ascii="Arial" w:hAnsi="Arial"/>
                <w:bCs/>
                <w:sz w:val="20"/>
              </w:rPr>
              <w:t>Memória e historiografia</w:t>
            </w:r>
            <w:r>
              <w:rPr>
                <w:rFonts w:cs="Arial" w:ascii="Arial" w:hAnsi="Arial"/>
                <w:i/>
                <w:iCs/>
                <w:sz w:val="20"/>
              </w:rPr>
              <w:t xml:space="preserve">. </w:t>
            </w:r>
            <w:r>
              <w:rPr>
                <w:rFonts w:cs="Arial" w:ascii="Arial" w:hAnsi="Arial"/>
                <w:sz w:val="20"/>
              </w:rPr>
              <w:t>Rio de Janeiro: Civilização Brasileira, 2009.</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b/>
                <w:u w:val="single"/>
              </w:rPr>
              <w:t xml:space="preserve"> Literatura Medieval</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B)</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shd w:fill="FFFFFF" w:val="clear"/>
              </w:rPr>
              <w:t xml:space="preserve"> </w:t>
            </w:r>
            <w:r>
              <w:rPr>
                <w:rFonts w:cs="Arial" w:ascii="Arial" w:hAnsi="Arial"/>
              </w:rPr>
              <w:t>Leitura crítica de um corpus de fontes literárias medievais (dos séculos XII ao XV) em prosa e em poesia, a partir de uma perspectiva interdisciplinar. Contextualização e análise de elementos estéticos e históricos das fontes.</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CURTIUS, Ernest Robert. </w:t>
            </w:r>
            <w:r>
              <w:rPr>
                <w:rFonts w:cs="Arial" w:ascii="Arial" w:hAnsi="Arial"/>
                <w:i/>
                <w:color w:val="00000A"/>
                <w:sz w:val="20"/>
                <w:szCs w:val="22"/>
              </w:rPr>
              <w:t>Literatura europeia e idade média latina.</w:t>
            </w:r>
            <w:r>
              <w:rPr>
                <w:rFonts w:cs="Arial" w:ascii="Arial" w:hAnsi="Arial"/>
                <w:color w:val="00000A"/>
                <w:sz w:val="20"/>
                <w:szCs w:val="22"/>
              </w:rPr>
              <w:t xml:space="preserve"> São Paulo: Edusp, 1957. </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LE GOFF, J. A. SCHMITT, J. (Dir.) </w:t>
            </w:r>
            <w:r>
              <w:rPr>
                <w:rFonts w:cs="Arial" w:ascii="Arial" w:hAnsi="Arial"/>
                <w:i/>
                <w:color w:val="00000A"/>
                <w:sz w:val="20"/>
                <w:szCs w:val="22"/>
              </w:rPr>
              <w:t>Dicionário Temático do Ocidente Medieval.</w:t>
            </w:r>
            <w:r>
              <w:rPr>
                <w:rFonts w:cs="Arial" w:ascii="Arial" w:hAnsi="Arial"/>
                <w:color w:val="00000A"/>
                <w:sz w:val="20"/>
                <w:szCs w:val="22"/>
              </w:rPr>
              <w:t xml:space="preserve"> 2v. Bauru: EDUSC, 2006.</w:t>
            </w:r>
          </w:p>
          <w:p>
            <w:pPr>
              <w:pStyle w:val="Normal"/>
              <w:spacing w:before="0" w:after="0"/>
              <w:jc w:val="both"/>
              <w:rPr>
                <w:rFonts w:ascii="Arial" w:hAnsi="Arial" w:cs="Arial"/>
                <w:b/>
                <w:b/>
              </w:rPr>
            </w:pPr>
            <w:r>
              <w:rPr>
                <w:rFonts w:cs="Arial" w:ascii="Arial" w:hAnsi="Arial"/>
                <w:sz w:val="20"/>
              </w:rPr>
              <w:t xml:space="preserve">ZUMTHOR, Paul. </w:t>
            </w:r>
            <w:r>
              <w:rPr>
                <w:rFonts w:cs="Arial" w:ascii="Arial" w:hAnsi="Arial"/>
                <w:i/>
                <w:sz w:val="20"/>
              </w:rPr>
              <w:t>A letra e a voz.</w:t>
            </w:r>
            <w:r>
              <w:rPr>
                <w:rFonts w:cs="Arial" w:ascii="Arial" w:hAnsi="Arial"/>
                <w:sz w:val="20"/>
              </w:rPr>
              <w:t xml:space="preserve"> A ‘literatura medieval’. São Paulo: Companhia das Letras, 1993.</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ANDRÉ CAPELÃO. </w:t>
            </w:r>
            <w:r>
              <w:rPr>
                <w:rFonts w:cs="Arial" w:ascii="Arial" w:hAnsi="Arial"/>
                <w:i/>
                <w:color w:val="00000A"/>
                <w:sz w:val="20"/>
                <w:szCs w:val="22"/>
              </w:rPr>
              <w:t>O tratado do amor cortês.</w:t>
            </w:r>
            <w:r>
              <w:rPr>
                <w:rFonts w:cs="Arial" w:ascii="Arial" w:hAnsi="Arial"/>
                <w:color w:val="00000A"/>
                <w:sz w:val="20"/>
                <w:szCs w:val="22"/>
              </w:rPr>
              <w:t xml:space="preserve"> São Paulo: Martins Fontes, 2000.</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CHRÉTIEN DE TROYES. </w:t>
            </w:r>
            <w:r>
              <w:rPr>
                <w:rFonts w:cs="Arial" w:ascii="Arial" w:hAnsi="Arial"/>
                <w:i/>
                <w:color w:val="00000A"/>
                <w:sz w:val="20"/>
                <w:szCs w:val="22"/>
              </w:rPr>
              <w:t>Romances da Távola Redonda.</w:t>
            </w:r>
            <w:r>
              <w:rPr>
                <w:rFonts w:cs="Arial" w:ascii="Arial" w:hAnsi="Arial"/>
                <w:color w:val="00000A"/>
                <w:sz w:val="20"/>
                <w:szCs w:val="22"/>
              </w:rPr>
              <w:t xml:space="preserve"> São Paulo: Martins Fontes, 1998.</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DUBY, Georges (org). </w:t>
            </w:r>
            <w:r>
              <w:rPr>
                <w:rFonts w:cs="Arial" w:ascii="Arial" w:hAnsi="Arial"/>
                <w:i/>
                <w:color w:val="00000A"/>
                <w:sz w:val="20"/>
                <w:szCs w:val="22"/>
              </w:rPr>
              <w:t>História da Vida Privada:</w:t>
            </w:r>
            <w:r>
              <w:rPr>
                <w:rFonts w:cs="Arial" w:ascii="Arial" w:hAnsi="Arial"/>
                <w:color w:val="00000A"/>
                <w:sz w:val="20"/>
                <w:szCs w:val="22"/>
              </w:rPr>
              <w:t xml:space="preserve"> da Europa Feudal à Renascença. SP: Cia das Letras, 1990, vol. 2, p. 320-344.</w:t>
            </w:r>
          </w:p>
          <w:p>
            <w:pPr>
              <w:pStyle w:val="Padro"/>
              <w:spacing w:lineRule="auto" w:line="240" w:before="0" w:after="0"/>
              <w:jc w:val="both"/>
              <w:rPr>
                <w:rFonts w:ascii="Arial" w:hAnsi="Arial" w:cs="Arial"/>
                <w:color w:val="00000A"/>
                <w:sz w:val="20"/>
                <w:szCs w:val="22"/>
              </w:rPr>
            </w:pPr>
            <w:r>
              <w:rPr>
                <w:rFonts w:cs="Arial" w:ascii="Arial" w:hAnsi="Arial"/>
                <w:color w:val="00000A"/>
                <w:sz w:val="20"/>
                <w:szCs w:val="22"/>
              </w:rPr>
              <w:t xml:space="preserve">LEÃO, Ângela Vaz. </w:t>
            </w:r>
            <w:r>
              <w:rPr>
                <w:rFonts w:cs="Arial" w:ascii="Arial" w:hAnsi="Arial"/>
                <w:i/>
                <w:color w:val="00000A"/>
                <w:sz w:val="20"/>
                <w:szCs w:val="22"/>
              </w:rPr>
              <w:t xml:space="preserve">Cantigas de Afonso X a Santa Maria. </w:t>
            </w:r>
            <w:r>
              <w:rPr>
                <w:rFonts w:cs="Arial" w:ascii="Arial" w:hAnsi="Arial"/>
                <w:color w:val="00000A"/>
                <w:sz w:val="20"/>
                <w:szCs w:val="22"/>
              </w:rPr>
              <w:t>(antologia, tradução e comentários). Belo Horizonte: Veredas e Cenários, 2011.</w:t>
            </w:r>
          </w:p>
          <w:p>
            <w:pPr>
              <w:pStyle w:val="Padro"/>
              <w:spacing w:lineRule="auto" w:line="240" w:before="0" w:after="0"/>
              <w:jc w:val="both"/>
              <w:rPr>
                <w:rFonts w:ascii="Arial" w:hAnsi="Arial" w:cs="Arial"/>
                <w:color w:val="00000A"/>
                <w:sz w:val="22"/>
                <w:szCs w:val="22"/>
              </w:rPr>
            </w:pPr>
            <w:r>
              <w:rPr>
                <w:rFonts w:cs="Arial" w:ascii="Arial" w:hAnsi="Arial"/>
                <w:color w:val="00000A"/>
                <w:sz w:val="20"/>
                <w:szCs w:val="22"/>
              </w:rPr>
              <w:t xml:space="preserve">LE GOFF, Jacques. </w:t>
            </w:r>
            <w:r>
              <w:rPr>
                <w:rFonts w:cs="Arial" w:ascii="Arial" w:hAnsi="Arial"/>
                <w:i/>
                <w:color w:val="00000A"/>
                <w:sz w:val="20"/>
                <w:szCs w:val="22"/>
              </w:rPr>
              <w:t>Para um novo conceito de Idade Média:</w:t>
            </w:r>
            <w:r>
              <w:rPr>
                <w:rFonts w:cs="Arial" w:ascii="Arial" w:hAnsi="Arial"/>
                <w:color w:val="00000A"/>
                <w:sz w:val="20"/>
                <w:szCs w:val="22"/>
              </w:rPr>
              <w:t xml:space="preserve"> Tempo, trabalho e cultura no Ocidente. Lisboa: Estampa, 1997.</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color="auto"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 xml:space="preserve">Unidade Curricular: </w:t>
            </w:r>
            <w:r>
              <w:rPr>
                <w:rFonts w:cs="Arial" w:ascii="Arial" w:hAnsi="Arial"/>
                <w:b/>
                <w:u w:val="single"/>
              </w:rPr>
              <w:t>Oficina de texto em Língua Portuguesa</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B)</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w:t>
            </w:r>
          </w:p>
        </w:tc>
      </w:tr>
      <w:tr>
        <w:trPr/>
        <w:tc>
          <w:tcPr>
            <w:tcW w:w="8494" w:type="dxa"/>
            <w:tcBorders>
              <w:top w:val="nil"/>
              <w:bottom w:val="nil"/>
              <w:insideH w:val="nil"/>
            </w:tcBorders>
            <w:shd w:color="auto"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shd w:fill="FFFFFF" w:val="clear"/>
              </w:rPr>
              <w:t xml:space="preserve"> </w:t>
            </w:r>
            <w:r>
              <w:rPr>
                <w:rFonts w:eastAsia="Times New Roman" w:cs="Arial" w:ascii="Arial" w:hAnsi="Arial"/>
                <w:shd w:fill="FFFFFF" w:val="clear"/>
                <w:lang w:eastAsia="pt-BR"/>
              </w:rPr>
              <w:t>Noções de texto, critérios de textualidade e de textualização. Gêneros e tipos textuais. Atividades teórico-práticas de produção e de compreensão/análise textual de gêneros acadêmicos (resumo, resenha, relatório, artigo, etc.). Plágio e pesquisa</w:t>
            </w:r>
          </w:p>
        </w:tc>
      </w:tr>
      <w:tr>
        <w:trPr/>
        <w:tc>
          <w:tcPr>
            <w:tcW w:w="8494" w:type="dxa"/>
            <w:tcBorders>
              <w:top w:val="nil"/>
              <w:bottom w:val="nil"/>
              <w:insideH w:val="nil"/>
            </w:tcBorders>
            <w:shd w:color="auto" w:fill="auto" w:val="clear"/>
            <w:tcMar>
              <w:left w:w="108" w:type="dxa"/>
            </w:tcMar>
          </w:tcPr>
          <w:p>
            <w:pPr>
              <w:pStyle w:val="Normal"/>
              <w:spacing w:lineRule="auto" w:line="240" w:before="0" w:after="0"/>
              <w:jc w:val="both"/>
              <w:rPr>
                <w:rFonts w:ascii="Arial" w:hAnsi="Arial" w:cs="Arial"/>
                <w:b/>
                <w:b/>
              </w:rPr>
            </w:pPr>
            <w:r>
              <w:rPr>
                <w:rFonts w:cs="Arial" w:ascii="Arial" w:hAnsi="Arial"/>
                <w:b/>
              </w:rPr>
              <w:t>Bibliografia Básica:</w:t>
            </w:r>
          </w:p>
          <w:p>
            <w:pPr>
              <w:pStyle w:val="Normal"/>
              <w:spacing w:lineRule="auto" w:line="240" w:before="0" w:after="0"/>
              <w:jc w:val="both"/>
              <w:textAlignment w:val="baseline"/>
              <w:rPr>
                <w:rFonts w:ascii="Arial" w:hAnsi="Arial" w:eastAsia="Times New Roman" w:cs="Arial"/>
                <w:sz w:val="20"/>
                <w:lang w:eastAsia="pt-BR"/>
              </w:rPr>
            </w:pPr>
            <w:r>
              <w:rPr>
                <w:rFonts w:eastAsia="Times New Roman" w:cs="Arial" w:ascii="Arial" w:hAnsi="Arial"/>
                <w:sz w:val="20"/>
                <w:lang w:eastAsia="pt-BR"/>
              </w:rPr>
              <w:t>FARACO, Carlos Alberto; TEZZA, Cristóvão. </w:t>
            </w:r>
            <w:r>
              <w:rPr>
                <w:rFonts w:eastAsia="Times New Roman" w:cs="Arial" w:ascii="Arial" w:hAnsi="Arial"/>
                <w:bCs/>
                <w:i/>
                <w:sz w:val="20"/>
                <w:lang w:eastAsia="pt-BR"/>
              </w:rPr>
              <w:t>Prática de textos para estudantes universitários.</w:t>
            </w:r>
            <w:r>
              <w:rPr>
                <w:rFonts w:eastAsia="Times New Roman" w:cs="Arial" w:ascii="Arial" w:hAnsi="Arial"/>
                <w:i/>
                <w:sz w:val="20"/>
                <w:lang w:eastAsia="pt-BR"/>
              </w:rPr>
              <w:t> </w:t>
            </w:r>
            <w:r>
              <w:rPr>
                <w:rFonts w:eastAsia="Times New Roman" w:cs="Arial" w:ascii="Arial" w:hAnsi="Arial"/>
                <w:sz w:val="20"/>
                <w:lang w:eastAsia="pt-BR"/>
              </w:rPr>
              <w:t>Petrópolis/RJ: Vozes, 2008.</w:t>
            </w:r>
          </w:p>
          <w:p>
            <w:pPr>
              <w:pStyle w:val="Normal"/>
              <w:shd w:val="clear" w:color="auto" w:fill="FFFFFF" w:themeFill="background1"/>
              <w:spacing w:lineRule="auto" w:line="240" w:before="0" w:after="0"/>
              <w:jc w:val="both"/>
              <w:textAlignment w:val="baseline"/>
              <w:rPr>
                <w:rFonts w:ascii="Arial" w:hAnsi="Arial" w:eastAsia="Times New Roman" w:cs="Arial"/>
                <w:sz w:val="20"/>
                <w:lang w:eastAsia="pt-BR"/>
              </w:rPr>
            </w:pPr>
            <w:r>
              <w:rPr>
                <w:rFonts w:eastAsia="Times New Roman" w:cs="Arial" w:ascii="Arial" w:hAnsi="Arial"/>
                <w:sz w:val="20"/>
                <w:lang w:eastAsia="pt-BR"/>
              </w:rPr>
              <w:t>MOTTA-ROTH, D. e HENDGES, G. </w:t>
            </w:r>
            <w:r>
              <w:rPr>
                <w:rFonts w:eastAsia="Times New Roman" w:cs="Arial" w:ascii="Arial" w:hAnsi="Arial"/>
                <w:bCs/>
                <w:i/>
                <w:sz w:val="20"/>
                <w:lang w:eastAsia="pt-BR"/>
              </w:rPr>
              <w:t>Produção textual na universidade</w:t>
            </w:r>
            <w:r>
              <w:rPr>
                <w:rFonts w:eastAsia="Times New Roman" w:cs="Arial" w:ascii="Arial" w:hAnsi="Arial"/>
                <w:i/>
                <w:sz w:val="20"/>
                <w:lang w:eastAsia="pt-BR"/>
              </w:rPr>
              <w:t>.</w:t>
            </w:r>
            <w:r>
              <w:rPr>
                <w:rFonts w:eastAsia="Times New Roman" w:cs="Arial" w:ascii="Arial" w:hAnsi="Arial"/>
                <w:sz w:val="20"/>
                <w:lang w:eastAsia="pt-BR"/>
              </w:rPr>
              <w:t xml:space="preserve"> São Paulo: Parábola Editorial, 2010.</w:t>
            </w:r>
          </w:p>
          <w:p>
            <w:pPr>
              <w:pStyle w:val="Normal"/>
              <w:shd w:val="clear" w:color="auto" w:fill="FFFFFF" w:themeFill="background1"/>
              <w:spacing w:lineRule="auto" w:line="240" w:before="0" w:after="0"/>
              <w:jc w:val="both"/>
              <w:rPr>
                <w:rFonts w:ascii="Arial" w:hAnsi="Arial" w:cs="Arial"/>
                <w:b/>
                <w:b/>
              </w:rPr>
            </w:pPr>
            <w:r>
              <w:rPr>
                <w:rFonts w:eastAsia="Times New Roman" w:cs="Arial" w:ascii="Arial" w:hAnsi="Arial"/>
                <w:sz w:val="20"/>
                <w:lang w:eastAsia="pt-BR"/>
              </w:rPr>
              <w:t>VASCONCELLOS, Ana Cristina de; FRANÇA, Júnia Lessa. </w:t>
            </w:r>
            <w:r>
              <w:rPr>
                <w:rFonts w:eastAsia="Times New Roman" w:cs="Arial" w:ascii="Arial" w:hAnsi="Arial"/>
                <w:bCs/>
                <w:i/>
                <w:sz w:val="20"/>
                <w:lang w:eastAsia="pt-BR"/>
              </w:rPr>
              <w:t>Manual para normalização de publicações técnico-científicas.</w:t>
            </w:r>
            <w:r>
              <w:rPr>
                <w:rFonts w:eastAsia="Times New Roman" w:cs="Arial" w:ascii="Arial" w:hAnsi="Arial"/>
                <w:i/>
                <w:sz w:val="20"/>
                <w:lang w:eastAsia="pt-BR"/>
              </w:rPr>
              <w:t> </w:t>
            </w:r>
            <w:r>
              <w:rPr>
                <w:rFonts w:eastAsia="Times New Roman" w:cs="Arial" w:ascii="Arial" w:hAnsi="Arial"/>
                <w:sz w:val="20"/>
                <w:lang w:eastAsia="pt-BR"/>
              </w:rPr>
              <w:t>Belo Horizonte: Ed. UFMG, 2015.</w:t>
            </w:r>
          </w:p>
        </w:tc>
      </w:tr>
      <w:tr>
        <w:trPr/>
        <w:tc>
          <w:tcPr>
            <w:tcW w:w="8494" w:type="dxa"/>
            <w:tcBorders>
              <w:top w:val="nil"/>
            </w:tcBorders>
            <w:shd w:color="auto" w:fill="FFFFFF" w:themeFill="background1" w:val="clear"/>
            <w:tcMar>
              <w:left w:w="108" w:type="dxa"/>
            </w:tcMar>
          </w:tcPr>
          <w:p>
            <w:pPr>
              <w:pStyle w:val="Normal"/>
              <w:spacing w:lineRule="auto" w:line="240" w:before="0" w:after="0"/>
              <w:jc w:val="both"/>
              <w:rPr>
                <w:rFonts w:ascii="Arial" w:hAnsi="Arial" w:cs="Arial"/>
                <w:b/>
                <w:b/>
              </w:rPr>
            </w:pPr>
            <w:r>
              <w:rPr>
                <w:rFonts w:cs="Arial" w:ascii="Arial" w:hAnsi="Arial"/>
                <w:b/>
              </w:rPr>
              <w:t>Bibliografia Complementar:</w:t>
            </w:r>
          </w:p>
          <w:p>
            <w:pPr>
              <w:pStyle w:val="Normal"/>
              <w:spacing w:lineRule="auto" w:line="240" w:before="0" w:after="0"/>
              <w:jc w:val="both"/>
              <w:rPr>
                <w:rFonts w:ascii="Arial" w:hAnsi="Arial" w:eastAsia="Times New Roman" w:cs="Arial"/>
                <w:sz w:val="20"/>
                <w:highlight w:val="white"/>
                <w:lang w:eastAsia="pt-BR"/>
              </w:rPr>
            </w:pPr>
            <w:r>
              <w:rPr>
                <w:rFonts w:eastAsia="Times New Roman" w:cs="Arial" w:ascii="Arial" w:hAnsi="Arial"/>
                <w:sz w:val="20"/>
                <w:shd w:fill="FFFFFF" w:val="clear"/>
                <w:lang w:eastAsia="pt-BR"/>
              </w:rPr>
              <w:t>KLEIMAN, Angela B.; MATENCIO, Maria de Lourdes Meirelles (Orgs.) </w:t>
            </w:r>
            <w:r>
              <w:rPr>
                <w:rFonts w:eastAsia="Times New Roman" w:cs="Arial" w:ascii="Arial" w:hAnsi="Arial"/>
                <w:bCs/>
                <w:i/>
                <w:sz w:val="20"/>
                <w:shd w:fill="FFFFFF" w:val="clear"/>
                <w:lang w:eastAsia="pt-BR"/>
              </w:rPr>
              <w:t>Letramento e formação do professor</w:t>
            </w:r>
            <w:r>
              <w:rPr>
                <w:rFonts w:eastAsia="Times New Roman" w:cs="Arial" w:ascii="Arial" w:hAnsi="Arial"/>
                <w:i/>
                <w:sz w:val="20"/>
                <w:shd w:fill="FFFFFF" w:val="clear"/>
                <w:lang w:eastAsia="pt-BR"/>
              </w:rPr>
              <w:t>:</w:t>
            </w:r>
            <w:r>
              <w:rPr>
                <w:rFonts w:eastAsia="Times New Roman" w:cs="Arial" w:ascii="Arial" w:hAnsi="Arial"/>
                <w:sz w:val="20"/>
                <w:shd w:fill="FFFFFF" w:val="clear"/>
                <w:lang w:eastAsia="pt-BR"/>
              </w:rPr>
              <w:t xml:space="preserve"> práticas discursivas, representações e construção do saber. Campinas, SP: Mercado de Letras, 2005. (Coleção ideias sobre linguagem).</w:t>
            </w:r>
          </w:p>
          <w:p>
            <w:pPr>
              <w:pStyle w:val="Normal"/>
              <w:spacing w:lineRule="auto" w:line="240" w:before="0" w:after="0"/>
              <w:jc w:val="both"/>
              <w:rPr>
                <w:rFonts w:ascii="Arial" w:hAnsi="Arial" w:eastAsia="Times New Roman" w:cs="Arial"/>
                <w:sz w:val="20"/>
                <w:highlight w:val="white"/>
                <w:lang w:eastAsia="pt-BR"/>
              </w:rPr>
            </w:pPr>
            <w:r>
              <w:rPr>
                <w:rFonts w:eastAsia="Times New Roman" w:cs="Arial" w:ascii="Arial" w:hAnsi="Arial"/>
                <w:sz w:val="20"/>
                <w:shd w:fill="FFFFFF" w:val="clear"/>
                <w:lang w:eastAsia="pt-BR"/>
              </w:rPr>
              <w:t xml:space="preserve">KOCH, Ingedore Vilhaça. </w:t>
            </w:r>
            <w:r>
              <w:rPr>
                <w:rFonts w:eastAsia="Times New Roman" w:cs="Arial" w:ascii="Arial" w:hAnsi="Arial"/>
                <w:i/>
                <w:sz w:val="20"/>
                <w:shd w:fill="FFFFFF" w:val="clear"/>
                <w:lang w:eastAsia="pt-BR"/>
              </w:rPr>
              <w:t xml:space="preserve">O texto e a construção dos sentidos. </w:t>
            </w:r>
            <w:r>
              <w:rPr>
                <w:rFonts w:eastAsia="Times New Roman" w:cs="Arial" w:ascii="Arial" w:hAnsi="Arial"/>
                <w:sz w:val="20"/>
                <w:shd w:fill="FFFFFF" w:val="clear"/>
                <w:lang w:eastAsia="pt-BR"/>
              </w:rPr>
              <w:t>São Paulo: Contexto, 2003.</w:t>
            </w:r>
          </w:p>
          <w:p>
            <w:pPr>
              <w:pStyle w:val="Normal"/>
              <w:spacing w:lineRule="auto" w:line="240" w:before="0" w:after="0"/>
              <w:jc w:val="both"/>
              <w:rPr>
                <w:rFonts w:ascii="Arial" w:hAnsi="Arial" w:eastAsia="Times New Roman" w:cs="Arial"/>
                <w:sz w:val="20"/>
                <w:highlight w:val="white"/>
                <w:lang w:eastAsia="pt-BR"/>
              </w:rPr>
            </w:pPr>
            <w:r>
              <w:rPr>
                <w:rFonts w:eastAsia="Times New Roman" w:cs="Arial" w:ascii="Arial" w:hAnsi="Arial"/>
                <w:sz w:val="20"/>
                <w:shd w:fill="FFFFFF" w:val="clear"/>
                <w:lang w:eastAsia="pt-BR"/>
              </w:rPr>
              <w:t xml:space="preserve">KOCH, I. G., TRAVAGLIA, L. C. </w:t>
            </w:r>
            <w:r>
              <w:rPr>
                <w:rFonts w:eastAsia="Times New Roman" w:cs="Arial" w:ascii="Arial" w:hAnsi="Arial"/>
                <w:i/>
                <w:sz w:val="20"/>
                <w:shd w:fill="FFFFFF" w:val="clear"/>
                <w:lang w:eastAsia="pt-BR"/>
              </w:rPr>
              <w:t>Coerência textual.</w:t>
            </w:r>
            <w:r>
              <w:rPr>
                <w:rFonts w:eastAsia="Times New Roman" w:cs="Arial" w:ascii="Arial" w:hAnsi="Arial"/>
                <w:sz w:val="20"/>
                <w:shd w:fill="FFFFFF" w:val="clear"/>
                <w:lang w:eastAsia="pt-BR"/>
              </w:rPr>
              <w:t xml:space="preserve"> São Paulo: Contexto, 2006.</w:t>
            </w:r>
          </w:p>
          <w:p>
            <w:pPr>
              <w:pStyle w:val="Normal"/>
              <w:spacing w:lineRule="auto" w:line="240" w:before="0" w:after="0"/>
              <w:jc w:val="both"/>
              <w:rPr>
                <w:rFonts w:ascii="Arial" w:hAnsi="Arial" w:eastAsia="Times New Roman" w:cs="Arial"/>
                <w:sz w:val="20"/>
                <w:highlight w:val="white"/>
                <w:lang w:eastAsia="pt-BR"/>
              </w:rPr>
            </w:pPr>
            <w:r>
              <w:rPr>
                <w:rFonts w:eastAsia="Times New Roman" w:cs="Arial" w:ascii="Arial" w:hAnsi="Arial"/>
                <w:sz w:val="20"/>
                <w:shd w:fill="FFFFFF" w:val="clear"/>
                <w:lang w:eastAsia="pt-BR"/>
              </w:rPr>
              <w:t xml:space="preserve">KOCH, I. V,; ELIAS, V. M. </w:t>
            </w:r>
            <w:r>
              <w:rPr>
                <w:rFonts w:eastAsia="Times New Roman" w:cs="Arial" w:ascii="Arial" w:hAnsi="Arial"/>
                <w:i/>
                <w:sz w:val="20"/>
                <w:shd w:fill="FFFFFF" w:val="clear"/>
                <w:lang w:eastAsia="pt-BR"/>
              </w:rPr>
              <w:t xml:space="preserve">Ler e escrever:  </w:t>
            </w:r>
            <w:r>
              <w:rPr>
                <w:rFonts w:eastAsia="Times New Roman" w:cs="Arial" w:ascii="Arial" w:hAnsi="Arial"/>
                <w:sz w:val="20"/>
                <w:shd w:fill="FFFFFF" w:val="clear"/>
                <w:lang w:eastAsia="pt-BR"/>
              </w:rPr>
              <w:t>Estratégias de produção textual. São Paulo Contexto, 2009.</w:t>
            </w:r>
          </w:p>
          <w:p>
            <w:pPr>
              <w:pStyle w:val="Normal"/>
              <w:spacing w:lineRule="auto" w:line="240" w:before="0" w:after="0"/>
              <w:jc w:val="both"/>
              <w:rPr>
                <w:rFonts w:ascii="Arial" w:hAnsi="Arial" w:eastAsia="Times New Roman" w:cs="Arial"/>
                <w:sz w:val="20"/>
                <w:highlight w:val="white"/>
                <w:lang w:eastAsia="pt-BR"/>
              </w:rPr>
            </w:pPr>
            <w:r>
              <w:rPr>
                <w:rFonts w:eastAsia="Times New Roman" w:cs="Arial" w:ascii="Arial" w:hAnsi="Arial"/>
                <w:sz w:val="20"/>
                <w:shd w:fill="FFFFFF" w:val="clear"/>
                <w:lang w:eastAsia="pt-BR"/>
              </w:rPr>
              <w:t xml:space="preserve">MARCUSCHI, Luiz Antônio. </w:t>
            </w:r>
            <w:r>
              <w:rPr>
                <w:rFonts w:eastAsia="Times New Roman" w:cs="Arial" w:ascii="Arial" w:hAnsi="Arial"/>
                <w:i/>
                <w:sz w:val="20"/>
                <w:shd w:fill="FFFFFF" w:val="clear"/>
                <w:lang w:eastAsia="pt-BR"/>
              </w:rPr>
              <w:t>Produção textual, análise de gêneros e compreensão.</w:t>
            </w:r>
            <w:r>
              <w:rPr>
                <w:rFonts w:eastAsia="Times New Roman" w:cs="Arial" w:ascii="Arial" w:hAnsi="Arial"/>
                <w:sz w:val="20"/>
                <w:shd w:fill="FFFFFF" w:val="clear"/>
                <w:lang w:eastAsia="pt-BR"/>
              </w:rPr>
              <w:t xml:space="preserve"> São Paulo: Parábola, 2008.</w:t>
            </w:r>
          </w:p>
          <w:p>
            <w:pPr>
              <w:pStyle w:val="Normal"/>
              <w:shd w:val="clear" w:color="auto" w:fill="FFFFFF" w:themeFill="background1"/>
              <w:spacing w:lineRule="auto" w:line="240" w:before="0" w:after="0"/>
              <w:jc w:val="both"/>
              <w:rPr>
                <w:rFonts w:ascii="Arial" w:hAnsi="Arial" w:cs="Arial"/>
                <w:b/>
                <w:b/>
              </w:rPr>
            </w:pPr>
            <w:r>
              <w:rPr>
                <w:rFonts w:eastAsia="Times New Roman" w:cs="Arial" w:ascii="Arial" w:hAnsi="Arial"/>
                <w:lang w:eastAsia="pt-BR"/>
              </w:rPr>
              <w:t>UNIVERSIDADE FEDERAL DOS VALES DO JEQUITINHONHA E MUCURI. Sistema de Bibliotecas. </w:t>
            </w:r>
            <w:r>
              <w:rPr>
                <w:rFonts w:eastAsia="Times New Roman" w:cs="Arial" w:ascii="Arial" w:hAnsi="Arial"/>
                <w:bCs/>
                <w:i/>
                <w:lang w:eastAsia="pt-BR"/>
              </w:rPr>
              <w:t>Manual de normalização: monografias, dissertações e teses</w:t>
            </w:r>
            <w:r>
              <w:rPr>
                <w:rFonts w:eastAsia="Times New Roman" w:cs="Arial" w:ascii="Arial" w:hAnsi="Arial"/>
                <w:b/>
                <w:bCs/>
                <w:lang w:eastAsia="pt-BR"/>
              </w:rPr>
              <w:t>. </w:t>
            </w:r>
            <w:r>
              <w:rPr>
                <w:rFonts w:eastAsia="Times New Roman" w:cs="Arial" w:ascii="Arial" w:hAnsi="Arial"/>
                <w:lang w:eastAsia="pt-BR"/>
              </w:rPr>
              <w:t xml:space="preserve">2ª ed. Diamantina: UFVJM, 2016. </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b/>
                <w:u w:val="single"/>
              </w:rPr>
              <w:t xml:space="preserve"> Paleografia e História da Cultura Escrita</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B)</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60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t>Ementa:</w:t>
            </w:r>
            <w:r>
              <w:rPr>
                <w:rFonts w:cs="Arial" w:ascii="Arial" w:hAnsi="Arial"/>
                <w:shd w:fill="FFFFFF" w:val="clear"/>
              </w:rPr>
              <w:t xml:space="preserve"> </w:t>
            </w:r>
            <w:r>
              <w:rPr>
                <w:rFonts w:cs="Arial" w:ascii="Arial" w:hAnsi="Arial"/>
              </w:rPr>
              <w:t>Estudo sobre as relações entre Paleografia e História da Cultura Escrita. Livros e outros documentos escritos como produtos sociais, inseparáveis dos seus contextos de produção, circulação e uso. Oralidade e cultura escrita. A escrita no Oriente Próximo. A alfabetização na Grécia e em Roma clássicos. Escrita e leitura na Idade Média e a formação de uma sociedade do escrito. A Imprensa e as novas formas de leitura. Análise das relações entre gênero e cultura escrita. O livro digital.</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lang w:val="es-ES"/>
              </w:rPr>
            </w:pPr>
            <w:r>
              <w:rPr>
                <w:rFonts w:cs="Arial" w:ascii="Arial" w:hAnsi="Arial"/>
                <w:b/>
                <w:lang w:val="es-ES"/>
              </w:rPr>
              <w:t>Bibliografia Básica:</w:t>
            </w:r>
          </w:p>
          <w:p>
            <w:pPr>
              <w:pStyle w:val="Padro"/>
              <w:spacing w:lineRule="auto" w:line="240" w:before="0" w:after="0"/>
              <w:jc w:val="both"/>
              <w:rPr>
                <w:rFonts w:ascii="Arial" w:hAnsi="Arial" w:cs="Arial"/>
                <w:color w:val="00000A"/>
                <w:sz w:val="20"/>
                <w:szCs w:val="22"/>
                <w:lang w:val="es-AR"/>
              </w:rPr>
            </w:pPr>
            <w:r>
              <w:rPr>
                <w:rFonts w:eastAsia="Calibri" w:cs="Arial" w:ascii="Arial" w:hAnsi="Arial"/>
                <w:color w:val="00000A"/>
                <w:sz w:val="20"/>
                <w:szCs w:val="22"/>
                <w:lang w:val="es-ES"/>
              </w:rPr>
              <w:t xml:space="preserve">CALA, Carmen Espejo. </w:t>
            </w:r>
            <w:r>
              <w:rPr>
                <w:rFonts w:eastAsia="Calibri" w:cs="Arial" w:ascii="Arial" w:hAnsi="Arial"/>
                <w:i/>
                <w:color w:val="00000A"/>
                <w:sz w:val="20"/>
                <w:szCs w:val="22"/>
                <w:lang w:val="es-ES"/>
              </w:rPr>
              <w:t>Historia de la Comunicación Escrita (de la prehistoria a la</w:t>
            </w:r>
            <w:r>
              <w:rPr>
                <w:rFonts w:eastAsia="Calibri" w:cs="Arial" w:ascii="Arial" w:hAnsi="Arial"/>
                <w:color w:val="00000A"/>
                <w:sz w:val="20"/>
                <w:szCs w:val="22"/>
                <w:u w:val="single"/>
                <w:lang w:val="es-ES"/>
              </w:rPr>
              <w:t xml:space="preserve"> </w:t>
            </w:r>
            <w:r>
              <w:rPr>
                <w:rFonts w:eastAsia="Calibri" w:cs="Arial" w:ascii="Arial" w:hAnsi="Arial"/>
                <w:i/>
                <w:color w:val="00000A"/>
                <w:sz w:val="20"/>
                <w:szCs w:val="22"/>
                <w:lang w:val="es-ES"/>
              </w:rPr>
              <w:t xml:space="preserve">irrupción de la imprenta): </w:t>
            </w:r>
            <w:r>
              <w:rPr>
                <w:rFonts w:eastAsia="Calibri" w:cs="Arial" w:ascii="Arial" w:hAnsi="Arial"/>
                <w:color w:val="00000A"/>
                <w:sz w:val="20"/>
                <w:szCs w:val="22"/>
                <w:lang w:val="es-ES"/>
              </w:rPr>
              <w:t>Notas para su estudio. Sevilla: Editorial Mad, 1998.</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lang w:val="es-AR"/>
              </w:rPr>
              <w:t xml:space="preserve">CASTILLO GÓMEZ, Antonio. </w:t>
            </w:r>
            <w:r>
              <w:rPr>
                <w:rFonts w:eastAsia="Calibri" w:cs="Arial" w:ascii="Arial" w:hAnsi="Arial"/>
                <w:color w:val="00000A"/>
                <w:sz w:val="20"/>
                <w:szCs w:val="22"/>
                <w:lang w:val="es-ES"/>
              </w:rPr>
              <w:t xml:space="preserve">(org). </w:t>
            </w:r>
            <w:r>
              <w:rPr>
                <w:rFonts w:eastAsia="Calibri" w:cs="Arial" w:ascii="Arial" w:hAnsi="Arial"/>
                <w:i/>
                <w:color w:val="00000A"/>
                <w:sz w:val="20"/>
                <w:szCs w:val="22"/>
                <w:lang w:val="es-ES"/>
              </w:rPr>
              <w:t>Historia de la Cultura Escrita:</w:t>
            </w:r>
            <w:r>
              <w:rPr>
                <w:rFonts w:eastAsia="Calibri" w:cs="Arial" w:ascii="Arial" w:hAnsi="Arial"/>
                <w:color w:val="00000A"/>
                <w:sz w:val="20"/>
                <w:szCs w:val="22"/>
                <w:lang w:val="es-ES"/>
              </w:rPr>
              <w:t xml:space="preserve"> del próximo oriente antiguo a la sociedad informatizada. Gijón: TREA, 2001.</w:t>
            </w:r>
          </w:p>
          <w:p>
            <w:pPr>
              <w:pStyle w:val="Normal"/>
              <w:spacing w:before="0" w:after="0"/>
              <w:jc w:val="both"/>
              <w:rPr>
                <w:rFonts w:ascii="Arial" w:hAnsi="Arial" w:cs="Arial"/>
                <w:b/>
                <w:b/>
              </w:rPr>
            </w:pPr>
            <w:r>
              <w:rPr>
                <w:rFonts w:eastAsia="Calibri" w:cs="Arial" w:ascii="Arial" w:hAnsi="Arial"/>
                <w:sz w:val="20"/>
              </w:rPr>
              <w:t xml:space="preserve">PETRUCCI, Armando. </w:t>
            </w:r>
            <w:r>
              <w:rPr>
                <w:rFonts w:eastAsia="Calibri" w:cs="Arial" w:ascii="Arial" w:hAnsi="Arial"/>
                <w:i/>
                <w:sz w:val="20"/>
              </w:rPr>
              <w:t>Alfabetismo, escritura, sociedad</w:t>
            </w:r>
            <w:r>
              <w:rPr>
                <w:rFonts w:eastAsia="Calibri" w:cs="Arial" w:ascii="Arial" w:hAnsi="Arial"/>
                <w:sz w:val="20"/>
              </w:rPr>
              <w:t>. Barcelona: Gedisa, 1999.</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BERWANGER, Ana Regina; LEAL, João Eurípedes Franklin. </w:t>
            </w:r>
            <w:r>
              <w:rPr>
                <w:rFonts w:eastAsia="Calibri" w:cs="Arial" w:ascii="Arial" w:hAnsi="Arial"/>
                <w:i/>
                <w:color w:val="00000A"/>
                <w:sz w:val="20"/>
                <w:szCs w:val="22"/>
              </w:rPr>
              <w:t>Noções de Paleografia e de Diplomática.</w:t>
            </w:r>
            <w:r>
              <w:rPr>
                <w:rFonts w:eastAsia="Calibri" w:cs="Arial" w:ascii="Arial" w:hAnsi="Arial"/>
                <w:color w:val="00000A"/>
                <w:sz w:val="20"/>
                <w:szCs w:val="22"/>
              </w:rPr>
              <w:t xml:space="preserve"> Santa Maria, Editora UFSM, 2008.</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BOUZA, Fernando. </w:t>
            </w:r>
            <w:r>
              <w:rPr>
                <w:rFonts w:eastAsia="Calibri" w:cs="Arial" w:ascii="Arial" w:hAnsi="Arial"/>
                <w:i/>
                <w:color w:val="00000A"/>
                <w:sz w:val="20"/>
                <w:szCs w:val="22"/>
              </w:rPr>
              <w:t>Corre Manuscrito:</w:t>
            </w:r>
            <w:r>
              <w:rPr>
                <w:rFonts w:eastAsia="Calibri" w:cs="Arial" w:ascii="Arial" w:hAnsi="Arial"/>
                <w:color w:val="00000A"/>
                <w:sz w:val="20"/>
                <w:szCs w:val="22"/>
              </w:rPr>
              <w:t xml:space="preserve"> una historia cultural del Siglo de Oro. Madrid: Marcial Pons, 2002.</w:t>
            </w:r>
          </w:p>
          <w:p>
            <w:pPr>
              <w:pStyle w:val="Padro"/>
              <w:spacing w:lineRule="auto" w:line="240" w:before="0" w:after="0"/>
              <w:jc w:val="both"/>
              <w:rPr>
                <w:rFonts w:ascii="Arial" w:hAnsi="Arial" w:cs="Arial"/>
                <w:color w:val="00000A"/>
                <w:sz w:val="20"/>
                <w:szCs w:val="22"/>
              </w:rPr>
            </w:pPr>
            <w:r>
              <w:rPr>
                <w:rFonts w:eastAsia="Calibri" w:cs="Arial" w:ascii="Arial" w:hAnsi="Arial"/>
                <w:color w:val="00000A"/>
                <w:sz w:val="20"/>
                <w:szCs w:val="22"/>
              </w:rPr>
              <w:t xml:space="preserve">CAVALLO, Guglielmo; CHARTIER, Roger. (Orgs.) </w:t>
            </w:r>
            <w:r>
              <w:rPr>
                <w:rFonts w:eastAsia="Calibri" w:cs="Arial" w:ascii="Arial" w:hAnsi="Arial"/>
                <w:i/>
                <w:color w:val="00000A"/>
                <w:sz w:val="20"/>
                <w:szCs w:val="22"/>
              </w:rPr>
              <w:t xml:space="preserve">História da Leitura no Mundo Ocidental. </w:t>
            </w:r>
            <w:r>
              <w:rPr>
                <w:rFonts w:eastAsia="Calibri" w:cs="Arial" w:ascii="Arial" w:hAnsi="Arial"/>
                <w:color w:val="00000A"/>
                <w:sz w:val="20"/>
                <w:szCs w:val="22"/>
              </w:rPr>
              <w:t>São Paulo: Editora Ática, 2002. 2 vols.</w:t>
            </w:r>
          </w:p>
          <w:p>
            <w:pPr>
              <w:pStyle w:val="Padro"/>
              <w:spacing w:lineRule="auto" w:line="240" w:before="0" w:after="0"/>
              <w:jc w:val="both"/>
              <w:rPr>
                <w:rFonts w:ascii="Arial" w:hAnsi="Arial" w:cs="Arial"/>
                <w:color w:val="00000A"/>
                <w:sz w:val="20"/>
                <w:szCs w:val="22"/>
                <w:lang w:val="es-AR"/>
              </w:rPr>
            </w:pPr>
            <w:r>
              <w:rPr>
                <w:rFonts w:eastAsia="Calibri" w:cs="Arial" w:ascii="Arial" w:hAnsi="Arial"/>
                <w:color w:val="00000A"/>
                <w:sz w:val="20"/>
                <w:szCs w:val="22"/>
              </w:rPr>
              <w:t xml:space="preserve">GALVÃO, Ana Maria de Oliveira. et al. (org). </w:t>
            </w:r>
            <w:r>
              <w:rPr>
                <w:rFonts w:eastAsia="Calibri" w:cs="Arial" w:ascii="Arial" w:hAnsi="Arial"/>
                <w:i/>
                <w:color w:val="00000A"/>
                <w:sz w:val="20"/>
                <w:szCs w:val="22"/>
              </w:rPr>
              <w:t>História da Cultura Escrita:</w:t>
            </w:r>
            <w:r>
              <w:rPr>
                <w:rFonts w:eastAsia="Calibri" w:cs="Arial" w:ascii="Arial" w:hAnsi="Arial"/>
                <w:color w:val="00000A"/>
                <w:sz w:val="20"/>
                <w:szCs w:val="22"/>
              </w:rPr>
              <w:t xml:space="preserve"> séculos XIX e XX. </w:t>
            </w:r>
            <w:r>
              <w:rPr>
                <w:rFonts w:eastAsia="Calibri" w:cs="Arial" w:ascii="Arial" w:hAnsi="Arial"/>
                <w:color w:val="00000A"/>
                <w:sz w:val="20"/>
                <w:szCs w:val="22"/>
                <w:lang w:val="es-ES"/>
              </w:rPr>
              <w:t>Belo Horizonte: Autêntica, 2007.</w:t>
            </w:r>
          </w:p>
          <w:p>
            <w:pPr>
              <w:pStyle w:val="Normal"/>
              <w:spacing w:before="0" w:after="0"/>
              <w:jc w:val="both"/>
              <w:rPr>
                <w:rFonts w:ascii="Arial" w:hAnsi="Arial" w:cs="Arial"/>
                <w:b/>
                <w:b/>
              </w:rPr>
            </w:pPr>
            <w:r>
              <w:rPr>
                <w:rFonts w:eastAsia="Calibri" w:cs="Arial" w:ascii="Arial" w:hAnsi="Arial"/>
                <w:sz w:val="20"/>
                <w:lang w:val="es-ES"/>
              </w:rPr>
              <w:t xml:space="preserve">HAVELOCK, Eric A. </w:t>
            </w:r>
            <w:r>
              <w:rPr>
                <w:rFonts w:eastAsia="Calibri" w:cs="Arial" w:ascii="Arial" w:hAnsi="Arial"/>
                <w:i/>
                <w:sz w:val="20"/>
                <w:lang w:val="es-ES"/>
              </w:rPr>
              <w:t>La Musa Aprende a Escribir</w:t>
            </w:r>
            <w:r>
              <w:rPr>
                <w:rFonts w:eastAsia="Calibri" w:cs="Arial" w:ascii="Arial" w:hAnsi="Arial"/>
                <w:sz w:val="20"/>
                <w:lang w:val="es-ES"/>
              </w:rPr>
              <w:t>: reflexiones sobre oralidad y escritura desde la Antigüedad hasta el presente. Barcelona: Paidós, 2008.</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c>
          <w:tcPr>
            <w:tcW w:w="8494" w:type="dxa"/>
            <w:tcBorders>
              <w:bottom w:val="nil"/>
              <w:insideH w:val="nil"/>
            </w:tcBorders>
            <w:shd w:fill="auto" w:val="clear"/>
            <w:tcMar>
              <w:left w:w="108" w:type="dxa"/>
            </w:tcMar>
          </w:tcPr>
          <w:p>
            <w:pPr>
              <w:pStyle w:val="Normal"/>
              <w:spacing w:lineRule="auto" w:line="240" w:before="0" w:after="0"/>
              <w:jc w:val="both"/>
              <w:rPr>
                <w:rFonts w:ascii="Arial" w:hAnsi="Arial" w:cs="Arial"/>
                <w:b/>
                <w:b/>
                <w:u w:val="single"/>
              </w:rPr>
            </w:pPr>
            <w:r>
              <w:rPr>
                <w:rFonts w:cs="Arial" w:ascii="Arial" w:hAnsi="Arial"/>
                <w:b/>
              </w:rPr>
              <w:t>Unidade Curricular:</w:t>
            </w:r>
            <w:r>
              <w:rPr>
                <w:rFonts w:cs="Arial" w:ascii="Arial" w:hAnsi="Arial"/>
                <w:b/>
                <w:u w:val="single"/>
              </w:rPr>
              <w:t xml:space="preserve"> Política e o Estado Brasileiro</w:t>
            </w:r>
          </w:p>
          <w:p>
            <w:pPr>
              <w:pStyle w:val="Normal"/>
              <w:spacing w:lineRule="auto" w:line="240" w:before="0" w:after="0"/>
              <w:jc w:val="both"/>
              <w:rPr>
                <w:rFonts w:ascii="Arial" w:hAnsi="Arial" w:cs="Arial"/>
              </w:rPr>
            </w:pPr>
            <w:r>
              <w:rPr>
                <w:rFonts w:cs="Arial" w:ascii="Arial" w:hAnsi="Arial"/>
                <w:b/>
              </w:rPr>
              <w:t>Período:</w:t>
            </w:r>
            <w:r>
              <w:rPr>
                <w:rFonts w:cs="Arial" w:ascii="Arial" w:hAnsi="Arial"/>
              </w:rPr>
              <w:t xml:space="preserve"> 1º, 4º, 5º, 6º, 7º, 8º (Eletiva Grupo A)</w:t>
            </w:r>
          </w:p>
          <w:p>
            <w:pPr>
              <w:pStyle w:val="Normal"/>
              <w:spacing w:lineRule="auto" w:line="240" w:before="0" w:after="0"/>
              <w:jc w:val="both"/>
              <w:rPr>
                <w:rFonts w:ascii="Arial" w:hAnsi="Arial" w:cs="Arial"/>
                <w:b/>
                <w:b/>
              </w:rPr>
            </w:pPr>
            <w:r>
              <w:rPr>
                <w:rFonts w:cs="Arial" w:ascii="Arial" w:hAnsi="Arial"/>
                <w:b/>
              </w:rPr>
              <w:t xml:space="preserve">Carga Horária: </w:t>
            </w:r>
            <w:r>
              <w:rPr>
                <w:rFonts w:cs="Arial" w:ascii="Arial" w:hAnsi="Arial"/>
              </w:rPr>
              <w:t>75 h/a teóricas</w:t>
            </w:r>
          </w:p>
        </w:tc>
      </w:tr>
      <w:tr>
        <w:trPr/>
        <w:tc>
          <w:tcPr>
            <w:tcW w:w="8494" w:type="dxa"/>
            <w:tcBorders>
              <w:top w:val="nil"/>
              <w:bottom w:val="nil"/>
              <w:insideH w:val="nil"/>
            </w:tcBorders>
            <w:shd w:fill="auto" w:val="clear"/>
            <w:tcMar>
              <w:left w:w="108" w:type="dxa"/>
            </w:tcMar>
          </w:tcPr>
          <w:p>
            <w:pPr>
              <w:pStyle w:val="Normal"/>
              <w:spacing w:lineRule="auto" w:line="240" w:before="0" w:after="0"/>
              <w:jc w:val="both"/>
              <w:rPr>
                <w:rFonts w:ascii="Arial" w:hAnsi="Arial" w:cs="Arial"/>
              </w:rPr>
            </w:pPr>
            <w:r>
              <w:rPr>
                <w:rFonts w:cs="Arial" w:ascii="Arial" w:hAnsi="Arial"/>
                <w:b/>
              </w:rPr>
              <w:t>Ementa:</w:t>
            </w:r>
            <w:r>
              <w:rPr>
                <w:rFonts w:cs="Arial" w:ascii="Arial" w:hAnsi="Arial"/>
                <w:shd w:fill="FFFFFF" w:val="clear"/>
              </w:rPr>
              <w:t xml:space="preserve"> </w:t>
            </w:r>
            <w:r>
              <w:rPr>
                <w:rFonts w:cs="Arial" w:ascii="Arial" w:hAnsi="Arial"/>
              </w:rPr>
              <w:t>Organização do Estado brasileiro. Análise das diretrizes constitucionais, levando em consideração as mudanças político-instituicionais, administrativas e legais. Discussão de alguns conceitos básicos, tais como o federalismo, o presidencialismo, a separação dos três poderes, o sistema partidário brasileiro, as elites políticas e também as reformas.</w:t>
            </w:r>
          </w:p>
        </w:tc>
      </w:tr>
      <w:tr>
        <w:trPr/>
        <w:tc>
          <w:tcPr>
            <w:tcW w:w="8494" w:type="dxa"/>
            <w:tcBorders>
              <w:top w:val="nil"/>
              <w:bottom w:val="nil"/>
              <w:insideH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Básica:</w:t>
            </w:r>
          </w:p>
          <w:p>
            <w:pPr>
              <w:pStyle w:val="PlainText"/>
              <w:spacing w:before="0" w:after="0"/>
              <w:ind w:left="360" w:hanging="360"/>
              <w:jc w:val="both"/>
              <w:rPr>
                <w:rFonts w:ascii="Arial" w:hAnsi="Arial" w:cs="Arial"/>
                <w:szCs w:val="22"/>
              </w:rPr>
            </w:pPr>
            <w:r>
              <w:rPr>
                <w:rFonts w:cs="Arial" w:ascii="Arial" w:hAnsi="Arial"/>
                <w:caps/>
                <w:szCs w:val="22"/>
              </w:rPr>
              <w:t>Beiguelman</w:t>
            </w:r>
            <w:r>
              <w:rPr>
                <w:rFonts w:cs="Arial" w:ascii="Arial" w:hAnsi="Arial"/>
                <w:szCs w:val="22"/>
              </w:rPr>
              <w:t xml:space="preserve">, Paula. </w:t>
            </w:r>
            <w:r>
              <w:rPr>
                <w:rFonts w:cs="Arial" w:ascii="Arial" w:hAnsi="Arial"/>
                <w:i/>
                <w:szCs w:val="22"/>
              </w:rPr>
              <w:t xml:space="preserve">Formação política do Brasil. </w:t>
            </w:r>
            <w:r>
              <w:rPr>
                <w:rFonts w:cs="Arial" w:ascii="Arial" w:hAnsi="Arial"/>
                <w:szCs w:val="22"/>
              </w:rPr>
              <w:t>São Paulo: Pioneira, 1976.</w:t>
            </w:r>
          </w:p>
          <w:p>
            <w:pPr>
              <w:pStyle w:val="Normal"/>
              <w:spacing w:before="0" w:after="0"/>
              <w:jc w:val="both"/>
              <w:rPr>
                <w:rFonts w:ascii="Arial" w:hAnsi="Arial" w:cs="Arial"/>
                <w:sz w:val="20"/>
              </w:rPr>
            </w:pPr>
            <w:r>
              <w:rPr>
                <w:rFonts w:cs="Arial" w:ascii="Arial" w:hAnsi="Arial"/>
                <w:sz w:val="20"/>
              </w:rPr>
              <w:t xml:space="preserve">HELD, David. </w:t>
            </w:r>
            <w:r>
              <w:rPr>
                <w:rFonts w:cs="Arial" w:ascii="Arial" w:hAnsi="Arial"/>
                <w:bCs/>
                <w:i/>
                <w:sz w:val="20"/>
              </w:rPr>
              <w:t>Modelos de Democracia</w:t>
            </w:r>
            <w:r>
              <w:rPr>
                <w:rFonts w:cs="Arial" w:ascii="Arial" w:hAnsi="Arial"/>
                <w:i/>
                <w:sz w:val="20"/>
              </w:rPr>
              <w:t>.</w:t>
            </w:r>
            <w:r>
              <w:rPr>
                <w:rFonts w:cs="Arial" w:ascii="Arial" w:hAnsi="Arial"/>
                <w:sz w:val="20"/>
              </w:rPr>
              <w:t xml:space="preserve"> Belo Horizonte, Paidéia, 1985.</w:t>
            </w:r>
          </w:p>
          <w:p>
            <w:pPr>
              <w:pStyle w:val="PlainText"/>
              <w:spacing w:before="0" w:after="0"/>
              <w:jc w:val="both"/>
              <w:rPr>
                <w:rFonts w:ascii="Arial" w:hAnsi="Arial" w:cs="Arial"/>
                <w:sz w:val="22"/>
                <w:szCs w:val="22"/>
              </w:rPr>
            </w:pPr>
            <w:r>
              <w:rPr>
                <w:rFonts w:cs="Arial" w:ascii="Arial" w:hAnsi="Arial"/>
                <w:szCs w:val="22"/>
              </w:rPr>
              <w:t xml:space="preserve">JANCSÓ, István (org). </w:t>
            </w:r>
            <w:r>
              <w:rPr>
                <w:rFonts w:cs="Arial" w:ascii="Arial" w:hAnsi="Arial"/>
                <w:i/>
                <w:iCs/>
                <w:szCs w:val="22"/>
              </w:rPr>
              <w:t>Brasil: Formação do Estado e da Nação.</w:t>
            </w:r>
            <w:r>
              <w:rPr>
                <w:rFonts w:cs="Arial" w:ascii="Arial" w:hAnsi="Arial"/>
                <w:szCs w:val="22"/>
              </w:rPr>
              <w:t xml:space="preserve"> São Paulo: Hucitec/Ed. Uninjuí; Fapesp, 2003.</w:t>
            </w:r>
          </w:p>
        </w:tc>
      </w:tr>
      <w:tr>
        <w:trPr/>
        <w:tc>
          <w:tcPr>
            <w:tcW w:w="8494" w:type="dxa"/>
            <w:tcBorders>
              <w:top w:val="nil"/>
            </w:tcBorders>
            <w:shd w:fill="auto" w:val="clear"/>
            <w:tcMar>
              <w:left w:w="108" w:type="dxa"/>
            </w:tcMar>
          </w:tcPr>
          <w:p>
            <w:pPr>
              <w:pStyle w:val="Normal"/>
              <w:spacing w:before="0" w:after="0"/>
              <w:jc w:val="both"/>
              <w:rPr>
                <w:rFonts w:ascii="Arial" w:hAnsi="Arial" w:cs="Arial"/>
                <w:b/>
                <w:b/>
              </w:rPr>
            </w:pPr>
            <w:r>
              <w:rPr>
                <w:rFonts w:cs="Arial" w:ascii="Arial" w:hAnsi="Arial"/>
                <w:b/>
              </w:rPr>
              <w:t>Bibliografia Complementar:</w:t>
            </w:r>
          </w:p>
          <w:p>
            <w:pPr>
              <w:pStyle w:val="Normal"/>
              <w:spacing w:before="0" w:after="0"/>
              <w:jc w:val="both"/>
              <w:rPr>
                <w:rFonts w:ascii="Arial" w:hAnsi="Arial" w:cs="Arial"/>
                <w:sz w:val="20"/>
              </w:rPr>
            </w:pPr>
            <w:r>
              <w:rPr>
                <w:rFonts w:cs="Arial" w:ascii="Arial" w:hAnsi="Arial"/>
                <w:sz w:val="20"/>
              </w:rPr>
              <w:t xml:space="preserve">CARVALHO, José Murilo de. </w:t>
            </w:r>
            <w:r>
              <w:rPr>
                <w:rFonts w:cs="Arial" w:ascii="Arial" w:hAnsi="Arial"/>
                <w:i/>
                <w:iCs/>
                <w:sz w:val="20"/>
              </w:rPr>
              <w:t xml:space="preserve">A Construção da Ordem: </w:t>
            </w:r>
            <w:r>
              <w:rPr>
                <w:rFonts w:cs="Arial" w:ascii="Arial" w:hAnsi="Arial"/>
                <w:sz w:val="20"/>
              </w:rPr>
              <w:t>a elite política imperial</w:t>
            </w:r>
            <w:r>
              <w:rPr>
                <w:rFonts w:cs="Arial" w:ascii="Arial" w:hAnsi="Arial"/>
                <w:i/>
                <w:iCs/>
                <w:sz w:val="20"/>
              </w:rPr>
              <w:t xml:space="preserve"> e Teatro de Sombras: </w:t>
            </w:r>
            <w:r>
              <w:rPr>
                <w:rFonts w:cs="Arial" w:ascii="Arial" w:hAnsi="Arial"/>
                <w:sz w:val="20"/>
              </w:rPr>
              <w:t>a política Imperial. 2ª ed. Rio de Janeiro: Ed. da UFRJ/ Relume-Dumará, 1996.</w:t>
            </w:r>
          </w:p>
          <w:p>
            <w:pPr>
              <w:pStyle w:val="Normal"/>
              <w:spacing w:before="0" w:after="0"/>
              <w:jc w:val="both"/>
              <w:rPr>
                <w:rFonts w:ascii="Arial" w:hAnsi="Arial" w:cs="Arial"/>
                <w:sz w:val="20"/>
              </w:rPr>
            </w:pPr>
            <w:r>
              <w:rPr>
                <w:rFonts w:cs="Arial" w:ascii="Arial" w:hAnsi="Arial"/>
                <w:sz w:val="20"/>
              </w:rPr>
              <w:t xml:space="preserve">CINTRA, A. O.; AVELAR, L., (orgs.) </w:t>
            </w:r>
            <w:r>
              <w:rPr>
                <w:rFonts w:cs="Arial" w:ascii="Arial" w:hAnsi="Arial"/>
                <w:bCs/>
                <w:i/>
                <w:sz w:val="20"/>
              </w:rPr>
              <w:t>Sistema político brasileiro:</w:t>
            </w:r>
            <w:r>
              <w:rPr>
                <w:rFonts w:cs="Arial" w:ascii="Arial" w:hAnsi="Arial"/>
                <w:b/>
                <w:bCs/>
                <w:sz w:val="20"/>
              </w:rPr>
              <w:t xml:space="preserve"> </w:t>
            </w:r>
            <w:r>
              <w:rPr>
                <w:rFonts w:cs="Arial" w:ascii="Arial" w:hAnsi="Arial"/>
                <w:sz w:val="20"/>
              </w:rPr>
              <w:t>uma introdução. Curitiba: Fundação. Konrad-Adenauer; São Paulo: Ed. Unesp, 2004.</w:t>
            </w:r>
          </w:p>
          <w:p>
            <w:pPr>
              <w:pStyle w:val="Normal"/>
              <w:spacing w:before="0" w:after="0"/>
              <w:ind w:left="34" w:hanging="0"/>
              <w:jc w:val="both"/>
              <w:rPr>
                <w:rFonts w:ascii="Arial" w:hAnsi="Arial" w:cs="Arial"/>
                <w:sz w:val="20"/>
              </w:rPr>
            </w:pPr>
            <w:r>
              <w:rPr>
                <w:rFonts w:cs="Arial" w:ascii="Arial" w:hAnsi="Arial"/>
                <w:sz w:val="20"/>
              </w:rPr>
              <w:t>FIGUEIREDO, A. C.; LIMONGI, F.</w:t>
            </w:r>
            <w:r>
              <w:rPr>
                <w:rFonts w:cs="Arial" w:ascii="Arial" w:hAnsi="Arial"/>
                <w:i/>
                <w:sz w:val="20"/>
              </w:rPr>
              <w:t xml:space="preserve"> </w:t>
            </w:r>
            <w:r>
              <w:rPr>
                <w:rFonts w:cs="Arial" w:ascii="Arial" w:hAnsi="Arial"/>
                <w:bCs/>
                <w:i/>
                <w:sz w:val="20"/>
              </w:rPr>
              <w:t>Executivo e legislativo na nova ordem constitucional</w:t>
            </w:r>
            <w:r>
              <w:rPr>
                <w:rFonts w:cs="Arial" w:ascii="Arial" w:hAnsi="Arial"/>
                <w:i/>
                <w:sz w:val="20"/>
              </w:rPr>
              <w:t xml:space="preserve">. </w:t>
            </w:r>
            <w:r>
              <w:rPr>
                <w:rFonts w:cs="Arial" w:ascii="Arial" w:hAnsi="Arial"/>
                <w:sz w:val="20"/>
              </w:rPr>
              <w:t>Rio de Janeiro: Fundação Getúlio Vargas, 1999.</w:t>
            </w:r>
          </w:p>
          <w:p>
            <w:pPr>
              <w:pStyle w:val="PlainText"/>
              <w:spacing w:before="0" w:after="0"/>
              <w:ind w:left="34" w:hanging="0"/>
              <w:jc w:val="both"/>
              <w:rPr>
                <w:rFonts w:ascii="Arial" w:hAnsi="Arial" w:cs="Arial"/>
                <w:szCs w:val="22"/>
              </w:rPr>
            </w:pPr>
            <w:r>
              <w:rPr>
                <w:rFonts w:cs="Arial" w:ascii="Arial" w:hAnsi="Arial"/>
                <w:szCs w:val="22"/>
              </w:rPr>
              <w:t xml:space="preserve">IGLÉSIAS, Francisco. </w:t>
            </w:r>
            <w:r>
              <w:rPr>
                <w:rFonts w:cs="Arial" w:ascii="Arial" w:hAnsi="Arial"/>
                <w:i/>
                <w:szCs w:val="22"/>
              </w:rPr>
              <w:t xml:space="preserve">Trajetória Política do Brasil: </w:t>
            </w:r>
            <w:r>
              <w:rPr>
                <w:rFonts w:cs="Arial" w:ascii="Arial" w:hAnsi="Arial"/>
                <w:szCs w:val="22"/>
              </w:rPr>
              <w:t>1500-1964. São Paulo: Companhia das Letras, 1993.</w:t>
            </w:r>
          </w:p>
          <w:p>
            <w:pPr>
              <w:pStyle w:val="Normal"/>
              <w:spacing w:before="0" w:after="0"/>
              <w:ind w:left="34" w:hanging="0"/>
              <w:jc w:val="both"/>
              <w:rPr>
                <w:rFonts w:ascii="Arial" w:hAnsi="Arial" w:cs="Arial"/>
              </w:rPr>
            </w:pPr>
            <w:r>
              <w:rPr>
                <w:rFonts w:cs="Arial" w:ascii="Arial" w:hAnsi="Arial"/>
                <w:sz w:val="20"/>
              </w:rPr>
              <w:t xml:space="preserve">LIJPHART, Arend. </w:t>
            </w:r>
            <w:r>
              <w:rPr>
                <w:rFonts w:cs="Arial" w:ascii="Arial" w:hAnsi="Arial"/>
                <w:bCs/>
                <w:i/>
                <w:sz w:val="20"/>
              </w:rPr>
              <w:t>Modelos de democracia</w:t>
            </w:r>
            <w:r>
              <w:rPr>
                <w:rFonts w:cs="Arial" w:ascii="Arial" w:hAnsi="Arial"/>
                <w:i/>
                <w:sz w:val="20"/>
              </w:rPr>
              <w:t>.</w:t>
            </w:r>
            <w:r>
              <w:rPr>
                <w:rFonts w:cs="Arial" w:ascii="Arial" w:hAnsi="Arial"/>
                <w:sz w:val="20"/>
              </w:rPr>
              <w:t xml:space="preserve"> Rio de Janeiro: Civilização Brasileira, 2003.</w:t>
            </w:r>
          </w:p>
        </w:tc>
      </w:tr>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tc>
      </w:tr>
      <w:tr>
        <w:trPr>
          <w:trHeight w:val="5274" w:hRule="atLeast"/>
        </w:trPr>
        <w:tc>
          <w:tcPr>
            <w:tcW w:w="8494" w:type="dxa"/>
            <w:tcBorders/>
            <w:shd w:fill="auto" w:val="clear"/>
            <w:tcMar>
              <w:left w:w="108" w:type="dxa"/>
            </w:tcMar>
          </w:tcPr>
          <w:p>
            <w:pPr>
              <w:pStyle w:val="Normal"/>
              <w:spacing w:before="0" w:after="0"/>
              <w:jc w:val="both"/>
              <w:rPr>
                <w:rFonts w:ascii="Arial" w:hAnsi="Arial" w:cs="Arial"/>
                <w:u w:val="single"/>
              </w:rPr>
            </w:pPr>
            <w:r>
              <w:rPr>
                <w:rFonts w:cs="Arial" w:ascii="Arial" w:hAnsi="Arial"/>
                <w:b/>
              </w:rPr>
              <w:t xml:space="preserve">Unidade Curricular: </w:t>
            </w:r>
            <w:r>
              <w:rPr>
                <w:rFonts w:cs="Arial" w:ascii="Arial" w:hAnsi="Arial"/>
                <w:b/>
                <w:u w:val="single"/>
              </w:rPr>
              <w:t>Sociedade e Economia</w:t>
            </w:r>
          </w:p>
          <w:p>
            <w:pPr>
              <w:pStyle w:val="Normal"/>
              <w:spacing w:before="0" w:after="0"/>
              <w:jc w:val="both"/>
              <w:rPr>
                <w:rFonts w:ascii="Arial" w:hAnsi="Arial" w:cs="Arial"/>
              </w:rPr>
            </w:pPr>
            <w:r>
              <w:rPr>
                <w:rFonts w:cs="Arial" w:ascii="Arial" w:hAnsi="Arial"/>
                <w:b/>
              </w:rPr>
              <w:t>Período:</w:t>
            </w:r>
            <w:r>
              <w:rPr>
                <w:rFonts w:cs="Arial" w:ascii="Arial" w:hAnsi="Arial"/>
              </w:rPr>
              <w:t xml:space="preserve"> 1º, 4º, 5º, 6º, 7º, 8º (Eletiva Grupo A)</w:t>
            </w:r>
          </w:p>
          <w:p>
            <w:pPr>
              <w:pStyle w:val="Normal"/>
              <w:spacing w:before="0" w:after="0"/>
              <w:jc w:val="both"/>
              <w:rPr>
                <w:rFonts w:ascii="Arial" w:hAnsi="Arial" w:cs="Arial"/>
                <w:b/>
                <w:b/>
              </w:rPr>
            </w:pPr>
            <w:r>
              <w:rPr>
                <w:rFonts w:cs="Arial" w:ascii="Arial" w:hAnsi="Arial"/>
                <w:b/>
              </w:rPr>
              <w:t xml:space="preserve">Carga Horária: </w:t>
            </w:r>
            <w:r>
              <w:rPr>
                <w:rFonts w:cs="Arial" w:ascii="Arial" w:hAnsi="Arial"/>
              </w:rPr>
              <w:t>75 h/a teóricas</w:t>
            </w:r>
          </w:p>
          <w:p>
            <w:pPr>
              <w:pStyle w:val="NormalWeb"/>
              <w:spacing w:beforeAutospacing="0" w:before="0" w:afterAutospacing="0" w:after="0"/>
              <w:jc w:val="both"/>
              <w:rPr>
                <w:rFonts w:ascii="Arial" w:hAnsi="Arial" w:cs="Arial"/>
                <w:color w:val="000000"/>
                <w:sz w:val="22"/>
                <w:szCs w:val="22"/>
              </w:rPr>
            </w:pPr>
            <w:r>
              <w:rPr>
                <w:rFonts w:cs="Arial" w:ascii="Arial" w:hAnsi="Arial"/>
                <w:b/>
                <w:sz w:val="22"/>
                <w:szCs w:val="22"/>
              </w:rPr>
              <w:t>Ementa:</w:t>
            </w:r>
            <w:r>
              <w:rPr>
                <w:rFonts w:cs="Arial" w:ascii="Arial" w:hAnsi="Arial"/>
                <w:sz w:val="22"/>
                <w:szCs w:val="22"/>
                <w:shd w:fill="FFFFFF" w:val="clear"/>
              </w:rPr>
              <w:t xml:space="preserve"> </w:t>
            </w:r>
            <w:r>
              <w:rPr>
                <w:rFonts w:cs="Arial" w:ascii="Arial" w:hAnsi="Arial"/>
                <w:color w:val="000000"/>
                <w:sz w:val="22"/>
                <w:szCs w:val="22"/>
              </w:rPr>
              <w:t>O pensamento econômico em diferentes épocas e contextos. Estudos de temáticas das ciências sociais sob aspectos econômicos. As dimensões econômicas e as possibilidades de inter-relações sociais, políticas e culturais.</w:t>
            </w:r>
          </w:p>
          <w:p>
            <w:pPr>
              <w:pStyle w:val="Normal"/>
              <w:spacing w:before="0" w:after="0"/>
              <w:jc w:val="both"/>
              <w:rPr>
                <w:rFonts w:ascii="Arial" w:hAnsi="Arial" w:cs="Arial"/>
                <w:b/>
                <w:b/>
              </w:rPr>
            </w:pPr>
            <w:r>
              <w:rPr>
                <w:rFonts w:cs="Arial" w:ascii="Arial" w:hAnsi="Arial"/>
                <w:b/>
              </w:rPr>
              <w:t>Bibliografia Básica:</w:t>
            </w:r>
          </w:p>
          <w:p>
            <w:pPr>
              <w:pStyle w:val="Normal"/>
              <w:spacing w:before="0" w:after="0"/>
              <w:jc w:val="both"/>
              <w:rPr>
                <w:rFonts w:ascii="Arial" w:hAnsi="Arial" w:cs="Arial"/>
                <w:sz w:val="20"/>
              </w:rPr>
            </w:pPr>
            <w:r>
              <w:rPr>
                <w:rFonts w:cs="Arial" w:ascii="Arial" w:hAnsi="Arial"/>
                <w:sz w:val="20"/>
              </w:rPr>
              <w:t xml:space="preserve">FIORI, José Luís (org). </w:t>
            </w:r>
            <w:r>
              <w:rPr>
                <w:rFonts w:cs="Arial" w:ascii="Arial" w:hAnsi="Arial"/>
                <w:i/>
                <w:sz w:val="20"/>
              </w:rPr>
              <w:t>Estados e moedas no desenvolvimento das nações</w:t>
            </w:r>
            <w:r>
              <w:rPr>
                <w:rFonts w:cs="Arial" w:ascii="Arial" w:hAnsi="Arial"/>
                <w:sz w:val="20"/>
              </w:rPr>
              <w:t>. 3ª Ed. Petrópolis, RJ: Vozes, 1999.</w:t>
            </w:r>
          </w:p>
          <w:p>
            <w:pPr>
              <w:pStyle w:val="NormalWeb"/>
              <w:spacing w:beforeAutospacing="0" w:before="0" w:afterAutospacing="0" w:after="0"/>
              <w:jc w:val="both"/>
              <w:rPr>
                <w:rFonts w:ascii="Arial" w:hAnsi="Arial" w:cs="Arial"/>
                <w:color w:val="000000"/>
                <w:sz w:val="20"/>
                <w:szCs w:val="22"/>
              </w:rPr>
            </w:pPr>
            <w:r>
              <w:rPr>
                <w:rFonts w:cs="Arial" w:ascii="Arial" w:hAnsi="Arial"/>
                <w:color w:val="000000"/>
                <w:sz w:val="20"/>
                <w:szCs w:val="22"/>
              </w:rPr>
              <w:t xml:space="preserve">FROHLICH, Norman. </w:t>
            </w:r>
            <w:r>
              <w:rPr>
                <w:rFonts w:cs="Arial" w:ascii="Arial" w:hAnsi="Arial"/>
                <w:i/>
                <w:color w:val="000000"/>
                <w:sz w:val="20"/>
                <w:szCs w:val="22"/>
              </w:rPr>
              <w:t>Economia política moderna</w:t>
            </w:r>
            <w:r>
              <w:rPr>
                <w:rFonts w:cs="Arial" w:ascii="Arial" w:hAnsi="Arial"/>
                <w:color w:val="000000"/>
                <w:sz w:val="20"/>
                <w:szCs w:val="22"/>
              </w:rPr>
              <w:t>. Brasília, DF: Universidade de Brasília, 1982.</w:t>
            </w:r>
          </w:p>
          <w:p>
            <w:pPr>
              <w:pStyle w:val="Normal"/>
              <w:spacing w:before="0" w:after="0"/>
              <w:jc w:val="both"/>
              <w:rPr>
                <w:rFonts w:ascii="Arial" w:hAnsi="Arial" w:cs="Arial"/>
                <w:color w:val="000000"/>
              </w:rPr>
            </w:pPr>
            <w:r>
              <w:rPr>
                <w:rFonts w:cs="Arial" w:ascii="Arial" w:hAnsi="Arial"/>
                <w:color w:val="000000"/>
                <w:sz w:val="20"/>
              </w:rPr>
              <w:t xml:space="preserve">PRADO JÚNIOR, Caio. </w:t>
            </w:r>
            <w:r>
              <w:rPr>
                <w:rFonts w:cs="Arial" w:ascii="Arial" w:hAnsi="Arial"/>
                <w:i/>
                <w:color w:val="000000"/>
                <w:sz w:val="20"/>
              </w:rPr>
              <w:t>História econômica do Brasil.</w:t>
            </w:r>
            <w:r>
              <w:rPr>
                <w:rFonts w:cs="Arial" w:ascii="Arial" w:hAnsi="Arial"/>
                <w:color w:val="000000"/>
                <w:sz w:val="20"/>
              </w:rPr>
              <w:t xml:space="preserve"> 43ª. Ed. São Paulo: Brasiliense, 1998.</w:t>
            </w:r>
          </w:p>
          <w:p>
            <w:pPr>
              <w:pStyle w:val="Normal"/>
              <w:spacing w:before="0" w:after="0"/>
              <w:jc w:val="both"/>
              <w:rPr>
                <w:rFonts w:ascii="Arial" w:hAnsi="Arial" w:cs="Arial"/>
                <w:b/>
                <w:b/>
              </w:rPr>
            </w:pPr>
            <w:r>
              <w:rPr>
                <w:rFonts w:cs="Arial" w:ascii="Arial" w:hAnsi="Arial"/>
                <w:b/>
              </w:rPr>
              <w:t>Bibliografia Complementar:</w:t>
            </w:r>
          </w:p>
          <w:p>
            <w:pPr>
              <w:pStyle w:val="Normal"/>
              <w:spacing w:before="0" w:after="0"/>
              <w:jc w:val="both"/>
              <w:rPr>
                <w:rFonts w:ascii="Arial" w:hAnsi="Arial" w:cs="Arial"/>
                <w:sz w:val="20"/>
              </w:rPr>
            </w:pPr>
            <w:r>
              <w:rPr>
                <w:rFonts w:cs="Arial" w:ascii="Arial" w:hAnsi="Arial"/>
                <w:sz w:val="20"/>
              </w:rPr>
              <w:t xml:space="preserve">ABREU, M. P. (org). </w:t>
            </w:r>
            <w:r>
              <w:rPr>
                <w:rFonts w:cs="Arial" w:ascii="Arial" w:hAnsi="Arial"/>
                <w:i/>
                <w:iCs/>
                <w:sz w:val="20"/>
              </w:rPr>
              <w:t>A ordem do progresso</w:t>
            </w:r>
            <w:r>
              <w:rPr>
                <w:rFonts w:cs="Arial" w:ascii="Arial" w:hAnsi="Arial"/>
                <w:sz w:val="20"/>
              </w:rPr>
              <w:t>: cem anos de política econômica Republicana 1889-1989. Rio de Janeiro:Campus, 1990.</w:t>
            </w:r>
          </w:p>
          <w:p>
            <w:pPr>
              <w:pStyle w:val="Normal"/>
              <w:spacing w:before="0" w:after="0"/>
              <w:jc w:val="both"/>
              <w:rPr>
                <w:rFonts w:ascii="Arial" w:hAnsi="Arial" w:cs="Arial"/>
                <w:i/>
                <w:i/>
                <w:sz w:val="20"/>
              </w:rPr>
            </w:pPr>
            <w:r>
              <w:rPr>
                <w:rFonts w:cs="Arial" w:ascii="Arial" w:hAnsi="Arial"/>
                <w:sz w:val="20"/>
              </w:rPr>
              <w:t xml:space="preserve">AMARAL, Célia Chaves Gurgel do. </w:t>
            </w:r>
            <w:r>
              <w:rPr>
                <w:rFonts w:cs="Arial" w:ascii="Arial" w:hAnsi="Arial"/>
                <w:i/>
                <w:sz w:val="20"/>
              </w:rPr>
              <w:t>Fundamentos de economia doméstica:</w:t>
            </w:r>
            <w:r>
              <w:rPr>
                <w:rFonts w:cs="Arial" w:ascii="Arial" w:hAnsi="Arial"/>
                <w:sz w:val="20"/>
              </w:rPr>
              <w:t xml:space="preserve"> Perspectiva da condição feminina e das relações de gênero: Fortaleza: EUFC, 2000. </w:t>
            </w:r>
          </w:p>
          <w:p>
            <w:pPr>
              <w:pStyle w:val="Normal"/>
              <w:spacing w:before="0" w:after="0"/>
              <w:jc w:val="both"/>
              <w:rPr>
                <w:rFonts w:ascii="Arial" w:hAnsi="Arial" w:cs="Arial"/>
                <w:sz w:val="20"/>
              </w:rPr>
            </w:pPr>
            <w:r>
              <w:rPr>
                <w:rFonts w:cs="Arial" w:ascii="Arial" w:hAnsi="Arial"/>
                <w:sz w:val="20"/>
              </w:rPr>
              <w:t xml:space="preserve">MANTEGA, G. </w:t>
            </w:r>
            <w:r>
              <w:rPr>
                <w:rFonts w:cs="Arial" w:ascii="Arial" w:hAnsi="Arial"/>
                <w:i/>
                <w:iCs/>
                <w:sz w:val="20"/>
              </w:rPr>
              <w:t>Economia política brasileira</w:t>
            </w:r>
            <w:r>
              <w:rPr>
                <w:rFonts w:cs="Arial" w:ascii="Arial" w:hAnsi="Arial"/>
                <w:sz w:val="20"/>
              </w:rPr>
              <w:t>. Petrópolis: Vozes, 1985.</w:t>
            </w:r>
          </w:p>
          <w:p>
            <w:pPr>
              <w:pStyle w:val="Normal"/>
              <w:spacing w:before="0" w:after="0"/>
              <w:jc w:val="both"/>
              <w:rPr>
                <w:rFonts w:ascii="Arial" w:hAnsi="Arial" w:cs="Arial"/>
                <w:sz w:val="20"/>
              </w:rPr>
            </w:pPr>
            <w:r>
              <w:rPr>
                <w:rFonts w:cs="Arial" w:ascii="Arial" w:hAnsi="Arial"/>
                <w:sz w:val="20"/>
              </w:rPr>
              <w:t xml:space="preserve">RIBEIRO, Ana clara Torres (org). </w:t>
            </w:r>
            <w:r>
              <w:rPr>
                <w:rFonts w:cs="Arial" w:ascii="Arial" w:hAnsi="Arial"/>
                <w:i/>
                <w:sz w:val="20"/>
              </w:rPr>
              <w:t>Gobalização e território:</w:t>
            </w:r>
            <w:r>
              <w:rPr>
                <w:rFonts w:cs="Arial" w:ascii="Arial" w:hAnsi="Arial"/>
                <w:sz w:val="20"/>
              </w:rPr>
              <w:t xml:space="preserve"> Ajustes e periféricos. Rio de Janeiro: Arquimedes, IPPUR, 2005.</w:t>
            </w:r>
          </w:p>
          <w:p>
            <w:pPr>
              <w:pStyle w:val="Normal"/>
              <w:spacing w:before="0" w:after="0"/>
              <w:jc w:val="both"/>
              <w:rPr>
                <w:rFonts w:ascii="Arial" w:hAnsi="Arial" w:cs="Arial"/>
                <w:b/>
                <w:b/>
              </w:rPr>
            </w:pPr>
            <w:r>
              <w:rPr>
                <w:rFonts w:cs="Arial" w:ascii="Arial" w:hAnsi="Arial"/>
                <w:color w:val="000000"/>
                <w:sz w:val="20"/>
              </w:rPr>
              <w:t xml:space="preserve">SINGER, Paul. </w:t>
            </w:r>
            <w:r>
              <w:rPr>
                <w:rFonts w:cs="Arial" w:ascii="Arial" w:hAnsi="Arial"/>
                <w:i/>
                <w:color w:val="000000"/>
                <w:sz w:val="20"/>
              </w:rPr>
              <w:t>Curso de introdução à economia política</w:t>
            </w:r>
            <w:r>
              <w:rPr>
                <w:rFonts w:cs="Arial" w:ascii="Arial" w:hAnsi="Arial"/>
                <w:color w:val="000000"/>
                <w:sz w:val="20"/>
              </w:rPr>
              <w:t>. 10. ed. Rio de Janeiro: Forense Universitária, 1975.</w:t>
            </w:r>
          </w:p>
        </w:tc>
      </w:tr>
    </w:tbl>
    <w:p>
      <w:pPr>
        <w:pStyle w:val="Normal"/>
        <w:spacing w:lineRule="auto" w:line="360" w:before="144" w:after="144"/>
        <w:ind w:firstLine="709"/>
        <w:jc w:val="both"/>
        <w:rPr>
          <w:rFonts w:ascii="Arial" w:hAnsi="Arial" w:cs="Arial"/>
        </w:rPr>
      </w:pPr>
      <w:r>
        <w:rPr>
          <w:rFonts w:cs="Arial" w:ascii="Arial" w:hAnsi="Arial"/>
        </w:rPr>
      </w:r>
    </w:p>
    <w:p>
      <w:pPr>
        <w:pStyle w:val="Normal"/>
        <w:spacing w:lineRule="auto" w:line="360" w:before="60" w:after="60"/>
        <w:rPr>
          <w:rFonts w:ascii="Arial" w:hAnsi="Arial" w:cs="Arial"/>
          <w:b/>
          <w:b/>
          <w:i/>
          <w:i/>
          <w:sz w:val="24"/>
        </w:rPr>
      </w:pPr>
      <w:r>
        <w:rPr>
          <w:rFonts w:cs="Arial" w:ascii="Arial" w:hAnsi="Arial"/>
          <w:b/>
          <w:i/>
          <w:sz w:val="24"/>
        </w:rPr>
        <w:t xml:space="preserve">10.10. </w:t>
      </w:r>
      <w:r>
        <w:rPr>
          <w:rFonts w:cs="Arial" w:ascii="Arial" w:hAnsi="Arial"/>
          <w:b/>
          <w:bCs/>
          <w:i/>
          <w:sz w:val="24"/>
        </w:rPr>
        <w:t>Estágio Curricular Supervisionado</w:t>
      </w:r>
    </w:p>
    <w:p>
      <w:pPr>
        <w:pStyle w:val="Normal"/>
        <w:spacing w:lineRule="auto" w:line="360" w:before="60" w:after="60"/>
        <w:ind w:firstLine="708"/>
        <w:jc w:val="both"/>
        <w:rPr>
          <w:rFonts w:ascii="Arial" w:hAnsi="Arial" w:cs="Arial"/>
        </w:rPr>
      </w:pPr>
      <w:r>
        <w:rPr>
          <w:rFonts w:cs="Arial" w:ascii="Arial" w:hAnsi="Arial"/>
        </w:rPr>
        <w:t>De acordo com a Resolução CNE/CES nº 02/2015, o estágio curricular supervisionado “é componente obrigatório da organização curricular das licenciaturas, sendo uma atividade específica intrinsecamente articulada com a prática e com as demais atividades de trabalho acadêmico” (Resolução CNE/CP nº 02/2015, cap.5, art.13, § 6º). Conforme indicado no Manual de Estágio do Curso de Licenciatura em História da UFVJM (LAGE e SEABRA, 2013), o Estágio Curricular Supervisionado é uma atividade obrigatória nos cursos de Licenciatura, em consonância com o Artigo 65 da Lei de Diretrizes e Bases da Educação Nacional (LDBEN/96), e apresenta características de complementação para a aprendizagem social, profissional, cultural e ética.</w:t>
      </w:r>
    </w:p>
    <w:p>
      <w:pPr>
        <w:pStyle w:val="Normal"/>
        <w:spacing w:lineRule="auto" w:line="360" w:before="60" w:after="60"/>
        <w:ind w:firstLine="708"/>
        <w:jc w:val="both"/>
        <w:rPr>
          <w:rFonts w:ascii="Arial" w:hAnsi="Arial" w:cs="Arial"/>
        </w:rPr>
      </w:pPr>
      <w:r>
        <w:rPr>
          <w:rFonts w:cs="Arial" w:ascii="Arial" w:hAnsi="Arial"/>
        </w:rPr>
        <w:t>O estágio curricular supervisionado proporciona aos discentes inserções em situações reais de ensino e aprendizagem sob a supervisão pedagógica de profissionais experientes. O estágio define-se em momentos de investigação e intervenção, cuja ênfase é dada ao planejamento de ações concretas a serem desenvolvidas em espaços educativos escolares e não escolares, mediante convênios firmados com as instituições em que o discente irá estagiar.</w:t>
      </w:r>
    </w:p>
    <w:p>
      <w:pPr>
        <w:pStyle w:val="Normal1"/>
        <w:spacing w:lineRule="auto" w:line="360" w:before="60" w:after="60"/>
        <w:ind w:firstLine="708"/>
        <w:jc w:val="both"/>
        <w:rPr>
          <w:color w:val="00000A"/>
          <w:sz w:val="22"/>
          <w:szCs w:val="22"/>
        </w:rPr>
      </w:pPr>
      <w:r>
        <w:rPr>
          <w:color w:val="00000A"/>
          <w:sz w:val="22"/>
          <w:szCs w:val="22"/>
        </w:rPr>
        <w:t>O estágio estabelece diálogos reflexivos com o exercício profissional da docência (incluindo a regência) e prioriza a sala de aula de história como dimensão microestrutural para o desenvolvimento de projetos institucionais de intervenção. Inclui atividades de observação e regência de turma, além de ações relativas a planejamento, análise e avaliação do processo pedagógico, visando a reorganização e a pesquisa acerca do exercício docente. Envolve também as várias dimensões da dinâmica escolar: gestão, interação dos professores e relacionamento escola/família/comunidade. O Estágio Curricular Supervisionado é fundamental para a formação do educador comprometido com a construção de uma nova prática pedagógica (LAGE e SEABRA, 2013).</w:t>
      </w:r>
    </w:p>
    <w:p>
      <w:pPr>
        <w:pStyle w:val="Normal"/>
        <w:tabs>
          <w:tab w:val="left" w:pos="567" w:leader="none"/>
        </w:tabs>
        <w:spacing w:lineRule="auto" w:line="360" w:before="60" w:after="60"/>
        <w:jc w:val="both"/>
        <w:rPr>
          <w:rFonts w:ascii="Arial" w:hAnsi="Arial" w:cs="Arial"/>
        </w:rPr>
      </w:pPr>
      <w:r>
        <w:rPr>
          <w:rFonts w:cs="Arial" w:ascii="Arial" w:hAnsi="Arial"/>
        </w:rPr>
        <w:tab/>
        <w:t>Esta atividade é realizada a partir da segunda metade do curso e se desenvolve sob a responsabilidade do professor Coordenador de Estágio e dos professores que  orientam as atividades de Estágio Curricular Supervisionado. O Estágio deve ser entendido como o tempo de aprendizagem que, através de um período de permanência, alguém se demora em um lugar ou oficio para compreender a prática do mesmo e depois poder exercer uma profissão ou oficio. Assim, o estágio curricular supervisionado supõe uma relação pedagógica entre alguém que já é um profissional reconhecido em um ambiente institucional de trabalho e um aluno estagiário. O estágio curricular supervisionado não é uma atividade facultativa sendo uma das condições para a obtenção da respectiva licença (Parecer CNE/CP nº 27/2001).</w:t>
      </w:r>
    </w:p>
    <w:p>
      <w:pPr>
        <w:pStyle w:val="Normal1"/>
        <w:spacing w:lineRule="auto" w:line="360" w:before="60" w:after="60"/>
        <w:ind w:firstLine="708"/>
        <w:jc w:val="both"/>
        <w:rPr>
          <w:color w:val="00000A"/>
          <w:sz w:val="22"/>
          <w:szCs w:val="22"/>
        </w:rPr>
      </w:pPr>
      <w:r>
        <w:rPr>
          <w:color w:val="00000A"/>
          <w:sz w:val="22"/>
          <w:szCs w:val="22"/>
        </w:rPr>
        <w:t xml:space="preserve">Os estagiários deverão desenvolver um percurso de inserção em instituições educativas. O estágio terá 400 horas de duração (Resolução CNE/CP nº 02/2015, cap. 5, art.13, § 2º) e as etapas serão as seguintes: em um primeiro momento os discentes deverão travar o conhecimento da instituição, da gestão, seus estatutos e projetos políticos-pedagógicos; depois, passarão para a observação das atividades práticas acompanhadas por um professor/orientador; por fim, desenvolverão atividades didáticas para turmas do Ensino Fundamental e do Ensino Médio. Ao final de cada etapa, o discente deverá entregar um relatório circunstanciado das atividades devidamente comprovadas desenvolvidas na escola na qual estagiou. As atividades serão realizadas em estabelecimentos de ensino público (Federal, Estadual ou Municipal) ou privado, do 6º ao 9º ano do Ensino Fundamental e do 1º ao 3º ano do Ensino Médio, com autorização formal do órgão oficial competente para o funcionamento. </w:t>
      </w:r>
    </w:p>
    <w:p>
      <w:pPr>
        <w:pStyle w:val="Normal"/>
        <w:spacing w:lineRule="auto" w:line="360" w:before="60" w:after="60"/>
        <w:ind w:firstLine="708"/>
        <w:jc w:val="both"/>
        <w:rPr>
          <w:rFonts w:ascii="Arial" w:hAnsi="Arial" w:cs="Arial"/>
        </w:rPr>
      </w:pPr>
      <w:r>
        <w:rPr>
          <w:rFonts w:cs="Arial" w:ascii="Arial" w:hAnsi="Arial"/>
        </w:rPr>
        <w:t xml:space="preserve">O estágio divide-se em três momentos: </w:t>
      </w:r>
      <w:r>
        <w:rPr>
          <w:rFonts w:cs="Arial" w:ascii="Arial" w:hAnsi="Arial"/>
          <w:b/>
        </w:rPr>
        <w:t>Estágio Supervisionado: Gestão e Cultura Escolar</w:t>
      </w:r>
      <w:r>
        <w:rPr>
          <w:rFonts w:cs="Arial" w:ascii="Arial" w:hAnsi="Arial"/>
          <w:i/>
        </w:rPr>
        <w:t xml:space="preserve"> </w:t>
      </w:r>
      <w:r>
        <w:rPr>
          <w:rFonts w:cs="Arial" w:ascii="Arial" w:hAnsi="Arial"/>
        </w:rPr>
        <w:t xml:space="preserve">(80 horas), </w:t>
      </w:r>
      <w:r>
        <w:rPr>
          <w:rFonts w:cs="Arial" w:ascii="Arial" w:hAnsi="Arial"/>
          <w:b/>
        </w:rPr>
        <w:t>Estágio Supervisionado: Ensino Fundamental (Séries finais)</w:t>
      </w:r>
      <w:r>
        <w:rPr>
          <w:rFonts w:cs="Arial" w:ascii="Arial" w:hAnsi="Arial"/>
          <w:i/>
        </w:rPr>
        <w:t xml:space="preserve"> </w:t>
      </w:r>
      <w:r>
        <w:rPr>
          <w:rFonts w:cs="Arial" w:ascii="Arial" w:hAnsi="Arial"/>
        </w:rPr>
        <w:t xml:space="preserve">(160 horas) e </w:t>
      </w:r>
      <w:r>
        <w:rPr>
          <w:rFonts w:cs="Arial" w:ascii="Arial" w:hAnsi="Arial"/>
          <w:b/>
        </w:rPr>
        <w:t>Estágio Supervisionado: Ensino Médio</w:t>
      </w:r>
      <w:r>
        <w:rPr>
          <w:rFonts w:cs="Arial" w:ascii="Arial" w:hAnsi="Arial"/>
        </w:rPr>
        <w:t xml:space="preserve"> (160 horas). A subdivisão da carga horária das atividades de estágio será orientada pelo Manual de Estágio e consiste em encontros de orientação de estágio (individual e coletivo), confecção do projeto de intervenção, observação da escola e da sala de aula, confecção de material didático, regência, confecção do relatório de estágio e avaliação das atividades desenvolvidas.</w:t>
      </w:r>
    </w:p>
    <w:p>
      <w:pPr>
        <w:pStyle w:val="Normal"/>
        <w:spacing w:lineRule="auto" w:line="360" w:before="60" w:after="60"/>
        <w:ind w:firstLine="708"/>
        <w:jc w:val="both"/>
        <w:rPr>
          <w:rFonts w:ascii="Arial" w:hAnsi="Arial" w:cs="Arial"/>
        </w:rPr>
      </w:pPr>
      <w:r>
        <w:rPr>
          <w:rFonts w:cs="Arial" w:ascii="Arial" w:hAnsi="Arial"/>
        </w:rPr>
        <w:t>A jornada de atividade de estágio será definida em comum acordo com a instituição de ensino, a parte concedente e o aluno estagiário, não ultrapassando 06 (seis) horas diárias e 30 horas semanais para os estudantes do ensino superior (Lei 11.788, 2008).</w:t>
      </w:r>
    </w:p>
    <w:p>
      <w:pPr>
        <w:pStyle w:val="Normal"/>
        <w:spacing w:lineRule="auto" w:line="360" w:before="60" w:after="60"/>
        <w:ind w:firstLine="708"/>
        <w:jc w:val="both"/>
        <w:rPr>
          <w:rFonts w:ascii="Arial" w:hAnsi="Arial" w:cs="Arial"/>
        </w:rPr>
      </w:pPr>
      <w:r>
        <w:rPr>
          <w:rFonts w:cs="Arial" w:ascii="Arial" w:hAnsi="Arial"/>
        </w:rPr>
        <w:t>Com relação à redução da carga horária de estágio, como definido pela Resolução CNE/CP nº 02/2015, esta só acontecerá para os discentes em situação de segunda licenciatura. “Os portadores de diploma de licenciatura com exercício comprovado no magistério e exercendo atividade docente regular na educação básica poderão ter redução da carga horária do estágio curricular supervisionado até o máximo de 100 (cem) horas” (Resolução CNE/CP nº 02/2015, cap. 5, art. 15, § 7º).</w:t>
      </w:r>
    </w:p>
    <w:p>
      <w:pPr>
        <w:pStyle w:val="Normal"/>
        <w:spacing w:lineRule="auto" w:line="360" w:before="60" w:after="60"/>
        <w:ind w:firstLine="708"/>
        <w:jc w:val="both"/>
        <w:rPr>
          <w:rFonts w:ascii="Arial" w:hAnsi="Arial" w:cs="Arial"/>
          <w:b/>
          <w:b/>
          <w:bCs/>
        </w:rPr>
      </w:pPr>
      <w:r>
        <w:rPr>
          <w:rFonts w:cs="Arial" w:ascii="Arial" w:hAnsi="Arial"/>
        </w:rPr>
        <w:t>O Colegiado do Curso de Licenciatura em História promoverá adequações da resolução interna que normatiza o estágio curricular supervisionado em função do disposto na legislação pertinente e diretrizes fundantes desse PPC.</w:t>
      </w:r>
    </w:p>
    <w:p>
      <w:pPr>
        <w:pStyle w:val="Normal"/>
        <w:spacing w:lineRule="auto" w:line="360" w:before="60" w:after="60"/>
        <w:ind w:firstLine="708"/>
        <w:jc w:val="both"/>
        <w:rPr>
          <w:rFonts w:ascii="Arial" w:hAnsi="Arial" w:cs="Arial"/>
        </w:rPr>
      </w:pPr>
      <w:r>
        <w:rPr>
          <w:rFonts w:cs="Arial" w:ascii="Arial" w:hAnsi="Arial"/>
        </w:rPr>
      </w:r>
    </w:p>
    <w:p>
      <w:pPr>
        <w:pStyle w:val="Normal"/>
        <w:spacing w:lineRule="auto" w:line="360" w:before="60" w:after="60"/>
        <w:jc w:val="both"/>
        <w:rPr>
          <w:rFonts w:ascii="Arial" w:hAnsi="Arial" w:cs="Arial"/>
          <w:b/>
          <w:b/>
          <w:i/>
          <w:i/>
        </w:rPr>
      </w:pPr>
      <w:r>
        <w:rPr>
          <w:rFonts w:cs="Arial" w:ascii="Arial" w:hAnsi="Arial"/>
          <w:b/>
          <w:bCs/>
          <w:i/>
          <w:sz w:val="24"/>
        </w:rPr>
        <w:t>10.11. Trabalho de Conclusão de Curso – TCC</w:t>
      </w:r>
    </w:p>
    <w:p>
      <w:pPr>
        <w:pStyle w:val="Normal"/>
        <w:spacing w:lineRule="auto" w:line="360" w:before="60" w:after="60"/>
        <w:ind w:firstLine="709"/>
        <w:jc w:val="both"/>
        <w:rPr>
          <w:rFonts w:ascii="Arial" w:hAnsi="Arial" w:cs="Arial"/>
        </w:rPr>
      </w:pPr>
      <w:r>
        <w:rPr>
          <w:rFonts w:cs="Arial" w:ascii="Arial" w:hAnsi="Arial"/>
        </w:rPr>
        <w:t>O TCC é uma atividade acadêmica específica para a conclusão dos cursos de graduação da UFVJM. No caso da Licenciatura em História, o TCC deve consistir na sistematização, registro e apresentação de conhecimentos culturais, científicos e técnicos, produzidos no campo historiográfico, como resultado do trabalho de pesquisa, investigação científica e extensão e tem por finalidade estimular a curiosidade e o espírito questionador do acadêmico, fundamentais para o desenvolvimento da ciência (Resolução CONSEPE nº 22/2017).</w:t>
      </w:r>
    </w:p>
    <w:p>
      <w:pPr>
        <w:pStyle w:val="Normal"/>
        <w:spacing w:lineRule="auto" w:line="360" w:before="0" w:after="0"/>
        <w:ind w:firstLine="709"/>
        <w:jc w:val="both"/>
        <w:rPr>
          <w:rFonts w:ascii="Arial" w:hAnsi="Arial" w:cs="Arial"/>
        </w:rPr>
      </w:pPr>
      <w:r>
        <w:rPr>
          <w:rFonts w:cs="Arial" w:ascii="Arial" w:hAnsi="Arial"/>
        </w:rPr>
        <w:t xml:space="preserve">Para elaboração do TCC, o graduando do curso de Licenciatura em História irá cursar duas UC’s – no 3º e no 8º períodos. Na UC </w:t>
      </w:r>
      <w:r>
        <w:rPr>
          <w:rFonts w:cs="Arial" w:ascii="Arial" w:hAnsi="Arial"/>
          <w:b/>
        </w:rPr>
        <w:t>Metodologia da Pesquisa Histórica</w:t>
      </w:r>
      <w:r>
        <w:rPr>
          <w:rFonts w:cs="Arial" w:ascii="Arial" w:hAnsi="Arial"/>
        </w:rPr>
        <w:t>, serão abordados temas em torno da construção de uma pesquisa científica em História, seus fundamentos epistemológicos, as metodologias, a elaboração, normalização e formatação do projeto de pesquisa. O discente será estimulado a ir em busca das fontes históricas para realização da pesquisa empírica, com vias a redigir o trabalho e, posteriormente, se submeter à defesa do mesmo.</w:t>
      </w:r>
    </w:p>
    <w:p>
      <w:pPr>
        <w:pStyle w:val="Normal"/>
        <w:spacing w:lineRule="auto" w:line="360" w:before="60" w:after="60"/>
        <w:ind w:firstLine="709"/>
        <w:jc w:val="both"/>
        <w:rPr>
          <w:rFonts w:ascii="Arial" w:hAnsi="Arial" w:cs="Arial"/>
        </w:rPr>
      </w:pPr>
      <w:r>
        <w:rPr>
          <w:rFonts w:cs="Arial" w:ascii="Arial" w:hAnsi="Arial"/>
        </w:rPr>
        <w:t xml:space="preserve">Além das UC’s, os graduandos irão escolher por afinidade de áreas e temas professores que irão orientá-los individualmente no processo de produção do TCC, o que deverá ocorrer entre o 4º e 7º períodos letivos. No 8º semestre, os futuros professores, além de cursar a UC </w:t>
      </w:r>
      <w:r>
        <w:rPr>
          <w:rFonts w:cs="Arial" w:ascii="Arial" w:hAnsi="Arial"/>
          <w:b/>
        </w:rPr>
        <w:t>Trabalho de Conclusão de Curso</w:t>
      </w:r>
      <w:r>
        <w:rPr>
          <w:rFonts w:cs="Arial" w:ascii="Arial" w:hAnsi="Arial"/>
        </w:rPr>
        <w:t>, deverão submeter o trabalho final à banca avaliadora e serão aprovados aqueles que cumprirem os critérios estabelecidos na Resolução nº 01, do Colegiado do Curso de Licenciatura em História, de Novembro de 2017</w:t>
      </w:r>
      <w:r>
        <w:rPr>
          <w:rStyle w:val="Ncoradanotaderodap"/>
          <w:rFonts w:cs="Arial" w:ascii="Arial" w:hAnsi="Arial"/>
        </w:rPr>
        <w:footnoteReference w:id="6"/>
      </w:r>
      <w:r>
        <w:rPr>
          <w:rFonts w:cs="Arial" w:ascii="Arial" w:hAnsi="Arial"/>
        </w:rPr>
        <w:t xml:space="preserve">. </w:t>
      </w:r>
    </w:p>
    <w:p>
      <w:pPr>
        <w:pStyle w:val="Normal"/>
        <w:spacing w:lineRule="auto" w:line="360" w:before="60" w:after="60"/>
        <w:jc w:val="both"/>
        <w:rPr>
          <w:rFonts w:ascii="Arial" w:hAnsi="Arial" w:cs="Arial"/>
        </w:rPr>
      </w:pPr>
      <w:r>
        <w:rPr>
          <w:rFonts w:cs="Arial" w:ascii="Arial" w:hAnsi="Arial"/>
        </w:rPr>
      </w:r>
    </w:p>
    <w:p>
      <w:pPr>
        <w:pStyle w:val="Normal"/>
        <w:spacing w:lineRule="auto" w:line="360" w:before="60" w:after="60"/>
        <w:jc w:val="both"/>
        <w:rPr>
          <w:rFonts w:ascii="Arial" w:hAnsi="Arial" w:cs="Arial"/>
          <w:b/>
          <w:b/>
          <w:i/>
          <w:i/>
          <w:sz w:val="24"/>
        </w:rPr>
      </w:pPr>
      <w:r>
        <w:rPr>
          <w:rFonts w:cs="Arial" w:ascii="Arial" w:hAnsi="Arial"/>
          <w:b/>
          <w:i/>
          <w:sz w:val="24"/>
        </w:rPr>
        <w:t>10.12.</w:t>
      </w:r>
      <w:r>
        <w:rPr>
          <w:rFonts w:cs="Arial" w:ascii="Arial" w:hAnsi="Arial"/>
          <w:i/>
          <w:sz w:val="24"/>
        </w:rPr>
        <w:t xml:space="preserve"> </w:t>
      </w:r>
      <w:r>
        <w:rPr>
          <w:rFonts w:cs="Arial" w:ascii="Arial" w:hAnsi="Arial"/>
          <w:b/>
          <w:i/>
          <w:sz w:val="24"/>
        </w:rPr>
        <w:t>Prática como Componente Curricular - PCC</w:t>
      </w:r>
    </w:p>
    <w:p>
      <w:pPr>
        <w:pStyle w:val="Normal"/>
        <w:spacing w:lineRule="auto" w:line="360" w:before="60" w:after="60"/>
        <w:ind w:firstLine="709"/>
        <w:jc w:val="both"/>
        <w:rPr>
          <w:rFonts w:ascii="Arial" w:hAnsi="Arial" w:cs="Arial"/>
        </w:rPr>
      </w:pPr>
      <w:r>
        <w:rPr>
          <w:rFonts w:cs="Arial" w:ascii="Arial" w:hAnsi="Arial"/>
        </w:rPr>
        <w:t xml:space="preserve">A legislação federal estabelece que a carga horária de Prática como Componente Curricular, obrigatória para a Licenciatura, é de no mínimo 400 horas, a serem realizadas ao longo do curso (Resolução CNE/CP nº 2/2015, art. 13, § 1º, inciso I). Essa carga horária de Prática como Componente Curricular tem por objetivo permitir que o futuro professor de História nos níveis Fundamental e Médio vivencie, de modo crítico e reflexivo, as diferentes dimensões da prática profissional em sua área de atuação. </w:t>
      </w:r>
    </w:p>
    <w:p>
      <w:pPr>
        <w:pStyle w:val="Normal"/>
        <w:spacing w:lineRule="auto" w:line="360" w:before="60" w:after="60"/>
        <w:ind w:firstLine="709"/>
        <w:jc w:val="both"/>
        <w:rPr>
          <w:rFonts w:ascii="Arial" w:hAnsi="Arial" w:cs="Arial"/>
        </w:rPr>
      </w:pPr>
      <w:r>
        <w:rPr>
          <w:rFonts w:cs="Arial" w:ascii="Arial" w:hAnsi="Arial"/>
        </w:rPr>
        <w:t>Partindo do pressuposto de que pesquisa e ensino são atividades complementares e indissociáveis, o curso de graduação em História da UFVJM integraliza essas práticas de duas formas: 1) Nas UC’s de 75h, em que 15h/a são destinadas a práticas como componente curricular e 60h/a teóricas</w:t>
      </w:r>
    </w:p>
    <w:p>
      <w:pPr>
        <w:pStyle w:val="Normal"/>
        <w:spacing w:lineRule="auto" w:line="360" w:before="60" w:after="60"/>
        <w:jc w:val="both"/>
        <w:rPr>
          <w:rFonts w:ascii="Arial" w:hAnsi="Arial" w:cs="Arial"/>
        </w:rPr>
      </w:pPr>
      <w:r>
        <w:rPr>
          <w:rFonts w:cs="Arial" w:ascii="Arial" w:hAnsi="Arial"/>
        </w:rPr>
        <w:t>2) UC’s de Laboratório de Ensino de História (LEH) com carga horária de 75h/a, mas neles as práticas como componente curricular são 60h/a. Em ambos os casos, as 15h de prática são realizadas de modo a articular as discussões teóricas da historiografia com práticas do conhecimento técnico-científico e do ensino da História. Assim, os discentes são estimulados a trabalhar com documentos: identificação, pesquisa, crítica, análise e etc. E todo conhecimento produzido nessa prática de contato com o arquivo e documentação se transforma em ferramenta para o trabalho na dimensão do ensino de História.</w:t>
      </w:r>
    </w:p>
    <w:p>
      <w:pPr>
        <w:pStyle w:val="Normal"/>
        <w:spacing w:lineRule="auto" w:line="360" w:before="60" w:after="60"/>
        <w:ind w:firstLine="709"/>
        <w:jc w:val="both"/>
        <w:rPr>
          <w:rFonts w:ascii="Arial" w:hAnsi="Arial" w:cs="Arial"/>
        </w:rPr>
      </w:pPr>
      <w:r>
        <w:rPr>
          <w:rFonts w:cs="Arial" w:ascii="Arial" w:hAnsi="Arial"/>
        </w:rPr>
      </w:r>
    </w:p>
    <w:p>
      <w:pPr>
        <w:pStyle w:val="Normal"/>
        <w:spacing w:lineRule="auto" w:line="360" w:before="60" w:after="60"/>
        <w:jc w:val="both"/>
        <w:rPr>
          <w:rFonts w:ascii="Arial" w:hAnsi="Arial" w:cs="Arial"/>
          <w:b/>
          <w:b/>
          <w:i/>
          <w:i/>
          <w:sz w:val="24"/>
        </w:rPr>
      </w:pPr>
      <w:r>
        <w:rPr>
          <w:rFonts w:cs="Arial" w:ascii="Arial" w:hAnsi="Arial"/>
          <w:b/>
          <w:i/>
          <w:sz w:val="24"/>
        </w:rPr>
        <w:t>10.13. Atividades Complementares - AACC</w:t>
      </w:r>
    </w:p>
    <w:p>
      <w:pPr>
        <w:pStyle w:val="Normal"/>
        <w:spacing w:lineRule="auto" w:line="360" w:before="60" w:after="60"/>
        <w:ind w:firstLine="709"/>
        <w:jc w:val="both"/>
        <w:rPr>
          <w:rFonts w:ascii="Arial" w:hAnsi="Arial" w:cs="Arial"/>
        </w:rPr>
      </w:pPr>
      <w:r>
        <w:rPr>
          <w:rFonts w:cs="Arial" w:ascii="Arial" w:hAnsi="Arial"/>
        </w:rPr>
        <w:t>As Atividades Acadêmicas Científicas e Culturais compõem, conforme a Resolução CNE/CP Nº 02/2015, o núcleo de estudos integradores para o enriquecimento curricular e correspondem à participação do graduando em:</w:t>
      </w:r>
    </w:p>
    <w:p>
      <w:pPr>
        <w:pStyle w:val="ListParagraph"/>
        <w:numPr>
          <w:ilvl w:val="0"/>
          <w:numId w:val="11"/>
        </w:numPr>
        <w:spacing w:lineRule="auto" w:line="360" w:before="60" w:after="60"/>
        <w:jc w:val="both"/>
        <w:rPr>
          <w:rFonts w:ascii="Arial" w:hAnsi="Arial" w:cs="Arial"/>
        </w:rPr>
      </w:pPr>
      <w:r>
        <w:rPr>
          <w:rFonts w:cs="Arial" w:ascii="Arial" w:hAnsi="Arial"/>
        </w:rPr>
        <w:t xml:space="preserve">seminários e estudos curriculares, em projetos de iniciação científica, iniciação à docência, residência docente, monitoria e extensão, etc. que serão diretamente orientados pelo corpo docente da UFVJM; </w:t>
      </w:r>
    </w:p>
    <w:p>
      <w:pPr>
        <w:pStyle w:val="ListParagraph"/>
        <w:numPr>
          <w:ilvl w:val="0"/>
          <w:numId w:val="11"/>
        </w:numPr>
        <w:spacing w:lineRule="auto" w:line="360" w:before="60" w:after="60"/>
        <w:jc w:val="both"/>
        <w:rPr>
          <w:rFonts w:ascii="Arial" w:hAnsi="Arial" w:cs="Arial"/>
        </w:rPr>
      </w:pPr>
      <w:r>
        <w:rPr>
          <w:rFonts w:cs="Arial" w:ascii="Arial" w:hAnsi="Arial"/>
        </w:rPr>
        <w:t>atividades práticas articuladas entre os sistemas de ensino e instituições educativas para propiciar vivencias nas diferentes áreas do campo educacional;</w:t>
      </w:r>
    </w:p>
    <w:p>
      <w:pPr>
        <w:pStyle w:val="ListParagraph"/>
        <w:numPr>
          <w:ilvl w:val="0"/>
          <w:numId w:val="11"/>
        </w:numPr>
        <w:spacing w:lineRule="auto" w:line="360" w:before="60" w:after="60"/>
        <w:jc w:val="both"/>
        <w:rPr>
          <w:rFonts w:ascii="Arial" w:hAnsi="Arial" w:cs="Arial"/>
        </w:rPr>
      </w:pPr>
      <w:r>
        <w:rPr>
          <w:rFonts w:cs="Arial" w:ascii="Arial" w:hAnsi="Arial"/>
        </w:rPr>
        <w:t>mobilidade estudantil, como intercâmbio;</w:t>
      </w:r>
    </w:p>
    <w:p>
      <w:pPr>
        <w:pStyle w:val="ListParagraph"/>
        <w:numPr>
          <w:ilvl w:val="0"/>
          <w:numId w:val="11"/>
        </w:numPr>
        <w:spacing w:lineRule="auto" w:line="360" w:before="60" w:after="60"/>
        <w:jc w:val="both"/>
        <w:rPr>
          <w:rFonts w:ascii="Arial" w:hAnsi="Arial" w:cs="Arial"/>
        </w:rPr>
      </w:pPr>
      <w:r>
        <w:rPr>
          <w:rFonts w:cs="Arial" w:ascii="Arial" w:hAnsi="Arial"/>
        </w:rPr>
        <w:t>atividades de comunicação e expressão visando à aquisição e à apropriação de recursos de linguagem capazes de comunicar, interpretar a realidade estudada e criar conexões com a vida social (CNE/CP nº 02/2015, cap. IV, art. 12, III).</w:t>
      </w:r>
    </w:p>
    <w:p>
      <w:pPr>
        <w:pStyle w:val="Normal"/>
        <w:spacing w:lineRule="auto" w:line="360" w:before="60" w:after="60"/>
        <w:ind w:firstLine="709"/>
        <w:jc w:val="both"/>
        <w:rPr>
          <w:rFonts w:ascii="Arial" w:hAnsi="Arial" w:cs="Arial"/>
        </w:rPr>
      </w:pPr>
      <w:r>
        <w:rPr>
          <w:rFonts w:cs="Arial" w:ascii="Arial" w:hAnsi="Arial"/>
        </w:rPr>
        <w:t>Considera-se que 200 horas de atividades extracurriculares devem ser desenvolvidas pelos acadêmicos em atividades complementares, tendo como objetivo enriquecer seu processo formativo. As Atividades Complementares realizadas pelos estudantes deverão ser reconhecidas e homologadas conforme as regras vigentes na UFVJM (Resolução nº 5 – CONSEPE, 23/04/2010) contemplar as áreas de: Ensino, pesquisa e extensão. Em consonância com essa determinação, o Colegiado do Curso de Graduação em História estabeleceu, através da Resolução nº 3 de Novembro de 2017</w:t>
      </w:r>
      <w:r>
        <w:rPr>
          <w:rStyle w:val="Ncoradanotaderodap"/>
          <w:rFonts w:cs="Arial" w:ascii="Arial" w:hAnsi="Arial"/>
        </w:rPr>
        <w:footnoteReference w:id="7"/>
      </w:r>
      <w:r>
        <w:rPr>
          <w:rFonts w:cs="Arial" w:ascii="Arial" w:hAnsi="Arial"/>
        </w:rPr>
        <w:t>, os limites máximos de horas em cada Atividade Acadêmico-científicas e culturais, bem como classificou quais atividades se enquadram nessa categoria.</w:t>
      </w:r>
    </w:p>
    <w:p>
      <w:pPr>
        <w:pStyle w:val="Normal"/>
        <w:spacing w:lineRule="auto" w:line="360" w:before="60" w:after="60"/>
        <w:ind w:firstLine="570"/>
        <w:jc w:val="both"/>
        <w:rPr>
          <w:rFonts w:ascii="Arial" w:hAnsi="Arial" w:cs="Arial"/>
        </w:rPr>
      </w:pPr>
      <w:r>
        <w:rPr>
          <w:rFonts w:cs="Arial" w:ascii="Arial" w:hAnsi="Arial"/>
        </w:rPr>
        <w:t>Objetiva-se que as AACCs propiciem aos estudantes a oportunidade de desenvolver habilidades e competências diversas das formadas em sala de aula e, ao mesmo tempo, iniciar sua inserção em outros ambientes formativos e profissionais da área de História.</w:t>
      </w:r>
    </w:p>
    <w:p>
      <w:pPr>
        <w:pStyle w:val="Normal"/>
        <w:spacing w:lineRule="auto" w:line="360" w:before="60" w:after="60"/>
        <w:jc w:val="both"/>
        <w:rPr>
          <w:rFonts w:ascii="Arial" w:hAnsi="Arial" w:cs="Arial"/>
          <w:b/>
          <w:b/>
        </w:rPr>
      </w:pPr>
      <w:r>
        <w:rPr>
          <w:rFonts w:cs="Arial" w:ascii="Arial" w:hAnsi="Arial"/>
          <w:b/>
        </w:rPr>
      </w:r>
    </w:p>
    <w:p>
      <w:pPr>
        <w:pStyle w:val="Normal"/>
        <w:spacing w:lineRule="auto" w:line="360" w:before="60" w:after="60"/>
        <w:jc w:val="both"/>
        <w:rPr>
          <w:rFonts w:ascii="Arial" w:hAnsi="Arial" w:cs="Arial"/>
          <w:b/>
          <w:b/>
          <w:i/>
          <w:i/>
          <w:sz w:val="24"/>
        </w:rPr>
      </w:pPr>
      <w:r>
        <w:rPr>
          <w:rFonts w:cs="Arial" w:ascii="Arial" w:hAnsi="Arial"/>
          <w:b/>
          <w:i/>
          <w:sz w:val="24"/>
        </w:rPr>
        <w:t>10.14. Integração com a Educação Básica</w:t>
      </w:r>
    </w:p>
    <w:p>
      <w:pPr>
        <w:pStyle w:val="Normal"/>
        <w:spacing w:lineRule="auto" w:line="360" w:before="60" w:after="60"/>
        <w:ind w:firstLine="709"/>
        <w:jc w:val="both"/>
        <w:rPr>
          <w:rFonts w:ascii="Arial" w:hAnsi="Arial" w:cs="Arial"/>
        </w:rPr>
      </w:pPr>
      <w:r>
        <w:rPr>
          <w:rFonts w:cs="Arial" w:ascii="Arial" w:hAnsi="Arial"/>
        </w:rPr>
        <w:t>Como ambiente de ensino, pesquisa e extensão, a UFVJM, por meio do curso de Licenciatura em História, promove diversas ações, visando à integração com as escolas de Educação Básica de Diamantina e região. Dentre elas, destacam-se as ações relacionadas ao estágio supervisionado obrigatório e ao PIBID.</w:t>
      </w:r>
    </w:p>
    <w:p>
      <w:pPr>
        <w:pStyle w:val="Normal"/>
        <w:spacing w:lineRule="auto" w:line="360" w:before="60" w:after="60"/>
        <w:ind w:firstLine="709"/>
        <w:jc w:val="both"/>
        <w:rPr>
          <w:rFonts w:ascii="Arial" w:hAnsi="Arial" w:cs="Arial"/>
        </w:rPr>
      </w:pPr>
      <w:r>
        <w:rPr>
          <w:rFonts w:cs="Arial" w:ascii="Arial" w:hAnsi="Arial"/>
        </w:rPr>
        <w:t>Nas atividades de estágio supervisionado, os futuros professores são inseridos no ambiente escolar para a realização de atividades de observação, regência e colaboração com a ação do professor regente. Dessa forma, praticam a aprendizagem da futura profissão sob a supervisão de um docente do curso de licenciatura em História.</w:t>
      </w:r>
    </w:p>
    <w:p>
      <w:pPr>
        <w:pStyle w:val="Normal"/>
        <w:spacing w:lineRule="auto" w:line="360" w:before="60" w:after="60"/>
        <w:ind w:firstLine="709"/>
        <w:jc w:val="both"/>
        <w:rPr>
          <w:rFonts w:ascii="Arial" w:hAnsi="Arial" w:cs="Arial"/>
        </w:rPr>
      </w:pPr>
      <w:r>
        <w:rPr>
          <w:rFonts w:cs="Arial" w:ascii="Arial" w:hAnsi="Arial"/>
        </w:rPr>
        <w:t>Por meio do PIBID, o licenciando é inserido por tempo mais prolongado nos ambientes das escolas de Educação Básica com planos de trabalho que envolvem oficinas pedagógicas durante o período letivo, estudo da dinâmica da sala de aula e da prática do professor, trocas de experiências e redação de relatórios, desenvolvimento de materiais e estratégias pedagógicas alternativas para o ensino de diversos componentes curriculares.</w:t>
      </w:r>
    </w:p>
    <w:p>
      <w:pPr>
        <w:pStyle w:val="Normal"/>
        <w:spacing w:lineRule="auto" w:line="360" w:before="60" w:after="60"/>
        <w:ind w:firstLine="709"/>
        <w:jc w:val="both"/>
        <w:rPr>
          <w:rFonts w:ascii="Arial" w:hAnsi="Arial" w:cs="Arial"/>
        </w:rPr>
      </w:pPr>
      <w:r>
        <w:rPr>
          <w:rFonts w:cs="Arial" w:ascii="Arial" w:hAnsi="Arial"/>
        </w:rPr>
      </w:r>
    </w:p>
    <w:p>
      <w:pPr>
        <w:pStyle w:val="Normal"/>
        <w:spacing w:lineRule="auto" w:line="360" w:before="60" w:after="60"/>
        <w:jc w:val="both"/>
        <w:rPr>
          <w:rFonts w:ascii="Arial" w:hAnsi="Arial" w:cs="Arial"/>
          <w:b/>
          <w:b/>
          <w:sz w:val="24"/>
        </w:rPr>
      </w:pPr>
      <w:r>
        <w:rPr>
          <w:rFonts w:cs="Arial" w:ascii="Arial" w:hAnsi="Arial"/>
          <w:b/>
          <w:bCs/>
          <w:sz w:val="24"/>
        </w:rPr>
        <w:t>11. ACOMPANHAMENTO E AVALIAÇÃO DO PPC</w:t>
      </w:r>
    </w:p>
    <w:p>
      <w:pPr>
        <w:pStyle w:val="Normal"/>
        <w:spacing w:lineRule="auto" w:line="360" w:before="60" w:after="60"/>
        <w:jc w:val="both"/>
        <w:rPr>
          <w:rFonts w:ascii="Arial" w:hAnsi="Arial" w:cs="Arial"/>
        </w:rPr>
      </w:pPr>
      <w:r>
        <w:rPr>
          <w:rFonts w:cs="Arial" w:ascii="Arial" w:hAnsi="Arial"/>
        </w:rPr>
      </w:r>
    </w:p>
    <w:p>
      <w:pPr>
        <w:pStyle w:val="Normal"/>
        <w:spacing w:lineRule="auto" w:line="360" w:before="60" w:after="60"/>
        <w:ind w:firstLine="660"/>
        <w:jc w:val="both"/>
        <w:rPr>
          <w:rFonts w:ascii="Arial" w:hAnsi="Arial" w:cs="Arial"/>
        </w:rPr>
      </w:pPr>
      <w:r>
        <w:rPr>
          <w:rFonts w:cs="Arial" w:ascii="Arial" w:hAnsi="Arial"/>
        </w:rPr>
        <w:t>Em relação ao curso de Licenciatura em História, o NDE é o responsável por acompanhar e atualizar periodicamente o PPC, definindo sua concepção e fundamentos. Desse modo, é o NDE responsável pela elaboração, implementação, atualização e consolidação do PPC. Como instância deliberativa, o Colegiado do Curso também participa do processo, à medida que todas as decisões do NDE, necessariamente passam por sua anuência.</w:t>
      </w:r>
    </w:p>
    <w:p>
      <w:pPr>
        <w:pStyle w:val="Normal"/>
        <w:spacing w:lineRule="auto" w:line="360" w:before="60" w:after="60"/>
        <w:ind w:firstLine="660"/>
        <w:jc w:val="both"/>
        <w:rPr>
          <w:rFonts w:ascii="Arial" w:hAnsi="Arial" w:cs="Arial"/>
        </w:rPr>
      </w:pPr>
      <w:r>
        <w:rPr>
          <w:rFonts w:cs="Arial" w:ascii="Arial" w:hAnsi="Arial"/>
        </w:rPr>
        <w:t>O NDE do curso de graduação em História atualmente é composto por cinco membros: a coordenadora do curso e quatro membros eleitos pelo Colegiado (Portaria FIH nº 48, 07 de julho de 2017). O NDE funciona com reuniões periódicas e tem desenvolvido uma série de atividades, seguindo as prerrogativas propostas pela Resolução CONSEPE, nº 04, de 10 de março de 2016. Destacam-se as propostas para:</w:t>
      </w:r>
    </w:p>
    <w:p>
      <w:pPr>
        <w:pStyle w:val="ListParagraph"/>
        <w:numPr>
          <w:ilvl w:val="0"/>
          <w:numId w:val="8"/>
        </w:numPr>
        <w:spacing w:lineRule="auto" w:line="360" w:before="60" w:after="60"/>
        <w:jc w:val="both"/>
        <w:rPr>
          <w:rFonts w:ascii="Arial" w:hAnsi="Arial" w:cs="Arial"/>
        </w:rPr>
      </w:pPr>
      <w:r>
        <w:rPr>
          <w:rFonts w:cs="Arial" w:ascii="Arial" w:hAnsi="Arial"/>
        </w:rPr>
        <w:t>consolidação do perfil profissional do egresso do curso;</w:t>
      </w:r>
    </w:p>
    <w:p>
      <w:pPr>
        <w:pStyle w:val="ListParagraph"/>
        <w:numPr>
          <w:ilvl w:val="0"/>
          <w:numId w:val="8"/>
        </w:numPr>
        <w:spacing w:lineRule="auto" w:line="360" w:before="60" w:after="60"/>
        <w:jc w:val="both"/>
        <w:rPr>
          <w:rFonts w:ascii="Arial" w:hAnsi="Arial" w:cs="Arial"/>
        </w:rPr>
      </w:pPr>
      <w:r>
        <w:rPr>
          <w:rFonts w:cs="Arial" w:ascii="Arial" w:hAnsi="Arial"/>
        </w:rPr>
        <w:t>integração curricular interdisciplinar entre as diferentes atividades de ensino constantes no currículo;</w:t>
      </w:r>
    </w:p>
    <w:p>
      <w:pPr>
        <w:pStyle w:val="ListParagraph"/>
        <w:numPr>
          <w:ilvl w:val="0"/>
          <w:numId w:val="8"/>
        </w:numPr>
        <w:spacing w:lineRule="auto" w:line="360" w:before="60" w:after="60"/>
        <w:jc w:val="both"/>
        <w:rPr>
          <w:rFonts w:ascii="Arial" w:hAnsi="Arial" w:cs="Arial"/>
        </w:rPr>
      </w:pPr>
      <w:r>
        <w:rPr>
          <w:rFonts w:cs="Arial" w:ascii="Arial" w:hAnsi="Arial"/>
        </w:rPr>
        <w:t>desenvolvimento de linhas de pesquisa e extensão, oriundas de necessidades da graduação, de exigências do mercado de trabalho e afinadas com as políticas públicas relativas à área de conhecimento do curso;</w:t>
      </w:r>
    </w:p>
    <w:p>
      <w:pPr>
        <w:pStyle w:val="ListParagraph"/>
        <w:numPr>
          <w:ilvl w:val="0"/>
          <w:numId w:val="8"/>
        </w:numPr>
        <w:spacing w:lineRule="auto" w:line="360" w:before="60" w:after="60"/>
        <w:jc w:val="both"/>
        <w:rPr>
          <w:rFonts w:ascii="Arial" w:hAnsi="Arial" w:cs="Arial"/>
        </w:rPr>
      </w:pPr>
      <w:r>
        <w:rPr>
          <w:rFonts w:cs="Arial" w:ascii="Arial" w:hAnsi="Arial"/>
        </w:rPr>
        <w:t>zelo pelo cumprimento das DCNs para os Cursos de Graduação.</w:t>
      </w:r>
    </w:p>
    <w:p>
      <w:pPr>
        <w:pStyle w:val="Normal"/>
        <w:spacing w:lineRule="auto" w:line="360" w:before="60" w:after="60"/>
        <w:ind w:firstLine="708"/>
        <w:jc w:val="both"/>
        <w:rPr>
          <w:rFonts w:ascii="Arial" w:hAnsi="Arial" w:cs="Arial"/>
        </w:rPr>
      </w:pPr>
      <w:r>
        <w:rPr>
          <w:rFonts w:cs="Arial" w:ascii="Arial" w:hAnsi="Arial"/>
        </w:rPr>
        <w:t>Desse modo, a avaliação do curso é feita de modo contínuo pelo NDE e leva em consideração as informações obtidas junto aos docentes, discentes e egressos envolvidos diretamente no mesmo. São utilizados instrumentos tais como: observações, questionários, reuniões, assembleias, eventos, relatórios de desempenho disponíveis no Sistema de Gestão Acadêmica (SIGA), entre outros. Assim sendo, o sistema de avaliação do curso envolve os diversos atores sociais atuantes no processo de formação. Este sistema se fundamenta em fontes de informações que oferecem subsídios para a tomada de decisão quanto às modificações necessárias no curso.</w:t>
      </w:r>
    </w:p>
    <w:p>
      <w:pPr>
        <w:pStyle w:val="Normal"/>
        <w:spacing w:lineRule="auto" w:line="360" w:before="60" w:after="60"/>
        <w:ind w:firstLine="708"/>
        <w:jc w:val="both"/>
        <w:rPr>
          <w:rFonts w:ascii="Arial" w:hAnsi="Arial" w:cs="Arial"/>
        </w:rPr>
      </w:pPr>
      <w:r>
        <w:rPr>
          <w:rFonts w:cs="Arial" w:ascii="Arial" w:hAnsi="Arial"/>
        </w:rPr>
        <w:t>Cabe destacar que a UFVJM dispõe, ainda, de Comissão Própria de Avaliação (CPA) que é orientada pelas diretrizes de autoavaliação institucional da CONAES. A CPA realiza, a cada dois anos, a avaliação institucional que tem como principais objetivos: produzir conhecimentos; averiguar o sentido do conjunto de atividades e finalidades cumpridas pela instituição; identificar as causas dos seus problemas e deficiências; aumentar a consciência pedagógica e a capacidade profissional do corpo docente e técnico-administrativo; fortalecer as relações de cooperação entre os diversos atores institucionais; tornar mais efetiva a vinculação da instituição com a comunidade; julgar acerca da relevância científica e social de suas atividades e produtos e prestar contas à sociedade.</w:t>
      </w:r>
    </w:p>
    <w:p>
      <w:pPr>
        <w:pStyle w:val="Normal"/>
        <w:spacing w:lineRule="auto" w:line="360" w:before="60" w:after="60"/>
        <w:ind w:firstLine="708"/>
        <w:jc w:val="both"/>
        <w:rPr>
          <w:rFonts w:ascii="Arial" w:hAnsi="Arial" w:cs="Arial"/>
        </w:rPr>
      </w:pPr>
      <w:r>
        <w:rPr>
          <w:rFonts w:cs="Arial" w:ascii="Arial" w:hAnsi="Arial"/>
        </w:rPr>
        <w:t xml:space="preserve">Esta avaliação contempla as seguintes dimensões de desempenho institucional: 1) Missão e Plano de Desenvolvimento Institucional; 2) Política de Ensino, Pesquisa e Extensão; 3) Responsabilidade Institucional; 4) Comunicação e Sociedade; 5) Política de Pessoal; 6) Organização e Gestão da Instituição; 7) Estrutura Física; 8) Planejamento e Avaliação; 9) Políticas de Atendimento ao Discente; 10) Sustentabilidade Financeira. A avaliação externa é realizada por comissões designadas pelo INEP, segundo diretrizes estabelecidas pela CONAES. </w:t>
      </w:r>
    </w:p>
    <w:p>
      <w:pPr>
        <w:pStyle w:val="ListParagraph"/>
        <w:spacing w:lineRule="auto" w:line="360" w:before="60" w:after="60"/>
        <w:jc w:val="both"/>
        <w:rPr>
          <w:rFonts w:ascii="Arial" w:hAnsi="Arial" w:cs="Arial"/>
          <w:sz w:val="24"/>
        </w:rPr>
      </w:pPr>
      <w:r>
        <w:rPr>
          <w:rFonts w:cs="Arial" w:ascii="Arial" w:hAnsi="Arial"/>
          <w:sz w:val="24"/>
        </w:rPr>
      </w:r>
    </w:p>
    <w:p>
      <w:pPr>
        <w:pStyle w:val="Normal"/>
        <w:spacing w:lineRule="auto" w:line="360" w:before="60" w:after="60"/>
        <w:jc w:val="both"/>
        <w:rPr>
          <w:rFonts w:ascii="Arial" w:hAnsi="Arial" w:cs="Arial"/>
          <w:b/>
          <w:b/>
          <w:sz w:val="24"/>
        </w:rPr>
      </w:pPr>
      <w:r>
        <w:rPr>
          <w:rFonts w:cs="Arial" w:ascii="Arial" w:hAnsi="Arial"/>
          <w:b/>
          <w:bCs/>
          <w:sz w:val="24"/>
        </w:rPr>
        <w:t>12. AVALIAÇÃO DO PROCESSO ENSINO APRENDIZAGEM</w:t>
      </w:r>
    </w:p>
    <w:p>
      <w:pPr>
        <w:pStyle w:val="Texto"/>
        <w:spacing w:before="60" w:after="60"/>
        <w:ind w:firstLine="709"/>
        <w:rPr>
          <w:rFonts w:eastAsia="" w:eastAsiaTheme="minorEastAsia"/>
          <w:sz w:val="22"/>
          <w:szCs w:val="22"/>
        </w:rPr>
      </w:pPr>
      <w:r>
        <w:rPr>
          <w:rFonts w:eastAsia="" w:eastAsiaTheme="minorEastAsia"/>
          <w:sz w:val="22"/>
          <w:szCs w:val="22"/>
        </w:rPr>
        <w:t>O curso de Licenciatura em História da UFVJM compreende que os procedimentos avaliativos não podem estar dissociados dos processos de ensino e aprendizagem. Tendo em vista tal premissa, as avaliações deverão se pautar nos seguintes princípios: planejamento dos procedimentos de avaliação de forma integrada com o processo educacional, com conteúdos e objetivos bem definidos; utilização dos resultados dos procedimentos de avaliação para discussões e redefinições dos processos de ensino e aprendizagem; realização de avaliações diagnósticas e formativas frequentes; opção preferencial por instrumentos de avaliação que contemplem os aspectos cognitivos; as habilidades e as competências dos processos de ensino e aprendizagem. Sendo assim, as avaliações serão utilizadas como uma forma de aprimoramento da educação do estudante e das práticas pedagógicas utilizadas pelos professores. Pois, conforme Luckesi (2008, p. 81), a avaliação compreende um instrumento para avaliação do estágio da aprendizagem do discente tendo por finalidade, a partir desse estágio, elaborar mecanismos para que possa progredir na apropriação dos conhecimentos necessários à sua formação. Nessa concepção, a avaliação foge aos parâmetros simples de aprovação ou reprovação e se torna um instrumento norteador da aprendizagem.</w:t>
      </w:r>
    </w:p>
    <w:p>
      <w:pPr>
        <w:pStyle w:val="Texto"/>
        <w:spacing w:before="60" w:after="60"/>
        <w:ind w:firstLine="709"/>
        <w:rPr>
          <w:rFonts w:eastAsia="" w:eastAsiaTheme="minorEastAsia"/>
          <w:sz w:val="22"/>
          <w:szCs w:val="22"/>
        </w:rPr>
      </w:pPr>
      <w:r>
        <w:rPr>
          <w:rFonts w:eastAsia="" w:eastAsiaTheme="minorEastAsia"/>
          <w:sz w:val="22"/>
          <w:szCs w:val="22"/>
        </w:rPr>
        <w:t>A avaliação qualitativa envolve a dimensão diagnóstica e orientará o processo de ensino no curso de Licenciatura em História. Dessa forma, será desenvolvida considerando as expectativas de aprendizagens dos estudantes, bem como o reconhecimento dos seus conhecimentos prévios e das demandas oriundas do campo de sua atuação profissional. Assim, o processo de ensino aprendizagem será pautado por uma lógica de “descolonização”, à medida que os conhecimentos prévios dos discentes serão objetos de ensino, tal como aqueles conhecimentos que eles ainda não possuem. Ou seja, pretende-se não apenas incorporar padrões culturais e de conhecimentos escolares tradicionais, mas também valorizar a vivência do indivíduo e seus saberes. Para tanto, pode-se lançar mão de instrumentos que subsidiem a avaliação diagnóstica, tais como: exercícios, observação, entrevistas, provas, autoavaliação.</w:t>
      </w:r>
    </w:p>
    <w:p>
      <w:pPr>
        <w:pStyle w:val="Texto"/>
        <w:spacing w:before="60" w:after="60"/>
        <w:ind w:firstLine="709"/>
        <w:rPr>
          <w:rFonts w:eastAsia="" w:eastAsiaTheme="minorEastAsia"/>
          <w:sz w:val="22"/>
          <w:szCs w:val="22"/>
        </w:rPr>
      </w:pPr>
      <w:r>
        <w:rPr>
          <w:rFonts w:eastAsia="" w:eastAsiaTheme="minorEastAsia"/>
          <w:sz w:val="22"/>
          <w:szCs w:val="22"/>
        </w:rPr>
        <w:t xml:space="preserve">Da mesma forma que a avaliação diagnóstica norteará o trabalho dos docentes do curso de Licenciatura em História, também será realizado um processo contínuo de avaliação, numa perspectiva formativa, objetivando identificar e sanar eventuais dificuldades dos estudantes, a fim de promover o aperfeiçoamento processo de formação. É importante destacar que serão consideradas as especificidades da avaliação de discentes com necessidades educacionais especiais, para os quais serão construídos Planos de Desenvolvimento Individual que subsidiem as adaptações curriculares, as estratégias diferenciadas de ensino e a avaliação. </w:t>
      </w:r>
    </w:p>
    <w:p>
      <w:pPr>
        <w:pStyle w:val="Texto"/>
        <w:spacing w:before="60" w:after="60"/>
        <w:ind w:firstLine="709"/>
        <w:rPr>
          <w:rFonts w:eastAsia="" w:eastAsiaTheme="minorEastAsia"/>
          <w:sz w:val="22"/>
          <w:szCs w:val="22"/>
        </w:rPr>
      </w:pPr>
      <w:r>
        <w:rPr>
          <w:rFonts w:eastAsia="" w:eastAsiaTheme="minorEastAsia"/>
          <w:sz w:val="22"/>
          <w:szCs w:val="22"/>
        </w:rPr>
        <w:t>A avaliação quantitativa do desempenho acadêmico dos estudantes será realizada por unidade curricular, considerando a frequência e o aproveitamento nos termos da legislação vigente. Desse modo, será considerado aprovado o discente que obtiver a frequência de, no mínimo, 75% das aulas e demais atividades programadas. A nota em cada UC, verificada ao término do período letivo, será o resultado da soma das notas obtidas nas avaliações parciais e, atendida o critério da frequência mínima, será aprovado o discente que obtiver nota de aproveitamento igual ou superior a 60 pontos, ou 60% do total de 100 pontos distribuídos nas avaliações durante o período letivo. Em consonância com o Regulamento dos Cursos de Graduação da UFVJM, o discente que alcançar nota igual ou superior a 40 pontos e inferior a 60 pontos ao final do período letivo, terá direito à realização do Exame final. Serão ainda estabelecidos mecanismos para promover a recuperação dos discentes com menor rendimento.</w:t>
      </w:r>
    </w:p>
    <w:p>
      <w:pPr>
        <w:pStyle w:val="Texto"/>
        <w:spacing w:before="60" w:after="60"/>
        <w:ind w:firstLine="709"/>
        <w:rPr>
          <w:rFonts w:eastAsia="" w:eastAsiaTheme="minorEastAsia"/>
          <w:sz w:val="22"/>
          <w:szCs w:val="22"/>
        </w:rPr>
      </w:pPr>
      <w:r>
        <w:rPr>
          <w:rFonts w:eastAsia="" w:eastAsiaTheme="minorEastAsia"/>
          <w:sz w:val="22"/>
          <w:szCs w:val="22"/>
        </w:rPr>
        <w:t xml:space="preserve">As formas de avaliação da aprendizagem estabelecidas pelo docente de cada Unidade Curricular deverão ser divulgadas no início de cada período letivo, juntamente com o programa da UC. Os instrumentos de avaliação utilizados levarão em consideração a diversidade de expressões do conhecimento presentes na sala de aula, e poderão se constituir de: provas dissertativas, resenhas, seminários, relatórios, artigos, exercícios em sala de aula, autoavaliação, dentre outros. </w:t>
      </w:r>
    </w:p>
    <w:p>
      <w:pPr>
        <w:pStyle w:val="Texto"/>
        <w:spacing w:before="60" w:after="60"/>
        <w:ind w:firstLine="709"/>
        <w:rPr>
          <w:sz w:val="22"/>
          <w:szCs w:val="22"/>
        </w:rPr>
      </w:pPr>
      <w:r>
        <w:rPr>
          <w:sz w:val="22"/>
          <w:szCs w:val="22"/>
        </w:rPr>
      </w:r>
    </w:p>
    <w:p>
      <w:pPr>
        <w:pStyle w:val="Texto"/>
        <w:spacing w:before="60" w:after="60"/>
        <w:rPr>
          <w:b/>
          <w:b/>
          <w:bCs/>
        </w:rPr>
      </w:pPr>
      <w:r>
        <w:rPr>
          <w:b/>
          <w:bCs/>
        </w:rPr>
        <w:t>13. INFRAESTRUTURA</w:t>
      </w:r>
    </w:p>
    <w:p>
      <w:pPr>
        <w:pStyle w:val="Texto"/>
        <w:spacing w:before="60" w:after="60"/>
        <w:rPr>
          <w:rFonts w:eastAsia="" w:eastAsiaTheme="minorEastAsia"/>
          <w:b/>
          <w:b/>
          <w:i/>
          <w:i/>
          <w:sz w:val="22"/>
          <w:szCs w:val="22"/>
        </w:rPr>
      </w:pPr>
      <w:r>
        <w:rPr>
          <w:rFonts w:eastAsia="" w:eastAsiaTheme="minorEastAsia"/>
          <w:b/>
          <w:i/>
          <w:sz w:val="22"/>
          <w:szCs w:val="22"/>
        </w:rPr>
        <w:t>13.1. Espaços do Curso de História na UFVJM</w:t>
      </w:r>
    </w:p>
    <w:p>
      <w:pPr>
        <w:pStyle w:val="Normal"/>
        <w:spacing w:lineRule="auto" w:line="360" w:before="60" w:after="60"/>
        <w:ind w:firstLine="709"/>
        <w:jc w:val="both"/>
        <w:rPr>
          <w:rFonts w:ascii="Arial" w:hAnsi="Arial" w:cs="Arial"/>
        </w:rPr>
      </w:pPr>
      <w:r>
        <w:rPr>
          <w:rFonts w:cs="Arial" w:ascii="Arial" w:hAnsi="Arial"/>
        </w:rPr>
        <w:t xml:space="preserve">Do ponto de vista estrutural, o curso conta com 2 laboratórios: </w:t>
      </w:r>
      <w:r>
        <w:rPr>
          <w:rFonts w:cs="Arial" w:ascii="Arial" w:hAnsi="Arial"/>
          <w:b/>
        </w:rPr>
        <w:t>Laboratório de Pesquisa Histórica</w:t>
      </w:r>
      <w:r>
        <w:rPr>
          <w:rFonts w:cs="Arial" w:ascii="Arial" w:hAnsi="Arial"/>
        </w:rPr>
        <w:t xml:space="preserve"> – que se encontra em funcionamento desde 2013; e o </w:t>
      </w:r>
      <w:r>
        <w:rPr>
          <w:rFonts w:cs="Arial" w:ascii="Arial" w:hAnsi="Arial"/>
          <w:b/>
        </w:rPr>
        <w:t>Laboratório de Práticas de Ensino de História</w:t>
      </w:r>
      <w:r>
        <w:rPr>
          <w:rFonts w:cs="Arial" w:ascii="Arial" w:hAnsi="Arial"/>
        </w:rPr>
        <w:t xml:space="preserve"> – que está em vias de funcionar, faltando o mobiliário e que se encontra no prédio do Centro de Humanidades. As salas e auditórios disponíveis para aulas são amplos e arejados e localizam-se no Campus JK. Além disso, os professores dispõem de salas individuais no prédio da FIH, onde também funciona a Coordenação da Licenciatura em História e sua secretaria.</w:t>
      </w:r>
    </w:p>
    <w:p>
      <w:pPr>
        <w:pStyle w:val="Normal"/>
        <w:spacing w:lineRule="auto" w:line="360" w:before="60" w:after="60"/>
        <w:ind w:firstLine="709"/>
        <w:jc w:val="both"/>
        <w:rPr>
          <w:rFonts w:ascii="Arial" w:hAnsi="Arial" w:cs="Arial"/>
        </w:rPr>
      </w:pPr>
      <w:r>
        <w:rPr>
          <w:rFonts w:cs="Arial" w:ascii="Arial" w:hAnsi="Arial"/>
        </w:rPr>
        <w:t>No Laboratório de Pesquisa Histórica, há um pequeno, mas valioso acervo de filmes nacionais, além de livros doados ao curso, os quais estão dispostos em estantes e catalogados. Ainda, os discentes e docentes podem acessar o Sistema de Bibliotecas da UFVJM (SISBI), que é composto por cinco bibliotecas, sendo duas em Diamantina, uma no Campus do Mucuri em Teófilo Otoni, uma em Janaúba e uma em Unaí. Pelo SISBI, os acervos de todas estas bibliotecas podem ser consultados e acessados. A UFVJM dispõe também de Laboratórios de Informática, nos quais a comunidade universitária pode acessar o SIGA, fazer pesquisas e desenvolver trabalhos acadêmicos.</w:t>
      </w:r>
    </w:p>
    <w:p>
      <w:pPr>
        <w:pStyle w:val="Normal"/>
        <w:spacing w:lineRule="auto" w:line="360" w:before="60" w:after="60"/>
        <w:jc w:val="both"/>
        <w:rPr>
          <w:rFonts w:ascii="Arial" w:hAnsi="Arial" w:cs="Arial"/>
          <w:b/>
          <w:b/>
        </w:rPr>
      </w:pPr>
      <w:r>
        <w:rPr>
          <w:rFonts w:cs="Arial" w:ascii="Arial" w:hAnsi="Arial"/>
          <w:b/>
        </w:rPr>
      </w:r>
    </w:p>
    <w:p>
      <w:pPr>
        <w:pStyle w:val="Normal"/>
        <w:spacing w:lineRule="auto" w:line="360" w:before="60" w:after="60"/>
        <w:jc w:val="both"/>
        <w:rPr>
          <w:rFonts w:ascii="Arial" w:hAnsi="Arial" w:cs="Arial"/>
          <w:b/>
          <w:b/>
          <w:i/>
          <w:i/>
        </w:rPr>
      </w:pPr>
      <w:r>
        <w:rPr>
          <w:rFonts w:cs="Arial" w:ascii="Arial" w:hAnsi="Arial"/>
          <w:b/>
          <w:i/>
        </w:rPr>
        <w:t>13.2. Atividades Realizadas pelo Curso</w:t>
      </w:r>
    </w:p>
    <w:p>
      <w:pPr>
        <w:pStyle w:val="Normal"/>
        <w:spacing w:lineRule="auto" w:line="360" w:before="60" w:after="60"/>
        <w:ind w:firstLine="708"/>
        <w:jc w:val="both"/>
        <w:rPr>
          <w:rFonts w:ascii="Arial" w:hAnsi="Arial" w:cs="Arial"/>
        </w:rPr>
      </w:pPr>
      <w:r>
        <w:rPr>
          <w:rFonts w:cs="Arial" w:ascii="Arial" w:hAnsi="Arial"/>
        </w:rPr>
        <w:tab/>
        <w:t>O curso de Licenciatura em História da UFVJM conta com algumas atividades extracurriculares, nas quais os estudantes têm a oportunidade de participar, visando o enriquecimento de sua formação profissional. Dentre estas atividades, destacamos:</w:t>
      </w:r>
    </w:p>
    <w:p>
      <w:pPr>
        <w:pStyle w:val="Normal"/>
        <w:spacing w:lineRule="auto" w:line="360" w:before="60" w:after="60"/>
        <w:jc w:val="both"/>
        <w:rPr>
          <w:rFonts w:ascii="Arial" w:hAnsi="Arial" w:cs="Arial"/>
        </w:rPr>
      </w:pPr>
      <w:r>
        <w:rPr>
          <w:rFonts w:cs="Arial" w:ascii="Arial" w:hAnsi="Arial"/>
        </w:rPr>
        <w:t>1) A Semana de História, um evento de caráter científico e acadêmico que acontece desde 2014;</w:t>
      </w:r>
    </w:p>
    <w:p>
      <w:pPr>
        <w:pStyle w:val="Normal"/>
        <w:spacing w:lineRule="auto" w:line="360" w:before="60" w:after="60"/>
        <w:jc w:val="both"/>
        <w:rPr>
          <w:rFonts w:ascii="Arial" w:hAnsi="Arial" w:cs="Arial"/>
        </w:rPr>
      </w:pPr>
      <w:r>
        <w:rPr>
          <w:rFonts w:cs="Arial" w:ascii="Arial" w:hAnsi="Arial"/>
        </w:rPr>
        <w:t>2) Dois grupos de pesquisa registrados no CNPQ: o Centro de Estudos do Mundo Atlântico (CEMA) e Núcleo de Estudos de Fontes Históricas (NEFH), que promovem atividades ligadas ao ensino, pesquisa e extensão com os discentes do curso;</w:t>
      </w:r>
    </w:p>
    <w:p>
      <w:pPr>
        <w:pStyle w:val="Normal"/>
        <w:spacing w:lineRule="auto" w:line="360" w:before="60" w:after="60"/>
        <w:jc w:val="both"/>
        <w:rPr>
          <w:rFonts w:ascii="Arial" w:hAnsi="Arial" w:cs="Arial"/>
        </w:rPr>
      </w:pPr>
      <w:r>
        <w:rPr>
          <w:rFonts w:cs="Arial" w:ascii="Arial" w:hAnsi="Arial"/>
        </w:rPr>
        <w:t>3) Grupos de Estudos temáticos no campo historiográfico.</w:t>
      </w:r>
    </w:p>
    <w:p>
      <w:pPr>
        <w:pStyle w:val="Normal"/>
        <w:spacing w:lineRule="auto" w:line="360" w:before="60" w:after="60"/>
        <w:jc w:val="both"/>
        <w:rPr>
          <w:rFonts w:ascii="Arial" w:hAnsi="Arial" w:cs="Arial"/>
        </w:rPr>
      </w:pPr>
      <w:r>
        <w:rPr>
          <w:rFonts w:cs="Arial" w:ascii="Arial" w:hAnsi="Arial"/>
        </w:rPr>
      </w:r>
    </w:p>
    <w:p>
      <w:pPr>
        <w:pStyle w:val="Normal"/>
        <w:spacing w:lineRule="auto" w:line="360" w:before="60" w:after="60"/>
        <w:jc w:val="both"/>
        <w:rPr>
          <w:rFonts w:ascii="Arial" w:hAnsi="Arial" w:cs="Arial"/>
        </w:rPr>
      </w:pPr>
      <w:r>
        <w:rPr>
          <w:rFonts w:cs="Arial" w:ascii="Arial" w:hAnsi="Arial"/>
        </w:rPr>
      </w:r>
    </w:p>
    <w:p>
      <w:pPr>
        <w:pStyle w:val="ListParagraph"/>
        <w:spacing w:lineRule="auto" w:line="360" w:before="60" w:after="60"/>
        <w:jc w:val="both"/>
        <w:rPr>
          <w:rFonts w:ascii="Arial" w:hAnsi="Arial" w:cs="Arial"/>
          <w:bCs/>
        </w:rPr>
      </w:pPr>
      <w:r>
        <w:rPr>
          <w:rFonts w:cs="Arial" w:ascii="Arial" w:hAnsi="Arial"/>
          <w:bCs/>
        </w:rPr>
      </w:r>
    </w:p>
    <w:p>
      <w:pPr>
        <w:pStyle w:val="ListParagraph"/>
        <w:spacing w:lineRule="auto" w:line="360" w:before="60" w:after="60"/>
        <w:ind w:left="0" w:hanging="0"/>
        <w:jc w:val="both"/>
        <w:rPr>
          <w:rFonts w:ascii="Arial" w:hAnsi="Arial" w:cs="Arial"/>
          <w:b/>
          <w:b/>
          <w:i/>
          <w:i/>
        </w:rPr>
      </w:pPr>
      <w:r>
        <w:rPr>
          <w:rFonts w:cs="Arial" w:ascii="Arial" w:hAnsi="Arial"/>
          <w:b/>
          <w:bCs/>
          <w:i/>
        </w:rPr>
        <w:t>13.3. Corpo docente</w:t>
      </w:r>
    </w:p>
    <w:p>
      <w:pPr>
        <w:pStyle w:val="Normal"/>
        <w:spacing w:lineRule="auto" w:line="360" w:before="60" w:after="60"/>
        <w:ind w:firstLine="708"/>
        <w:jc w:val="both"/>
        <w:rPr>
          <w:rFonts w:ascii="Arial" w:hAnsi="Arial" w:cs="Arial"/>
        </w:rPr>
      </w:pPr>
      <w:r>
        <w:rPr>
          <w:rFonts w:cs="Arial" w:ascii="Arial" w:hAnsi="Arial"/>
        </w:rPr>
        <w:t>O corpo docente da Licenciatura em História da UFVJM atualmente é composto por 14 professores, sendo 13 doutores e 1 mestre, além de um Técnico-Administrativo, que realiza o trabalho de secretaria. Os docentes do curso podem pleitear por Bolsas de Iniciação Científica através dos editais internos – da própria UFVJM - e externos – por agências de fomento. Cerca de 50% dos professores têm ou tiveram projetos e, assim, orientam ou orientaram bolsistas de IC. O curso de graduação em História também participa do PIBID, que também oferece bolsas para estimular a participação dos discentes nas atividades de ensino; de acordo com Edital Capes nº 61/2013, o curso contém 43 discentes bolsistas, e 3 professores envolvidos na orientação e coordenação do Programa. As atividades de extensão também são desenvolvidas por professores do curso, cerca de 80% dos docentes estão ou estiveram envolvidos em alguma atividade de extensão, algumas delas também fomentadas com a concessão de bolsas institucionais.</w:t>
      </w:r>
    </w:p>
    <w:tbl>
      <w:tblPr>
        <w:tblStyle w:val="Tabelacomgrade"/>
        <w:tblpPr w:bottomFromText="0" w:horzAnchor="page" w:leftFromText="141" w:rightFromText="141" w:tblpX="2111" w:tblpY="670" w:topFromText="0" w:vertAnchor="text"/>
        <w:tblW w:w="7256" w:type="dxa"/>
        <w:jc w:val="left"/>
        <w:tblInd w:w="0" w:type="dxa"/>
        <w:tblCellMar>
          <w:top w:w="0" w:type="dxa"/>
          <w:left w:w="103" w:type="dxa"/>
          <w:bottom w:w="0" w:type="dxa"/>
          <w:right w:w="108" w:type="dxa"/>
        </w:tblCellMar>
        <w:tblLook w:firstRow="1" w:noVBand="1" w:lastRow="0" w:firstColumn="1" w:lastColumn="0" w:noHBand="0" w:val="04a0"/>
      </w:tblPr>
      <w:tblGrid>
        <w:gridCol w:w="2829"/>
        <w:gridCol w:w="1282"/>
        <w:gridCol w:w="1852"/>
        <w:gridCol w:w="1292"/>
      </w:tblGrid>
      <w:tr>
        <w:trPr>
          <w:trHeight w:val="909" w:hRule="atLeast"/>
        </w:trPr>
        <w:tc>
          <w:tcPr>
            <w:tcW w:w="2829" w:type="dxa"/>
            <w:tcBorders/>
            <w:shd w:color="auto" w:fill="D9D9D9" w:themeFill="background1" w:themeFillShade="d9" w:val="clear"/>
            <w:tcMar>
              <w:left w:w="103" w:type="dxa"/>
            </w:tcMar>
            <w:vAlign w:val="center"/>
          </w:tcPr>
          <w:p>
            <w:pPr>
              <w:pStyle w:val="Normal"/>
              <w:spacing w:lineRule="auto" w:line="360" w:before="144" w:after="0"/>
              <w:rPr>
                <w:rFonts w:ascii="Arial" w:hAnsi="Arial" w:cs="Arial"/>
                <w:b/>
                <w:b/>
                <w:sz w:val="18"/>
              </w:rPr>
            </w:pPr>
            <w:r>
              <w:rPr>
                <w:rFonts w:cs="Arial" w:ascii="Arial" w:hAnsi="Arial"/>
                <w:b/>
                <w:sz w:val="18"/>
              </w:rPr>
              <w:t>NOME</w:t>
            </w:r>
          </w:p>
        </w:tc>
        <w:tc>
          <w:tcPr>
            <w:tcW w:w="1282" w:type="dxa"/>
            <w:tcBorders/>
            <w:shd w:color="auto" w:fill="D9D9D9" w:themeFill="background1" w:themeFillShade="d9" w:val="clear"/>
            <w:tcMar>
              <w:left w:w="103" w:type="dxa"/>
            </w:tcMar>
            <w:vAlign w:val="center"/>
          </w:tcPr>
          <w:p>
            <w:pPr>
              <w:pStyle w:val="Normal"/>
              <w:spacing w:lineRule="auto" w:line="360" w:before="144" w:after="0"/>
              <w:rPr>
                <w:rFonts w:ascii="Arial" w:hAnsi="Arial" w:cs="Arial"/>
                <w:b/>
                <w:b/>
                <w:sz w:val="18"/>
              </w:rPr>
            </w:pPr>
            <w:r>
              <w:rPr>
                <w:rFonts w:cs="Arial" w:ascii="Arial" w:hAnsi="Arial"/>
                <w:b/>
                <w:sz w:val="18"/>
              </w:rPr>
              <w:t>TITULAÇÃO MÁXIMA</w:t>
            </w:r>
          </w:p>
        </w:tc>
        <w:tc>
          <w:tcPr>
            <w:tcW w:w="1852" w:type="dxa"/>
            <w:tcBorders/>
            <w:shd w:color="auto" w:fill="D9D9D9" w:themeFill="background1" w:themeFillShade="d9" w:val="clear"/>
            <w:tcMar>
              <w:left w:w="103" w:type="dxa"/>
            </w:tcMar>
            <w:vAlign w:val="center"/>
          </w:tcPr>
          <w:p>
            <w:pPr>
              <w:pStyle w:val="Normal"/>
              <w:spacing w:lineRule="auto" w:line="360" w:before="144" w:after="0"/>
              <w:rPr>
                <w:rFonts w:ascii="Arial" w:hAnsi="Arial" w:cs="Arial"/>
                <w:b/>
                <w:b/>
                <w:sz w:val="18"/>
              </w:rPr>
            </w:pPr>
            <w:r>
              <w:rPr>
                <w:rFonts w:cs="Arial" w:ascii="Arial" w:hAnsi="Arial"/>
                <w:b/>
                <w:sz w:val="18"/>
              </w:rPr>
              <w:t>VÍNCULO EMPREGATÍCIO</w:t>
            </w:r>
          </w:p>
        </w:tc>
        <w:tc>
          <w:tcPr>
            <w:tcW w:w="1292" w:type="dxa"/>
            <w:tcBorders/>
            <w:shd w:color="auto" w:fill="D9D9D9" w:themeFill="background1" w:themeFillShade="d9" w:val="clear"/>
            <w:tcMar>
              <w:left w:w="103" w:type="dxa"/>
            </w:tcMar>
            <w:vAlign w:val="center"/>
          </w:tcPr>
          <w:p>
            <w:pPr>
              <w:pStyle w:val="Normal"/>
              <w:spacing w:lineRule="auto" w:line="360" w:before="144" w:after="0"/>
              <w:rPr>
                <w:rFonts w:ascii="Arial" w:hAnsi="Arial" w:cs="Arial"/>
                <w:b/>
                <w:b/>
                <w:sz w:val="18"/>
              </w:rPr>
            </w:pPr>
            <w:r>
              <w:rPr>
                <w:rFonts w:cs="Arial" w:ascii="Arial" w:hAnsi="Arial"/>
                <w:b/>
                <w:sz w:val="18"/>
              </w:rPr>
              <w:t>REGIME DE TRABALHO</w:t>
            </w:r>
          </w:p>
        </w:tc>
      </w:tr>
      <w:tr>
        <w:trPr>
          <w:trHeight w:val="909" w:hRule="atLeast"/>
        </w:trPr>
        <w:tc>
          <w:tcPr>
            <w:tcW w:w="2829" w:type="dxa"/>
            <w:tcBorders/>
            <w:shd w:fill="auto" w:val="clear"/>
            <w:tcMar>
              <w:left w:w="103" w:type="dxa"/>
            </w:tcMar>
            <w:vAlign w:val="center"/>
          </w:tcPr>
          <w:p>
            <w:pPr>
              <w:pStyle w:val="NoSpacing"/>
              <w:spacing w:lineRule="auto" w:line="360" w:before="144" w:after="0"/>
              <w:rPr>
                <w:rFonts w:ascii="Arial" w:hAnsi="Arial" w:cs="Arial"/>
                <w:sz w:val="18"/>
              </w:rPr>
            </w:pPr>
            <w:r>
              <w:rPr>
                <w:rFonts w:cs="Arial" w:ascii="Arial" w:hAnsi="Arial"/>
                <w:sz w:val="18"/>
              </w:rPr>
              <w:t>Ana Cristina Pereira Lage</w:t>
            </w:r>
          </w:p>
        </w:tc>
        <w:tc>
          <w:tcPr>
            <w:tcW w:w="128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Doutora</w:t>
            </w:r>
          </w:p>
        </w:tc>
        <w:tc>
          <w:tcPr>
            <w:tcW w:w="185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Estatutário</w:t>
            </w:r>
          </w:p>
        </w:tc>
        <w:tc>
          <w:tcPr>
            <w:tcW w:w="129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DE</w:t>
            </w:r>
          </w:p>
        </w:tc>
      </w:tr>
      <w:tr>
        <w:trPr>
          <w:trHeight w:val="909" w:hRule="atLeast"/>
        </w:trPr>
        <w:tc>
          <w:tcPr>
            <w:tcW w:w="2829" w:type="dxa"/>
            <w:tcBorders/>
            <w:shd w:fill="auto" w:val="clear"/>
            <w:tcMar>
              <w:left w:w="103" w:type="dxa"/>
            </w:tcMar>
            <w:vAlign w:val="center"/>
          </w:tcPr>
          <w:p>
            <w:pPr>
              <w:pStyle w:val="NoSpacing"/>
              <w:spacing w:lineRule="auto" w:line="360" w:before="144" w:after="0"/>
              <w:rPr>
                <w:rFonts w:ascii="Arial" w:hAnsi="Arial" w:cs="Arial"/>
                <w:sz w:val="18"/>
              </w:rPr>
            </w:pPr>
            <w:r>
              <w:rPr>
                <w:rFonts w:cs="Arial" w:ascii="Arial" w:hAnsi="Arial"/>
                <w:sz w:val="18"/>
              </w:rPr>
              <w:t>Caio Pedrosa da Silva</w:t>
            </w:r>
          </w:p>
        </w:tc>
        <w:tc>
          <w:tcPr>
            <w:tcW w:w="128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Doutor</w:t>
            </w:r>
          </w:p>
        </w:tc>
        <w:tc>
          <w:tcPr>
            <w:tcW w:w="185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Estatutário</w:t>
            </w:r>
          </w:p>
        </w:tc>
        <w:tc>
          <w:tcPr>
            <w:tcW w:w="129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DE</w:t>
            </w:r>
          </w:p>
        </w:tc>
      </w:tr>
      <w:tr>
        <w:trPr>
          <w:trHeight w:val="909" w:hRule="atLeast"/>
        </w:trPr>
        <w:tc>
          <w:tcPr>
            <w:tcW w:w="2829"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Edneila Rodrigues Chaves</w:t>
            </w:r>
          </w:p>
        </w:tc>
        <w:tc>
          <w:tcPr>
            <w:tcW w:w="128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Doutora</w:t>
            </w:r>
          </w:p>
        </w:tc>
        <w:tc>
          <w:tcPr>
            <w:tcW w:w="185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Estatutário</w:t>
            </w:r>
          </w:p>
        </w:tc>
        <w:tc>
          <w:tcPr>
            <w:tcW w:w="129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DE</w:t>
            </w:r>
          </w:p>
        </w:tc>
      </w:tr>
      <w:tr>
        <w:trPr>
          <w:trHeight w:val="909" w:hRule="atLeast"/>
        </w:trPr>
        <w:tc>
          <w:tcPr>
            <w:tcW w:w="2829"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Elaine Leonara de Vargas Sodré</w:t>
            </w:r>
          </w:p>
        </w:tc>
        <w:tc>
          <w:tcPr>
            <w:tcW w:w="128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Doutora</w:t>
            </w:r>
          </w:p>
        </w:tc>
        <w:tc>
          <w:tcPr>
            <w:tcW w:w="185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Estatutário</w:t>
            </w:r>
          </w:p>
        </w:tc>
        <w:tc>
          <w:tcPr>
            <w:tcW w:w="129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DE</w:t>
            </w:r>
          </w:p>
        </w:tc>
      </w:tr>
      <w:tr>
        <w:trPr>
          <w:trHeight w:val="909" w:hRule="atLeast"/>
        </w:trPr>
        <w:tc>
          <w:tcPr>
            <w:tcW w:w="2829" w:type="dxa"/>
            <w:tcBorders/>
            <w:shd w:fill="auto" w:val="clear"/>
            <w:tcMar>
              <w:left w:w="103" w:type="dxa"/>
            </w:tcMar>
            <w:vAlign w:val="center"/>
          </w:tcPr>
          <w:p>
            <w:pPr>
              <w:pStyle w:val="Normal"/>
              <w:spacing w:lineRule="auto" w:line="360" w:before="144" w:after="0"/>
              <w:rPr>
                <w:rFonts w:ascii="Arial" w:hAnsi="Arial" w:cs="Arial"/>
                <w:sz w:val="18"/>
              </w:rPr>
            </w:pPr>
            <w:r>
              <w:rPr>
                <w:rFonts w:eastAsia="Times New Roman" w:cs="Arial" w:ascii="Arial" w:hAnsi="Arial"/>
                <w:bCs/>
                <w:sz w:val="18"/>
                <w:lang w:eastAsia="pt-BR"/>
              </w:rPr>
              <w:t>Elizabeth Aparecida Duque Seabra</w:t>
            </w:r>
          </w:p>
        </w:tc>
        <w:tc>
          <w:tcPr>
            <w:tcW w:w="128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Doutora</w:t>
            </w:r>
          </w:p>
        </w:tc>
        <w:tc>
          <w:tcPr>
            <w:tcW w:w="185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Estatutário</w:t>
            </w:r>
          </w:p>
        </w:tc>
        <w:tc>
          <w:tcPr>
            <w:tcW w:w="129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DE</w:t>
            </w:r>
          </w:p>
        </w:tc>
      </w:tr>
      <w:tr>
        <w:trPr>
          <w:trHeight w:val="909" w:hRule="atLeast"/>
        </w:trPr>
        <w:tc>
          <w:tcPr>
            <w:tcW w:w="2829"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Flávia Aparecida Amaral Ferreira Muniz</w:t>
            </w:r>
          </w:p>
        </w:tc>
        <w:tc>
          <w:tcPr>
            <w:tcW w:w="128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Doutora</w:t>
            </w:r>
          </w:p>
        </w:tc>
        <w:tc>
          <w:tcPr>
            <w:tcW w:w="185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Estatutário</w:t>
            </w:r>
          </w:p>
        </w:tc>
        <w:tc>
          <w:tcPr>
            <w:tcW w:w="129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DE</w:t>
            </w:r>
          </w:p>
        </w:tc>
      </w:tr>
      <w:tr>
        <w:trPr>
          <w:trHeight w:val="909" w:hRule="atLeast"/>
        </w:trPr>
        <w:tc>
          <w:tcPr>
            <w:tcW w:w="2829"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Keila Auxiliadora de Carvalho</w:t>
            </w:r>
          </w:p>
        </w:tc>
        <w:tc>
          <w:tcPr>
            <w:tcW w:w="128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Doutora</w:t>
            </w:r>
          </w:p>
        </w:tc>
        <w:tc>
          <w:tcPr>
            <w:tcW w:w="185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Estatutário</w:t>
            </w:r>
          </w:p>
        </w:tc>
        <w:tc>
          <w:tcPr>
            <w:tcW w:w="129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DE</w:t>
            </w:r>
          </w:p>
        </w:tc>
      </w:tr>
      <w:tr>
        <w:trPr>
          <w:trHeight w:val="909" w:hRule="atLeast"/>
        </w:trPr>
        <w:tc>
          <w:tcPr>
            <w:tcW w:w="2829"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Luciana Lopes dos Santos</w:t>
            </w:r>
          </w:p>
        </w:tc>
        <w:tc>
          <w:tcPr>
            <w:tcW w:w="128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Doutora</w:t>
            </w:r>
          </w:p>
        </w:tc>
        <w:tc>
          <w:tcPr>
            <w:tcW w:w="185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Estatutário</w:t>
            </w:r>
          </w:p>
        </w:tc>
        <w:tc>
          <w:tcPr>
            <w:tcW w:w="129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DE</w:t>
            </w:r>
          </w:p>
        </w:tc>
      </w:tr>
      <w:tr>
        <w:trPr>
          <w:trHeight w:val="909" w:hRule="atLeast"/>
        </w:trPr>
        <w:tc>
          <w:tcPr>
            <w:tcW w:w="2829"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Marcos Lobato Martins</w:t>
            </w:r>
          </w:p>
        </w:tc>
        <w:tc>
          <w:tcPr>
            <w:tcW w:w="128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Doutor</w:t>
            </w:r>
          </w:p>
        </w:tc>
        <w:tc>
          <w:tcPr>
            <w:tcW w:w="185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Estatutário</w:t>
            </w:r>
          </w:p>
        </w:tc>
        <w:tc>
          <w:tcPr>
            <w:tcW w:w="129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DE</w:t>
            </w:r>
          </w:p>
        </w:tc>
      </w:tr>
      <w:tr>
        <w:trPr>
          <w:trHeight w:val="909" w:hRule="atLeast"/>
        </w:trPr>
        <w:tc>
          <w:tcPr>
            <w:tcW w:w="2829"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Mônica Liz Miranda</w:t>
            </w:r>
          </w:p>
        </w:tc>
        <w:tc>
          <w:tcPr>
            <w:tcW w:w="128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Mestre</w:t>
            </w:r>
          </w:p>
        </w:tc>
        <w:tc>
          <w:tcPr>
            <w:tcW w:w="185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Estatutário</w:t>
            </w:r>
          </w:p>
        </w:tc>
        <w:tc>
          <w:tcPr>
            <w:tcW w:w="129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DE</w:t>
            </w:r>
          </w:p>
        </w:tc>
      </w:tr>
      <w:tr>
        <w:trPr>
          <w:trHeight w:val="909" w:hRule="atLeast"/>
        </w:trPr>
        <w:tc>
          <w:tcPr>
            <w:tcW w:w="2829"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Rogério Pereira de Arruda</w:t>
            </w:r>
          </w:p>
        </w:tc>
        <w:tc>
          <w:tcPr>
            <w:tcW w:w="128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Doutor</w:t>
            </w:r>
          </w:p>
        </w:tc>
        <w:tc>
          <w:tcPr>
            <w:tcW w:w="185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Estatutário</w:t>
            </w:r>
          </w:p>
        </w:tc>
        <w:tc>
          <w:tcPr>
            <w:tcW w:w="129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DE</w:t>
            </w:r>
          </w:p>
        </w:tc>
      </w:tr>
      <w:tr>
        <w:trPr>
          <w:trHeight w:val="909" w:hRule="atLeast"/>
        </w:trPr>
        <w:tc>
          <w:tcPr>
            <w:tcW w:w="2829" w:type="dxa"/>
            <w:tcBorders/>
            <w:shd w:fill="auto" w:val="clear"/>
            <w:tcMar>
              <w:left w:w="103" w:type="dxa"/>
            </w:tcMar>
            <w:vAlign w:val="center"/>
          </w:tcPr>
          <w:p>
            <w:pPr>
              <w:pStyle w:val="Normal"/>
              <w:spacing w:lineRule="auto" w:line="360" w:before="144" w:after="0"/>
              <w:rPr>
                <w:rFonts w:ascii="Arial" w:hAnsi="Arial" w:cs="Arial"/>
                <w:sz w:val="18"/>
              </w:rPr>
            </w:pPr>
            <w:r>
              <w:rPr>
                <w:rFonts w:eastAsia="Times New Roman" w:cs="Arial" w:ascii="Arial" w:hAnsi="Arial"/>
                <w:bCs/>
                <w:sz w:val="18"/>
                <w:lang w:eastAsia="pt-BR"/>
              </w:rPr>
              <w:t>Wellington de Oliveira</w:t>
            </w:r>
          </w:p>
        </w:tc>
        <w:tc>
          <w:tcPr>
            <w:tcW w:w="128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Doutor</w:t>
            </w:r>
          </w:p>
        </w:tc>
        <w:tc>
          <w:tcPr>
            <w:tcW w:w="185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Estatutário</w:t>
            </w:r>
          </w:p>
        </w:tc>
        <w:tc>
          <w:tcPr>
            <w:tcW w:w="129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DE</w:t>
            </w:r>
          </w:p>
        </w:tc>
      </w:tr>
      <w:tr>
        <w:trPr>
          <w:trHeight w:val="909" w:hRule="atLeast"/>
        </w:trPr>
        <w:tc>
          <w:tcPr>
            <w:tcW w:w="2829" w:type="dxa"/>
            <w:tcBorders/>
            <w:shd w:fill="auto" w:val="clear"/>
            <w:tcMar>
              <w:left w:w="103" w:type="dxa"/>
            </w:tcMar>
            <w:vAlign w:val="center"/>
          </w:tcPr>
          <w:p>
            <w:pPr>
              <w:pStyle w:val="Normal"/>
              <w:spacing w:lineRule="auto" w:line="360" w:before="144" w:after="0"/>
              <w:rPr>
                <w:rFonts w:ascii="Arial" w:hAnsi="Arial" w:eastAsia="Times New Roman" w:cs="Arial"/>
                <w:bCs/>
                <w:sz w:val="18"/>
                <w:lang w:eastAsia="pt-BR"/>
              </w:rPr>
            </w:pPr>
            <w:r>
              <w:rPr>
                <w:rFonts w:cs="Arial" w:ascii="Arial" w:hAnsi="Arial"/>
                <w:sz w:val="18"/>
              </w:rPr>
              <w:t>Docente a ser contratado</w:t>
            </w:r>
          </w:p>
        </w:tc>
        <w:tc>
          <w:tcPr>
            <w:tcW w:w="128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Doutor/a</w:t>
            </w:r>
          </w:p>
        </w:tc>
        <w:tc>
          <w:tcPr>
            <w:tcW w:w="185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Estatutário</w:t>
            </w:r>
          </w:p>
        </w:tc>
        <w:tc>
          <w:tcPr>
            <w:tcW w:w="129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DE</w:t>
            </w:r>
          </w:p>
        </w:tc>
      </w:tr>
      <w:tr>
        <w:trPr>
          <w:trHeight w:val="909" w:hRule="atLeast"/>
        </w:trPr>
        <w:tc>
          <w:tcPr>
            <w:tcW w:w="2829"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Docente a ser contratado</w:t>
            </w:r>
          </w:p>
        </w:tc>
        <w:tc>
          <w:tcPr>
            <w:tcW w:w="128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Doutor/a</w:t>
            </w:r>
          </w:p>
        </w:tc>
        <w:tc>
          <w:tcPr>
            <w:tcW w:w="185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Estatutário</w:t>
            </w:r>
          </w:p>
        </w:tc>
        <w:tc>
          <w:tcPr>
            <w:tcW w:w="1292" w:type="dxa"/>
            <w:tcBorders/>
            <w:shd w:fill="auto" w:val="clear"/>
            <w:tcMar>
              <w:left w:w="103" w:type="dxa"/>
            </w:tcMar>
            <w:vAlign w:val="center"/>
          </w:tcPr>
          <w:p>
            <w:pPr>
              <w:pStyle w:val="Normal"/>
              <w:spacing w:lineRule="auto" w:line="360" w:before="144" w:after="0"/>
              <w:rPr>
                <w:rFonts w:ascii="Arial" w:hAnsi="Arial" w:cs="Arial"/>
                <w:sz w:val="18"/>
              </w:rPr>
            </w:pPr>
            <w:r>
              <w:rPr>
                <w:rFonts w:cs="Arial" w:ascii="Arial" w:hAnsi="Arial"/>
                <w:sz w:val="18"/>
              </w:rPr>
              <w:t>DE</w:t>
            </w:r>
          </w:p>
        </w:tc>
      </w:tr>
    </w:tbl>
    <w:p>
      <w:pPr>
        <w:pStyle w:val="Normal"/>
        <w:spacing w:lineRule="auto" w:line="360" w:before="144" w:after="144"/>
        <w:jc w:val="both"/>
        <w:rPr>
          <w:rFonts w:ascii="Arial" w:hAnsi="Arial" w:cs="Arial"/>
          <w:b/>
          <w:b/>
        </w:rPr>
      </w:pPr>
      <w:r>
        <w:rPr>
          <w:rFonts w:cs="Arial" w:ascii="Arial" w:hAnsi="Arial"/>
          <w:b/>
        </w:rPr>
      </w:r>
    </w:p>
    <w:p>
      <w:pPr>
        <w:pStyle w:val="Linha12"/>
        <w:tabs>
          <w:tab w:val="left" w:pos="567" w:leader="none"/>
        </w:tabs>
        <w:spacing w:lineRule="auto" w:line="360" w:before="144" w:after="144"/>
        <w:rPr>
          <w:rFonts w:cs="Arial"/>
          <w:b/>
          <w:b/>
          <w:szCs w:val="22"/>
        </w:rPr>
      </w:pPr>
      <w:r>
        <w:rPr>
          <w:rFonts w:cs="Arial"/>
          <w:b/>
          <w:szCs w:val="22"/>
        </w:rPr>
      </w:r>
    </w:p>
    <w:p>
      <w:pPr>
        <w:pStyle w:val="Linha12"/>
        <w:tabs>
          <w:tab w:val="left" w:pos="567" w:leader="none"/>
        </w:tabs>
        <w:spacing w:lineRule="auto" w:line="360" w:before="144" w:after="144"/>
        <w:rPr>
          <w:rFonts w:cs="Arial"/>
          <w:b/>
          <w:b/>
          <w:szCs w:val="22"/>
        </w:rPr>
      </w:pPr>
      <w:r>
        <w:rPr>
          <w:rFonts w:cs="Arial"/>
          <w:b/>
          <w:szCs w:val="22"/>
        </w:rPr>
      </w:r>
    </w:p>
    <w:p>
      <w:pPr>
        <w:pStyle w:val="Linha12"/>
        <w:tabs>
          <w:tab w:val="left" w:pos="567" w:leader="none"/>
        </w:tabs>
        <w:spacing w:lineRule="auto" w:line="360" w:before="144" w:after="144"/>
        <w:rPr>
          <w:rFonts w:cs="Arial"/>
          <w:b/>
          <w:b/>
          <w:szCs w:val="22"/>
        </w:rPr>
      </w:pPr>
      <w:r>
        <w:rPr>
          <w:rFonts w:cs="Arial"/>
          <w:b/>
          <w:szCs w:val="22"/>
        </w:rPr>
      </w:r>
    </w:p>
    <w:p>
      <w:pPr>
        <w:pStyle w:val="Linha12"/>
        <w:tabs>
          <w:tab w:val="left" w:pos="567" w:leader="none"/>
        </w:tabs>
        <w:spacing w:lineRule="auto" w:line="360" w:before="144" w:after="144"/>
        <w:rPr>
          <w:rFonts w:cs="Arial"/>
          <w:b/>
          <w:b/>
          <w:szCs w:val="22"/>
        </w:rPr>
      </w:pPr>
      <w:r>
        <w:rPr>
          <w:rFonts w:cs="Arial"/>
          <w:b/>
          <w:szCs w:val="22"/>
        </w:rPr>
      </w:r>
    </w:p>
    <w:p>
      <w:pPr>
        <w:pStyle w:val="Linha12"/>
        <w:tabs>
          <w:tab w:val="left" w:pos="567" w:leader="none"/>
        </w:tabs>
        <w:spacing w:lineRule="auto" w:line="360" w:before="144" w:after="144"/>
        <w:rPr>
          <w:rFonts w:cs="Arial"/>
          <w:b/>
          <w:b/>
          <w:sz w:val="24"/>
          <w:szCs w:val="22"/>
        </w:rPr>
      </w:pPr>
      <w:r>
        <w:rPr>
          <w:rFonts w:cs="Arial"/>
          <w:b/>
          <w:sz w:val="24"/>
          <w:szCs w:val="22"/>
        </w:rPr>
      </w:r>
    </w:p>
    <w:p>
      <w:pPr>
        <w:pStyle w:val="Linha12"/>
        <w:tabs>
          <w:tab w:val="left" w:pos="567" w:leader="none"/>
        </w:tabs>
        <w:spacing w:lineRule="auto" w:line="360" w:before="144" w:after="144"/>
        <w:rPr>
          <w:rFonts w:cs="Arial"/>
          <w:b/>
          <w:b/>
          <w:sz w:val="24"/>
          <w:szCs w:val="22"/>
        </w:rPr>
      </w:pPr>
      <w:r>
        <w:rPr>
          <w:rFonts w:cs="Arial"/>
          <w:b/>
          <w:sz w:val="24"/>
          <w:szCs w:val="22"/>
        </w:rPr>
      </w:r>
    </w:p>
    <w:p>
      <w:pPr>
        <w:pStyle w:val="Linha12"/>
        <w:tabs>
          <w:tab w:val="left" w:pos="567" w:leader="none"/>
        </w:tabs>
        <w:spacing w:lineRule="auto" w:line="360" w:before="144" w:after="144"/>
        <w:rPr>
          <w:rFonts w:cs="Arial"/>
          <w:b/>
          <w:b/>
          <w:sz w:val="24"/>
          <w:szCs w:val="22"/>
        </w:rPr>
      </w:pPr>
      <w:r>
        <w:rPr>
          <w:rFonts w:cs="Arial"/>
          <w:b/>
          <w:sz w:val="24"/>
          <w:szCs w:val="22"/>
        </w:rPr>
      </w:r>
    </w:p>
    <w:p>
      <w:pPr>
        <w:pStyle w:val="Linha12"/>
        <w:tabs>
          <w:tab w:val="left" w:pos="567" w:leader="none"/>
        </w:tabs>
        <w:spacing w:lineRule="auto" w:line="360" w:before="144" w:after="144"/>
        <w:rPr>
          <w:rFonts w:cs="Arial"/>
          <w:b/>
          <w:b/>
          <w:sz w:val="24"/>
          <w:szCs w:val="22"/>
        </w:rPr>
      </w:pPr>
      <w:r>
        <w:rPr>
          <w:rFonts w:cs="Arial"/>
          <w:b/>
          <w:sz w:val="24"/>
          <w:szCs w:val="22"/>
        </w:rPr>
      </w:r>
    </w:p>
    <w:p>
      <w:pPr>
        <w:pStyle w:val="Linha12"/>
        <w:tabs>
          <w:tab w:val="left" w:pos="567" w:leader="none"/>
        </w:tabs>
        <w:spacing w:lineRule="auto" w:line="360" w:before="144" w:after="144"/>
        <w:rPr>
          <w:rFonts w:cs="Arial"/>
          <w:b/>
          <w:b/>
          <w:sz w:val="24"/>
          <w:szCs w:val="22"/>
        </w:rPr>
      </w:pPr>
      <w:r>
        <w:rPr>
          <w:rFonts w:cs="Arial"/>
          <w:b/>
          <w:sz w:val="24"/>
          <w:szCs w:val="22"/>
        </w:rPr>
      </w:r>
    </w:p>
    <w:p>
      <w:pPr>
        <w:pStyle w:val="Linha12"/>
        <w:tabs>
          <w:tab w:val="left" w:pos="567" w:leader="none"/>
        </w:tabs>
        <w:spacing w:lineRule="auto" w:line="360" w:before="144" w:after="144"/>
        <w:rPr>
          <w:rFonts w:cs="Arial"/>
          <w:b/>
          <w:b/>
          <w:sz w:val="24"/>
          <w:szCs w:val="22"/>
        </w:rPr>
      </w:pPr>
      <w:r>
        <w:rPr>
          <w:rFonts w:cs="Arial"/>
          <w:b/>
          <w:sz w:val="24"/>
          <w:szCs w:val="22"/>
        </w:rPr>
      </w:r>
    </w:p>
    <w:p>
      <w:pPr>
        <w:pStyle w:val="Linha12"/>
        <w:tabs>
          <w:tab w:val="left" w:pos="567" w:leader="none"/>
        </w:tabs>
        <w:spacing w:lineRule="auto" w:line="360" w:before="144" w:after="144"/>
        <w:rPr>
          <w:rFonts w:cs="Arial"/>
          <w:b/>
          <w:b/>
          <w:sz w:val="24"/>
          <w:szCs w:val="22"/>
        </w:rPr>
      </w:pPr>
      <w:r>
        <w:rPr>
          <w:rFonts w:cs="Arial"/>
          <w:b/>
          <w:sz w:val="24"/>
          <w:szCs w:val="22"/>
        </w:rPr>
      </w:r>
    </w:p>
    <w:p>
      <w:pPr>
        <w:pStyle w:val="Linha12"/>
        <w:tabs>
          <w:tab w:val="left" w:pos="567" w:leader="none"/>
        </w:tabs>
        <w:spacing w:lineRule="auto" w:line="360" w:before="144" w:after="144"/>
        <w:rPr>
          <w:rFonts w:cs="Arial"/>
          <w:b/>
          <w:b/>
          <w:sz w:val="24"/>
          <w:szCs w:val="22"/>
        </w:rPr>
      </w:pPr>
      <w:r>
        <w:rPr>
          <w:rFonts w:cs="Arial"/>
          <w:b/>
          <w:sz w:val="24"/>
          <w:szCs w:val="22"/>
        </w:rPr>
      </w:r>
    </w:p>
    <w:p>
      <w:pPr>
        <w:pStyle w:val="Linha12"/>
        <w:tabs>
          <w:tab w:val="left" w:pos="567" w:leader="none"/>
        </w:tabs>
        <w:spacing w:lineRule="auto" w:line="360" w:before="144" w:after="144"/>
        <w:rPr>
          <w:rFonts w:cs="Arial"/>
          <w:b/>
          <w:b/>
          <w:sz w:val="24"/>
          <w:szCs w:val="22"/>
        </w:rPr>
      </w:pPr>
      <w:r>
        <w:rPr>
          <w:rFonts w:cs="Arial"/>
          <w:b/>
          <w:sz w:val="24"/>
          <w:szCs w:val="22"/>
        </w:rPr>
      </w:r>
    </w:p>
    <w:p>
      <w:pPr>
        <w:pStyle w:val="Linha12"/>
        <w:tabs>
          <w:tab w:val="left" w:pos="567" w:leader="none"/>
        </w:tabs>
        <w:spacing w:lineRule="auto" w:line="360" w:before="144" w:after="144"/>
        <w:rPr>
          <w:rFonts w:cs="Arial"/>
          <w:b/>
          <w:b/>
          <w:sz w:val="24"/>
          <w:szCs w:val="22"/>
        </w:rPr>
      </w:pPr>
      <w:r>
        <w:rPr>
          <w:rFonts w:cs="Arial"/>
          <w:b/>
          <w:sz w:val="24"/>
          <w:szCs w:val="22"/>
        </w:rPr>
      </w:r>
    </w:p>
    <w:p>
      <w:pPr>
        <w:pStyle w:val="Linha12"/>
        <w:tabs>
          <w:tab w:val="left" w:pos="567" w:leader="none"/>
        </w:tabs>
        <w:spacing w:lineRule="auto" w:line="360" w:before="144" w:after="144"/>
        <w:rPr>
          <w:rFonts w:cs="Arial"/>
          <w:b/>
          <w:b/>
          <w:sz w:val="24"/>
          <w:szCs w:val="22"/>
        </w:rPr>
      </w:pPr>
      <w:r>
        <w:rPr>
          <w:rFonts w:cs="Arial"/>
          <w:b/>
          <w:sz w:val="24"/>
          <w:szCs w:val="22"/>
        </w:rPr>
      </w:r>
    </w:p>
    <w:p>
      <w:pPr>
        <w:pStyle w:val="Linha12"/>
        <w:tabs>
          <w:tab w:val="left" w:pos="567" w:leader="none"/>
        </w:tabs>
        <w:spacing w:lineRule="auto" w:line="360" w:before="144" w:after="144"/>
        <w:rPr>
          <w:rFonts w:cs="Arial"/>
          <w:b/>
          <w:b/>
          <w:sz w:val="24"/>
          <w:szCs w:val="22"/>
        </w:rPr>
      </w:pPr>
      <w:r>
        <w:rPr>
          <w:rFonts w:cs="Arial"/>
          <w:b/>
          <w:sz w:val="24"/>
          <w:szCs w:val="22"/>
        </w:rPr>
      </w:r>
    </w:p>
    <w:p>
      <w:pPr>
        <w:pStyle w:val="Linha12"/>
        <w:tabs>
          <w:tab w:val="left" w:pos="567" w:leader="none"/>
        </w:tabs>
        <w:spacing w:lineRule="auto" w:line="360" w:before="144" w:after="144"/>
        <w:rPr>
          <w:rFonts w:cs="Arial"/>
          <w:b/>
          <w:b/>
          <w:sz w:val="24"/>
          <w:szCs w:val="22"/>
        </w:rPr>
      </w:pPr>
      <w:r>
        <w:rPr>
          <w:rFonts w:cs="Arial"/>
          <w:b/>
          <w:sz w:val="24"/>
          <w:szCs w:val="22"/>
        </w:rPr>
      </w:r>
    </w:p>
    <w:p>
      <w:pPr>
        <w:pStyle w:val="Linha12"/>
        <w:tabs>
          <w:tab w:val="left" w:pos="567" w:leader="none"/>
        </w:tabs>
        <w:spacing w:lineRule="auto" w:line="360" w:before="144" w:after="144"/>
        <w:rPr>
          <w:rFonts w:cs="Arial"/>
          <w:b/>
          <w:b/>
          <w:sz w:val="24"/>
          <w:szCs w:val="22"/>
        </w:rPr>
      </w:pPr>
      <w:r>
        <w:rPr>
          <w:rFonts w:cs="Arial"/>
          <w:b/>
          <w:sz w:val="24"/>
          <w:szCs w:val="22"/>
        </w:rPr>
      </w:r>
    </w:p>
    <w:p>
      <w:pPr>
        <w:pStyle w:val="Linha12"/>
        <w:tabs>
          <w:tab w:val="left" w:pos="567" w:leader="none"/>
        </w:tabs>
        <w:spacing w:lineRule="auto" w:line="360" w:before="144" w:after="144"/>
        <w:rPr>
          <w:rFonts w:cs="Arial"/>
          <w:b/>
          <w:b/>
          <w:sz w:val="24"/>
          <w:szCs w:val="22"/>
        </w:rPr>
      </w:pPr>
      <w:r>
        <w:rPr>
          <w:rFonts w:cs="Arial"/>
          <w:b/>
          <w:sz w:val="24"/>
          <w:szCs w:val="22"/>
        </w:rPr>
      </w:r>
    </w:p>
    <w:p>
      <w:pPr>
        <w:pStyle w:val="Linha12"/>
        <w:tabs>
          <w:tab w:val="left" w:pos="567" w:leader="none"/>
        </w:tabs>
        <w:spacing w:lineRule="auto" w:line="360" w:before="144" w:after="144"/>
        <w:rPr>
          <w:rFonts w:cs="Arial"/>
          <w:b/>
          <w:b/>
          <w:sz w:val="24"/>
          <w:szCs w:val="22"/>
        </w:rPr>
      </w:pPr>
      <w:r>
        <w:rPr>
          <w:rFonts w:cs="Arial"/>
          <w:b/>
          <w:sz w:val="24"/>
          <w:szCs w:val="22"/>
        </w:rPr>
      </w:r>
    </w:p>
    <w:p>
      <w:pPr>
        <w:pStyle w:val="Linha12"/>
        <w:tabs>
          <w:tab w:val="left" w:pos="567" w:leader="none"/>
        </w:tabs>
        <w:spacing w:lineRule="auto" w:line="360" w:before="144" w:after="144"/>
        <w:rPr>
          <w:rFonts w:cs="Arial"/>
          <w:b/>
          <w:b/>
          <w:sz w:val="24"/>
          <w:szCs w:val="22"/>
        </w:rPr>
      </w:pPr>
      <w:r>
        <w:rPr>
          <w:rFonts w:cs="Arial"/>
          <w:b/>
          <w:sz w:val="24"/>
          <w:szCs w:val="22"/>
        </w:rPr>
      </w:r>
    </w:p>
    <w:p>
      <w:pPr>
        <w:pStyle w:val="Linha12"/>
        <w:tabs>
          <w:tab w:val="left" w:pos="567" w:leader="none"/>
        </w:tabs>
        <w:spacing w:lineRule="auto" w:line="360" w:before="144" w:after="144"/>
        <w:rPr>
          <w:rFonts w:cs="Arial"/>
          <w:b/>
          <w:b/>
          <w:sz w:val="24"/>
          <w:szCs w:val="22"/>
        </w:rPr>
      </w:pPr>
      <w:r>
        <w:rPr>
          <w:rFonts w:cs="Arial"/>
          <w:b/>
          <w:sz w:val="24"/>
          <w:szCs w:val="22"/>
        </w:rPr>
      </w:r>
    </w:p>
    <w:p>
      <w:pPr>
        <w:pStyle w:val="Linha12"/>
        <w:tabs>
          <w:tab w:val="left" w:pos="567" w:leader="none"/>
        </w:tabs>
        <w:spacing w:lineRule="auto" w:line="360" w:before="144" w:after="144"/>
        <w:rPr>
          <w:rFonts w:cs="Arial"/>
          <w:b/>
          <w:b/>
          <w:sz w:val="24"/>
          <w:szCs w:val="22"/>
        </w:rPr>
      </w:pPr>
      <w:r>
        <w:rPr>
          <w:rFonts w:cs="Arial"/>
          <w:b/>
          <w:sz w:val="24"/>
          <w:szCs w:val="22"/>
        </w:rPr>
      </w:r>
    </w:p>
    <w:p>
      <w:pPr>
        <w:pStyle w:val="Linha12"/>
        <w:tabs>
          <w:tab w:val="left" w:pos="567" w:leader="none"/>
        </w:tabs>
        <w:spacing w:lineRule="auto" w:line="360" w:before="144" w:after="144"/>
        <w:rPr>
          <w:rFonts w:cs="Arial"/>
          <w:b/>
          <w:b/>
          <w:sz w:val="24"/>
          <w:szCs w:val="22"/>
        </w:rPr>
      </w:pPr>
      <w:r>
        <w:rPr>
          <w:rFonts w:cs="Arial"/>
          <w:b/>
          <w:sz w:val="24"/>
          <w:szCs w:val="22"/>
        </w:rPr>
        <w:t>14. REFERÊNCIAS</w:t>
      </w:r>
    </w:p>
    <w:p>
      <w:pPr>
        <w:pStyle w:val="Linha12"/>
        <w:tabs>
          <w:tab w:val="left" w:pos="567" w:leader="none"/>
        </w:tabs>
        <w:spacing w:before="360" w:after="360"/>
        <w:rPr>
          <w:rFonts w:cs="Arial"/>
          <w:szCs w:val="22"/>
        </w:rPr>
      </w:pPr>
      <w:r>
        <w:rPr>
          <w:rFonts w:cs="Arial"/>
          <w:szCs w:val="22"/>
        </w:rPr>
        <w:t>BRASIL. Congresso Nacional. Lei nº. 9.394 de 20 de dezembro de 1996. Estabelece as Diretrizes e Bases da Educação Nacional. Disponível em: http://www.planalto.gov.br/ccivil_ 03/Leis/L9394.htm. Acesso em: 10 jul. 2016.</w:t>
      </w:r>
    </w:p>
    <w:p>
      <w:pPr>
        <w:pStyle w:val="Normal"/>
        <w:spacing w:lineRule="auto" w:line="240" w:before="360" w:after="360"/>
        <w:jc w:val="both"/>
        <w:rPr>
          <w:rFonts w:ascii="Arial" w:hAnsi="Arial" w:cs="Arial"/>
        </w:rPr>
      </w:pPr>
      <w:r>
        <w:rPr>
          <w:rFonts w:cs="Arial" w:ascii="Arial" w:hAnsi="Arial"/>
        </w:rPr>
        <w:t>BRASIL. Congresso Nacional. Lei no. 11.645, de 10 de março de 2008. Altera a Lei no. 9.394, de 20 de dezembro de 1996, modificada pela Lei no. 10. 639, de 9 de janeiro de 2003, que estabelece as diretrizes e bases da educação nacional, para incluir no currículo oficial da rede de ensino a obrigatoriedade da temática “História e Cultura Afro-Brasileira e Indígena.” Disponível em: http://www.planalto.gov.br/ccivil_03/_ato2007-2010/2008/lei/l11645.htm</w:t>
      </w:r>
      <w:r>
        <w:rPr>
          <w:rFonts w:cs="Arial" w:ascii="Arial" w:hAnsi="Arial"/>
          <w:color w:val="00000A"/>
          <w:u w:val="none"/>
        </w:rPr>
        <w:t xml:space="preserve">. </w:t>
      </w:r>
      <w:r>
        <w:rPr>
          <w:rFonts w:cs="Arial" w:ascii="Arial" w:hAnsi="Arial"/>
        </w:rPr>
        <w:t>Acesso em: 15 jun.2016.</w:t>
      </w:r>
    </w:p>
    <w:p>
      <w:pPr>
        <w:pStyle w:val="Normal"/>
        <w:spacing w:lineRule="auto" w:line="240" w:before="360" w:after="360"/>
        <w:jc w:val="both"/>
        <w:rPr>
          <w:rFonts w:ascii="Arial" w:hAnsi="Arial" w:cs="Arial"/>
        </w:rPr>
      </w:pPr>
      <w:r>
        <w:rPr>
          <w:rFonts w:cs="Arial" w:ascii="Arial" w:hAnsi="Arial"/>
        </w:rPr>
        <w:t>BRASIL. Congresso Nacional. Lei nº. 11.173, de 6 de setembro de 2015. Transforma as Faculdades Federais Integradas de Diamantina em Universidade Federal dos Vales do Jequitinhonha e Mucuri - UFVJM e dá outras providências. Disponível em: http://www.planalto.gov.br/ccivil_03/_Ato2004-2006/2005/Lei/L11173.htm</w:t>
      </w:r>
      <w:r>
        <w:rPr>
          <w:rFonts w:cs="Arial" w:ascii="Arial" w:hAnsi="Arial"/>
          <w:color w:val="00000A"/>
          <w:u w:val="none"/>
        </w:rPr>
        <w:t xml:space="preserve">. </w:t>
      </w:r>
      <w:r>
        <w:rPr>
          <w:rFonts w:cs="Arial" w:ascii="Arial" w:hAnsi="Arial"/>
        </w:rPr>
        <w:t>Acesso em: 09 jul.2016.</w:t>
      </w:r>
    </w:p>
    <w:p>
      <w:pPr>
        <w:pStyle w:val="Normal"/>
        <w:spacing w:lineRule="auto" w:line="240" w:before="360" w:after="360"/>
        <w:jc w:val="both"/>
        <w:rPr>
          <w:rFonts w:ascii="Arial" w:hAnsi="Arial" w:cs="Arial"/>
        </w:rPr>
      </w:pPr>
      <w:r>
        <w:rPr>
          <w:rFonts w:cs="Arial" w:ascii="Arial" w:hAnsi="Arial"/>
        </w:rPr>
        <w:t>BRASIL. Conselho Nacional de Educação. Secretaria de Educação Superior. Resolução no. 2 de 1º de julho de 2015. Define as Diretrizes Curriculares Nacionais para a formação inicial em nível superior (cursos de licenciatura, cursos de formação pedagógica para graduados e cursos de segunda licenciatura) e para a formação continuada. Disponível em: http://portal.mec.gov.br/index.php?option=com_docman&amp;view=download&amp;alias=17719-res-cne-cp-002-03072015&amp;category_slug=julho-2015-pdf&amp;Itemid=30192</w:t>
      </w:r>
      <w:r>
        <w:rPr>
          <w:rFonts w:cs="Arial" w:ascii="Arial" w:hAnsi="Arial"/>
          <w:color w:val="00000A"/>
          <w:u w:val="none"/>
        </w:rPr>
        <w:t xml:space="preserve">. </w:t>
      </w:r>
      <w:r>
        <w:rPr>
          <w:rFonts w:cs="Arial" w:ascii="Arial" w:hAnsi="Arial"/>
        </w:rPr>
        <w:t>Acesso em: 15 jun.2016.</w:t>
      </w:r>
    </w:p>
    <w:p>
      <w:pPr>
        <w:pStyle w:val="Normal"/>
        <w:spacing w:lineRule="auto" w:line="240" w:before="360" w:after="360"/>
        <w:jc w:val="both"/>
        <w:rPr>
          <w:rFonts w:ascii="Arial" w:hAnsi="Arial" w:cs="Arial"/>
        </w:rPr>
      </w:pPr>
      <w:r>
        <w:rPr>
          <w:rFonts w:cs="Arial" w:ascii="Arial" w:hAnsi="Arial"/>
        </w:rPr>
        <w:t xml:space="preserve">BRASIL. Conselho Nacional de Educação. Secretaria de Educação Superior. </w:t>
      </w:r>
      <w:r>
        <w:rPr>
          <w:rFonts w:eastAsia="Times New Roman" w:cs="Arial" w:ascii="Arial" w:hAnsi="Arial"/>
          <w:lang w:eastAsia="ar-SA"/>
        </w:rPr>
        <w:t xml:space="preserve">Parecer </w:t>
      </w:r>
      <w:r>
        <w:rPr>
          <w:rFonts w:eastAsia="Times New Roman" w:cs="Arial" w:ascii="Arial" w:hAnsi="Arial"/>
          <w:lang w:eastAsia="pt-BR"/>
        </w:rPr>
        <w:t xml:space="preserve">492/2001, a qual institui as Diretrizes Curriculares Nacionais dos cursos de Filosofia, História, Geografia, Serviço Social, Comunicação Social, Ciências Sociais, Letras, Biblioteconomia, Arquivologia e Museologia. Disponível em: http://portal.mec.gov.br/cne/arquivos/pdf/CES0492.pdf. </w:t>
      </w:r>
      <w:r>
        <w:rPr>
          <w:rFonts w:cs="Arial" w:ascii="Arial" w:hAnsi="Arial"/>
        </w:rPr>
        <w:t>Acesso em: 15 jun.2016</w:t>
      </w:r>
    </w:p>
    <w:p>
      <w:pPr>
        <w:pStyle w:val="Normal"/>
        <w:spacing w:lineRule="auto" w:line="240" w:before="360" w:after="360"/>
        <w:jc w:val="both"/>
        <w:rPr>
          <w:rFonts w:ascii="Arial" w:hAnsi="Arial" w:cs="Arial"/>
        </w:rPr>
      </w:pPr>
      <w:r>
        <w:rPr>
          <w:rFonts w:cs="Arial" w:ascii="Arial" w:hAnsi="Arial"/>
        </w:rPr>
        <w:t>BRASIL. Conselho Nacional de Educação. Secretaria de Educação Superior Resolução de 13 de março de 2002, a qual estabelece as Diretrizes Curriculares para os cursos de História.  Disponível em: http://portal.mec.gov.br/cne/arquivos/pdf/CES132002.pdf</w:t>
      </w:r>
      <w:r>
        <w:rPr>
          <w:rFonts w:cs="Arial" w:ascii="Arial" w:hAnsi="Arial"/>
          <w:color w:val="00000A"/>
          <w:u w:val="none"/>
        </w:rPr>
        <w:t xml:space="preserve">. </w:t>
      </w:r>
      <w:r>
        <w:rPr>
          <w:rFonts w:cs="Arial" w:ascii="Arial" w:hAnsi="Arial"/>
        </w:rPr>
        <w:t>Acesso em: 15 jun.2016.</w:t>
      </w:r>
    </w:p>
    <w:p>
      <w:pPr>
        <w:pStyle w:val="Normal"/>
        <w:spacing w:lineRule="auto" w:line="240" w:before="360" w:after="360"/>
        <w:jc w:val="both"/>
        <w:rPr>
          <w:rFonts w:ascii="Arial" w:hAnsi="Arial" w:cs="Arial"/>
        </w:rPr>
      </w:pPr>
      <w:r>
        <w:rPr>
          <w:rFonts w:cs="Arial" w:ascii="Arial" w:hAnsi="Arial"/>
        </w:rPr>
        <w:t>BRASIL. Instituto Nacional de Estatísticas e Pesquisas Anísio Teixeira. Conceito Preliminar do Curso. 2015. Disponível em: http://portal.inep.gov.br/educacao-superior/indicadores/cpc. Acesso em: 09 jul.2016</w:t>
      </w:r>
    </w:p>
    <w:p>
      <w:pPr>
        <w:pStyle w:val="Normal"/>
        <w:spacing w:lineRule="auto" w:line="240" w:before="360" w:after="360"/>
        <w:jc w:val="both"/>
        <w:rPr>
          <w:rFonts w:ascii="Arial" w:hAnsi="Arial" w:cs="Arial"/>
        </w:rPr>
      </w:pPr>
      <w:r>
        <w:rPr>
          <w:rFonts w:cs="Arial" w:ascii="Arial" w:hAnsi="Arial"/>
          <w:lang w:eastAsia="pt-BR"/>
        </w:rPr>
        <w:t>BRASIL. Ministério da Educação. Secretaria de Educação Básica. Documento Base da Comissão SEB/MEC de fevereiro de 2016. Orientações para cursos de Formação de Professores nas áreas de Didática, Metodologias e Práticas de Ensino. Disponível em: http://portal.mec.gov.br/index.php?option=com_docman&amp;view=download&amp;alias=40811-documento-base-fevereiro-2016-pdf&amp;Itemid=30192</w:t>
      </w:r>
      <w:r>
        <w:rPr>
          <w:rFonts w:cs="Arial" w:ascii="Arial" w:hAnsi="Arial"/>
          <w:color w:val="00000A"/>
          <w:u w:val="none"/>
          <w:lang w:eastAsia="pt-BR"/>
        </w:rPr>
        <w:t xml:space="preserve">. </w:t>
      </w:r>
      <w:r>
        <w:rPr>
          <w:rFonts w:cs="Arial" w:ascii="Arial" w:hAnsi="Arial"/>
        </w:rPr>
        <w:t>Acesso em: 15 jun.2016.</w:t>
      </w:r>
    </w:p>
    <w:p>
      <w:pPr>
        <w:pStyle w:val="Normal"/>
        <w:spacing w:lineRule="auto" w:line="240" w:before="360" w:after="360"/>
        <w:jc w:val="both"/>
        <w:rPr>
          <w:rFonts w:ascii="Arial" w:hAnsi="Arial" w:eastAsia="Times New Roman" w:cs="Arial"/>
          <w:lang w:eastAsia="ar-SA"/>
        </w:rPr>
      </w:pPr>
      <w:r>
        <w:rPr>
          <w:rFonts w:cs="Arial" w:ascii="Arial" w:hAnsi="Arial"/>
          <w:lang w:eastAsia="pt-BR"/>
        </w:rPr>
        <w:t xml:space="preserve">BRASIL. Ministério da Educação. Secretaria de Regulação e Supervisão da Educação Superior. </w:t>
      </w:r>
      <w:r>
        <w:rPr>
          <w:rFonts w:eastAsia="Times New Roman" w:cs="Arial" w:ascii="Arial" w:hAnsi="Arial"/>
          <w:lang w:eastAsia="ar-SA"/>
        </w:rPr>
        <w:t>Portaria 112 de 14 de fevereiro de 2014. Reconhecimento do Curso de Licenciatura em História da UFVJM. Disponível em:  http://emec.mec.gov.br/emec/ consulta-cadastro/detalhamento/d96957f455f6405d14c6542552b0f6eb/NTk2/9f1aa92 1d96ca1df24a34474cc171f61/MzQ. Acesso em: 09 jul.2016.</w:t>
      </w:r>
    </w:p>
    <w:p>
      <w:pPr>
        <w:pStyle w:val="Normal"/>
        <w:spacing w:lineRule="auto" w:line="240" w:before="360" w:after="360"/>
        <w:jc w:val="both"/>
        <w:rPr>
          <w:rFonts w:ascii="Arial" w:hAnsi="Arial" w:eastAsia="Times New Roman" w:cs="Arial"/>
          <w:lang w:eastAsia="ar-SA"/>
        </w:rPr>
      </w:pPr>
      <w:r>
        <w:rPr>
          <w:rFonts w:cs="Arial" w:ascii="Arial" w:hAnsi="Arial"/>
          <w:lang w:eastAsia="pt-BR"/>
        </w:rPr>
        <w:t xml:space="preserve">BRASIL. Ministério da Educação. Secretaria de Regulação e Supervisão da Educação Superior. </w:t>
      </w:r>
      <w:r>
        <w:rPr>
          <w:rFonts w:eastAsia="Times New Roman" w:cs="Arial" w:ascii="Arial" w:hAnsi="Arial"/>
          <w:lang w:eastAsia="ar-SA"/>
        </w:rPr>
        <w:t xml:space="preserve">Portaria 1098 de </w:t>
      </w:r>
      <w:r>
        <w:rPr>
          <w:rFonts w:eastAsia="Times New Roman" w:cs="Arial" w:ascii="Arial" w:hAnsi="Arial"/>
          <w:lang w:eastAsia="pt-BR"/>
        </w:rPr>
        <w:t xml:space="preserve">24/12/2015. Renovação do </w:t>
      </w:r>
      <w:r>
        <w:rPr>
          <w:rFonts w:eastAsia="Times New Roman" w:cs="Arial" w:ascii="Arial" w:hAnsi="Arial"/>
          <w:lang w:eastAsia="ar-SA"/>
        </w:rPr>
        <w:t>Reconhecimento do Curso de Licenciatura em História da UFVJM. Disponível em:  http://emec.mec.gov.br/emec/consulta-cadastro/detalhamento/d96957f455f6405d 14c6542552b0f6eb/NTk2/9f1aa921d96ca1df24a34474cc171f61/MzQ. Acesso em: 09 jul.2016.</w:t>
      </w:r>
    </w:p>
    <w:p>
      <w:pPr>
        <w:pStyle w:val="Normal"/>
        <w:spacing w:lineRule="auto" w:line="240" w:before="360" w:after="360"/>
        <w:jc w:val="both"/>
        <w:rPr>
          <w:rFonts w:ascii="Arial" w:hAnsi="Arial" w:eastAsia="Times New Roman" w:cs="Arial"/>
          <w:lang w:eastAsia="ar-SA"/>
        </w:rPr>
      </w:pPr>
      <w:r>
        <w:rPr>
          <w:rFonts w:eastAsia="Times New Roman" w:cs="Arial" w:ascii="Arial" w:hAnsi="Arial"/>
          <w:lang w:eastAsia="ar-SA"/>
        </w:rPr>
        <w:t xml:space="preserve">BATELLA, Wagner Barbosa; DINIZ, Alexandre Magno Alves. O Estado de Minas Gerais e suas regiões: Um resgate histórico das principais propostas oficiais de regionalização. </w:t>
      </w:r>
      <w:r>
        <w:rPr>
          <w:rFonts w:eastAsia="Times New Roman" w:cs="Arial" w:ascii="Arial" w:hAnsi="Arial"/>
          <w:b/>
          <w:lang w:eastAsia="ar-SA"/>
        </w:rPr>
        <w:t>Sociedade &amp; Natureza</w:t>
      </w:r>
      <w:r>
        <w:rPr>
          <w:rFonts w:eastAsia="Times New Roman" w:cs="Arial" w:ascii="Arial" w:hAnsi="Arial"/>
          <w:lang w:eastAsia="ar-SA"/>
        </w:rPr>
        <w:t>, Uberlândia, 59-77, dez. 2005.</w:t>
      </w:r>
    </w:p>
    <w:p>
      <w:pPr>
        <w:pStyle w:val="Normal"/>
        <w:spacing w:lineRule="auto" w:line="240" w:before="360" w:after="360"/>
        <w:jc w:val="both"/>
        <w:rPr>
          <w:rFonts w:ascii="Arial" w:hAnsi="Arial" w:eastAsia="Times New Roman" w:cs="Arial"/>
          <w:lang w:eastAsia="ar-SA"/>
        </w:rPr>
      </w:pPr>
      <w:r>
        <w:rPr>
          <w:rFonts w:eastAsia="Times New Roman" w:cs="Arial" w:ascii="Arial" w:hAnsi="Arial"/>
          <w:lang w:eastAsia="ar-SA"/>
        </w:rPr>
        <w:t xml:space="preserve">LAGE, Ana Cristina Pereira; SEABRA, Elizabeth Aparecida Duque. </w:t>
      </w:r>
      <w:r>
        <w:rPr>
          <w:rFonts w:eastAsia="Times New Roman" w:cs="Arial" w:ascii="Arial" w:hAnsi="Arial"/>
          <w:b/>
          <w:lang w:eastAsia="ar-SA"/>
        </w:rPr>
        <w:t>Manual de Estágio Supervisionado</w:t>
      </w:r>
      <w:r>
        <w:rPr>
          <w:rFonts w:eastAsia="Times New Roman" w:cs="Arial" w:ascii="Arial" w:hAnsi="Arial"/>
          <w:lang w:eastAsia="ar-SA"/>
        </w:rPr>
        <w:t>. Curso de Licenciatura em História. Diamantina: UFVJM, 2013. Disponível em: http://www.ufvjm.edu.br/cursos/historia/resolucoes-do-curso.html Acesso em: 09 jul.2016.</w:t>
      </w:r>
    </w:p>
    <w:p>
      <w:pPr>
        <w:pStyle w:val="Normal"/>
        <w:spacing w:lineRule="auto" w:line="240" w:before="360" w:after="360"/>
        <w:jc w:val="both"/>
        <w:rPr>
          <w:rFonts w:ascii="Arial" w:hAnsi="Arial" w:eastAsia="Times New Roman" w:cs="Arial"/>
          <w:lang w:eastAsia="ar-SA"/>
        </w:rPr>
      </w:pPr>
      <w:r>
        <w:rPr>
          <w:rFonts w:eastAsia="Times New Roman" w:cs="Arial" w:ascii="Arial" w:hAnsi="Arial"/>
          <w:lang w:eastAsia="ar-SA"/>
        </w:rPr>
        <w:t xml:space="preserve">LUCKESI, Cipriano C. </w:t>
      </w:r>
      <w:r>
        <w:rPr>
          <w:rFonts w:eastAsia="Times New Roman" w:cs="Arial" w:ascii="Arial" w:hAnsi="Arial"/>
          <w:b/>
          <w:lang w:eastAsia="ar-SA"/>
        </w:rPr>
        <w:t>Avaliação da aprendizagem na escola: reelaborando conceitos e recriando a prática</w:t>
      </w:r>
      <w:r>
        <w:rPr>
          <w:rFonts w:eastAsia="Times New Roman" w:cs="Arial" w:ascii="Arial" w:hAnsi="Arial"/>
          <w:lang w:eastAsia="ar-SA"/>
        </w:rPr>
        <w:t xml:space="preserve">. Salvador: Malabares Comunicação e Eventos, 2003. </w:t>
      </w:r>
    </w:p>
    <w:p>
      <w:pPr>
        <w:pStyle w:val="Normal"/>
        <w:spacing w:lineRule="auto" w:line="240" w:before="360" w:after="360"/>
        <w:jc w:val="both"/>
        <w:rPr>
          <w:rFonts w:ascii="Arial" w:hAnsi="Arial" w:cs="Arial"/>
        </w:rPr>
      </w:pPr>
      <w:r>
        <w:rPr>
          <w:rFonts w:cs="Arial" w:ascii="Arial" w:hAnsi="Arial"/>
        </w:rPr>
        <w:t xml:space="preserve">SOUZA, J. V. A.; HENRIQUES, M. S. (Org.). </w:t>
      </w:r>
      <w:r>
        <w:rPr>
          <w:rFonts w:cs="Arial" w:ascii="Arial" w:hAnsi="Arial"/>
          <w:b/>
        </w:rPr>
        <w:t>Vale do Jequitinhonha: formação histórica, populações e movimentos</w:t>
      </w:r>
      <w:r>
        <w:rPr>
          <w:rFonts w:cs="Arial" w:ascii="Arial" w:hAnsi="Arial"/>
        </w:rPr>
        <w:t>. Belo Horizonte: UFMG, Proex, 2010.</w:t>
      </w:r>
    </w:p>
    <w:p>
      <w:pPr>
        <w:pStyle w:val="Normal"/>
        <w:spacing w:lineRule="auto" w:line="240" w:before="360" w:after="360"/>
        <w:jc w:val="both"/>
        <w:rPr>
          <w:rFonts w:ascii="Arial" w:hAnsi="Arial" w:cs="Arial"/>
        </w:rPr>
      </w:pPr>
      <w:r>
        <w:rPr>
          <w:rFonts w:cs="Arial" w:ascii="Arial" w:hAnsi="Arial"/>
        </w:rPr>
        <w:t xml:space="preserve">UFVJM. </w:t>
      </w:r>
      <w:r>
        <w:rPr>
          <w:rFonts w:cs="Arial" w:ascii="Arial" w:hAnsi="Arial"/>
          <w:b/>
        </w:rPr>
        <w:t>Projeto</w:t>
      </w:r>
      <w:r>
        <w:rPr>
          <w:rFonts w:cs="Arial" w:ascii="Arial" w:hAnsi="Arial"/>
        </w:rPr>
        <w:t xml:space="preserve"> </w:t>
      </w:r>
      <w:r>
        <w:rPr>
          <w:rFonts w:cs="Arial" w:ascii="Arial" w:hAnsi="Arial"/>
          <w:b/>
        </w:rPr>
        <w:t>Político Pedagógico do Curso de Licenciatura em História</w:t>
      </w:r>
      <w:r>
        <w:rPr>
          <w:rFonts w:cs="Arial" w:ascii="Arial" w:hAnsi="Arial"/>
        </w:rPr>
        <w:t>. 2013. Disponível em: http://www.ufvjm.edu.br/cursos/historia.html</w:t>
      </w:r>
      <w:r>
        <w:rPr>
          <w:rFonts w:cs="Arial" w:ascii="Arial" w:hAnsi="Arial"/>
          <w:color w:val="00000A"/>
          <w:u w:val="none"/>
        </w:rPr>
        <w:t xml:space="preserve">. </w:t>
      </w:r>
      <w:r>
        <w:rPr>
          <w:rFonts w:cs="Arial" w:ascii="Arial" w:hAnsi="Arial"/>
        </w:rPr>
        <w:t>Acesso em: 15 jun. 2016.</w:t>
      </w:r>
    </w:p>
    <w:p>
      <w:pPr>
        <w:pStyle w:val="Normal"/>
        <w:spacing w:lineRule="auto" w:line="240" w:before="360" w:after="360"/>
        <w:jc w:val="both"/>
        <w:rPr>
          <w:rFonts w:ascii="Arial" w:hAnsi="Arial" w:cs="Arial"/>
        </w:rPr>
      </w:pPr>
      <w:r>
        <w:rPr>
          <w:rFonts w:cs="Arial" w:ascii="Arial" w:hAnsi="Arial"/>
        </w:rPr>
        <w:t xml:space="preserve">UFVJM. </w:t>
      </w:r>
      <w:r>
        <w:rPr>
          <w:rFonts w:cs="Arial" w:ascii="Arial" w:hAnsi="Arial"/>
          <w:b/>
        </w:rPr>
        <w:t>Histórico</w:t>
      </w:r>
      <w:r>
        <w:rPr>
          <w:rFonts w:cs="Arial" w:ascii="Arial" w:hAnsi="Arial"/>
        </w:rPr>
        <w:t>. Disponível em: http://www.ufvjm.edu.br/universidade/historia.html ?lang=pt_BR.utf8%2C+pt_BR.UT</w:t>
      </w:r>
      <w:r>
        <w:rPr>
          <w:rFonts w:cs="Arial" w:ascii="Arial" w:hAnsi="Arial"/>
          <w:color w:val="00000A"/>
          <w:u w:val="none"/>
        </w:rPr>
        <w:t xml:space="preserve">. </w:t>
      </w:r>
      <w:r>
        <w:rPr>
          <w:rFonts w:cs="Arial" w:ascii="Arial" w:hAnsi="Arial"/>
        </w:rPr>
        <w:t>Acesso em: 15 jun.2016.</w:t>
      </w:r>
    </w:p>
    <w:p>
      <w:pPr>
        <w:pStyle w:val="Normal"/>
        <w:spacing w:lineRule="auto" w:line="240" w:before="360" w:after="360"/>
        <w:jc w:val="both"/>
        <w:rPr>
          <w:rFonts w:ascii="Arial" w:hAnsi="Arial" w:cs="Arial"/>
        </w:rPr>
      </w:pPr>
      <w:r>
        <w:rPr>
          <w:rFonts w:cs="Arial" w:ascii="Arial" w:hAnsi="Arial"/>
          <w:color w:val="00000A"/>
          <w:u w:val="none"/>
          <w:lang w:eastAsia="pt-BR"/>
        </w:rPr>
        <w:t xml:space="preserve">UFVJM. </w:t>
      </w:r>
      <w:r>
        <w:rPr>
          <w:rFonts w:cs="Arial" w:ascii="Arial" w:hAnsi="Arial"/>
        </w:rPr>
        <w:t>Resolução nº. 20 CONSEPE, de 20 de setembro de 2013, que estabelece normas e orientações para elaboração, alteração e tramitação dos Projetos Pedagógicos dos Cursos de Graduação da Universidade Federal dos Vales do Jequitinhonha e Mucuri – UFVJM. Disponível em: http://www.ufvjm.edu.br/cppd/formularios/doc_view/2546.html?lang=pt_BR.utf8%2C+pt_BR.UT. Acesso em: 15 jun.2016.</w:t>
      </w:r>
    </w:p>
    <w:p>
      <w:pPr>
        <w:pStyle w:val="Normal"/>
        <w:spacing w:lineRule="auto" w:line="240" w:before="360" w:after="360"/>
        <w:jc w:val="both"/>
        <w:rPr>
          <w:rFonts w:ascii="Arial" w:hAnsi="Arial" w:eastAsia="Times New Roman" w:cs="Arial"/>
          <w:bCs/>
          <w:lang w:eastAsia="pt-BR"/>
        </w:rPr>
      </w:pPr>
      <w:r>
        <w:rPr>
          <w:rFonts w:eastAsia="Times New Roman" w:cs="Arial" w:ascii="Arial" w:hAnsi="Arial"/>
          <w:bCs/>
          <w:lang w:eastAsia="pt-BR"/>
        </w:rPr>
        <w:t xml:space="preserve">UFVJM. Resolução nº 5 CONSEPE, de 23 de abril de 2010. Estabelece as equivalências de AACC. Disponível em: </w:t>
      </w:r>
      <w:r>
        <w:rPr>
          <w:rFonts w:eastAsia="Times New Roman" w:cs="Arial" w:ascii="Arial" w:hAnsi="Arial"/>
          <w:lang w:eastAsia="pt-BR"/>
        </w:rPr>
        <w:t>http://site.ufvjm.edu.br/icet/files/2013/08/Resolucao_AC_</w:t>
      </w:r>
      <w:r>
        <w:rPr>
          <w:rFonts w:eastAsia="Times New Roman" w:cs="Arial" w:ascii="Arial" w:hAnsi="Arial"/>
          <w:bCs/>
          <w:lang w:eastAsia="pt-BR"/>
        </w:rPr>
        <w:t xml:space="preserve"> CONSEPE.pdf.pdf. </w:t>
      </w:r>
      <w:r>
        <w:rPr>
          <w:rFonts w:cs="Arial" w:ascii="Arial" w:hAnsi="Arial"/>
        </w:rPr>
        <w:t>Acesso em: 15 jun.2016.</w:t>
      </w:r>
    </w:p>
    <w:p>
      <w:pPr>
        <w:pStyle w:val="Normal"/>
        <w:spacing w:lineRule="auto" w:line="240" w:before="360" w:after="360"/>
        <w:jc w:val="both"/>
        <w:rPr>
          <w:rFonts w:ascii="Arial" w:hAnsi="Arial" w:eastAsia="Times New Roman" w:cs="Arial"/>
          <w:bCs/>
          <w:lang w:eastAsia="pt-BR"/>
        </w:rPr>
      </w:pPr>
      <w:r>
        <w:rPr>
          <w:rFonts w:eastAsia="Times New Roman" w:cs="Arial" w:ascii="Arial" w:hAnsi="Arial"/>
          <w:bCs/>
          <w:lang w:eastAsia="pt-BR"/>
        </w:rPr>
        <w:t xml:space="preserve">UFVJM. </w:t>
      </w:r>
      <w:r>
        <w:rPr>
          <w:rFonts w:cs="Arial" w:ascii="Arial" w:hAnsi="Arial"/>
          <w:bCs/>
          <w:lang w:eastAsia="pt-BR"/>
        </w:rPr>
        <w:t xml:space="preserve">Resolução nº 5 CONSEPE de 20 de maio de 2011, art. 72, p. 18. Regulamenta os cursos de graduação da UFVJM. Disponível em: </w:t>
      </w:r>
      <w:r>
        <w:rPr>
          <w:rFonts w:cs="Arial" w:ascii="Arial" w:hAnsi="Arial"/>
          <w:lang w:eastAsia="pt-BR"/>
        </w:rPr>
        <w:t>http://site.ufvjm.edu.br/</w:t>
      </w:r>
      <w:r>
        <w:rPr>
          <w:rFonts w:cs="Arial" w:ascii="Arial" w:hAnsi="Arial"/>
          <w:bCs/>
          <w:lang w:eastAsia="pt-BR"/>
        </w:rPr>
        <w:t xml:space="preserve"> fammuc/files/2014/09/Res.-05-CONSEPE-20.05.11_Regulamento_dos_cursos_de_gra dua%C3%A7%C3%A3o.pdf. </w:t>
      </w:r>
      <w:r>
        <w:rPr>
          <w:rFonts w:cs="Arial" w:ascii="Arial" w:hAnsi="Arial"/>
        </w:rPr>
        <w:t>Acesso em: 15 jun.2016.</w:t>
      </w:r>
    </w:p>
    <w:p>
      <w:pPr>
        <w:pStyle w:val="Normal"/>
        <w:spacing w:lineRule="auto" w:line="240" w:before="360" w:after="360"/>
        <w:jc w:val="both"/>
        <w:rPr>
          <w:rFonts w:ascii="Arial" w:hAnsi="Arial" w:cs="Arial"/>
        </w:rPr>
      </w:pPr>
      <w:r>
        <w:rPr>
          <w:rFonts w:cs="Arial" w:ascii="Arial" w:hAnsi="Arial"/>
        </w:rPr>
        <w:t>UFVJM. Resolução CONGRAD nº. 02, de 24 de outubro de 2013. Estabelece procedimentos e prazos para tramitação de alterações nos Projetos Políticos Pedagógicos dos Cursos de Graduação da Universidade Federal dos Vales do Jequitinhonha e Mucuri – UFVJM. Disponível em: http://www.ufvjm.edu.br/prograd/ regulamento-dos-cursos/cat_view/98-congrad/92-.html?start=5</w:t>
      </w:r>
      <w:r>
        <w:rPr>
          <w:rFonts w:cs="Arial" w:ascii="Arial" w:hAnsi="Arial"/>
          <w:color w:val="00000A"/>
          <w:u w:val="none"/>
        </w:rPr>
        <w:t xml:space="preserve">. </w:t>
      </w:r>
      <w:r>
        <w:rPr>
          <w:rFonts w:cs="Arial" w:ascii="Arial" w:hAnsi="Arial"/>
        </w:rPr>
        <w:t>Acesso em: 15 jun. 2016.</w:t>
      </w:r>
    </w:p>
    <w:p>
      <w:pPr>
        <w:pStyle w:val="Normal"/>
        <w:spacing w:lineRule="auto" w:line="240" w:before="360" w:after="360"/>
        <w:jc w:val="both"/>
        <w:rPr>
          <w:rFonts w:ascii="Arial" w:hAnsi="Arial" w:cs="Arial"/>
        </w:rPr>
      </w:pPr>
      <w:r>
        <w:rPr>
          <w:rFonts w:cs="Arial" w:ascii="Arial" w:hAnsi="Arial"/>
        </w:rPr>
        <w:t xml:space="preserve">UFVJM. Resolução </w:t>
      </w:r>
      <w:r>
        <w:rPr>
          <w:rFonts w:eastAsia="Times New Roman" w:cs="Arial" w:ascii="Arial" w:hAnsi="Arial"/>
          <w:lang w:eastAsia="pt-BR"/>
        </w:rPr>
        <w:t>3 de 2013 do Colegiado do curso de Licenciatura em história. Regulamenta as Atividades Acadêmicas Científicas e Culturais. http://www.ufvjm.edu.br/cursos/historia/resolucoes-do-curso.html</w:t>
      </w:r>
      <w:r>
        <w:rPr>
          <w:rFonts w:eastAsia="Times New Roman" w:cs="Arial" w:ascii="Arial" w:hAnsi="Arial"/>
          <w:color w:val="00000A"/>
          <w:u w:val="none"/>
          <w:lang w:eastAsia="pt-BR"/>
        </w:rPr>
        <w:t xml:space="preserve">. </w:t>
      </w:r>
      <w:r>
        <w:rPr>
          <w:rFonts w:cs="Arial" w:ascii="Arial" w:hAnsi="Arial"/>
        </w:rPr>
        <w:t>Acesso em: 15 jun. 2016.</w:t>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sz w:val="24"/>
          <w:szCs w:val="24"/>
        </w:rPr>
      </w:pPr>
      <w:r>
        <w:rPr>
          <w:rFonts w:cs="Arial" w:ascii="Arial" w:hAnsi="Arial"/>
          <w:sz w:val="24"/>
          <w:szCs w:val="24"/>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both"/>
        <w:rPr>
          <w:rFonts w:ascii="Arial" w:hAnsi="Arial" w:cs="Arial"/>
        </w:rPr>
      </w:pPr>
      <w:r>
        <w:rPr>
          <w:rFonts w:cs="Arial" w:ascii="Arial" w:hAnsi="Arial"/>
        </w:rPr>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t>ANEXOS</w:t>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t>ANEXO A</w:t>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r>
    </w:p>
    <w:p>
      <w:pPr>
        <w:pStyle w:val="Normal"/>
        <w:spacing w:lineRule="auto" w:line="240" w:before="360" w:after="360"/>
        <w:jc w:val="center"/>
        <w:rPr>
          <w:rFonts w:ascii="Arial" w:hAnsi="Arial" w:cs="Arial"/>
          <w:b/>
          <w:b/>
          <w:bCs/>
          <w:sz w:val="24"/>
          <w:szCs w:val="24"/>
        </w:rPr>
      </w:pPr>
      <w:r>
        <w:rPr>
          <w:rFonts w:cs="Arial" w:ascii="Arial" w:hAnsi="Arial"/>
          <w:b/>
          <w:bCs/>
          <w:sz w:val="24"/>
          <w:szCs w:val="24"/>
        </w:rPr>
      </w:r>
    </w:p>
    <w:p>
      <w:pPr>
        <w:pStyle w:val="Normal"/>
        <w:jc w:val="center"/>
        <w:rPr>
          <w:rFonts w:ascii="Arial" w:hAnsi="Arial" w:cs="Arial"/>
          <w:b/>
          <w:b/>
          <w:sz w:val="36"/>
          <w:szCs w:val="36"/>
        </w:rPr>
      </w:pPr>
      <w:r>
        <w:rPr>
          <w:rFonts w:cs="Arial" w:ascii="Arial" w:hAnsi="Arial"/>
          <w:b/>
          <w:sz w:val="36"/>
          <w:szCs w:val="36"/>
        </w:rPr>
        <w:t>Plano de transição de PPC (2012-2018)</w:t>
      </w:r>
    </w:p>
    <w:p>
      <w:pPr>
        <w:pStyle w:val="Normal"/>
        <w:jc w:val="center"/>
        <w:rPr>
          <w:rFonts w:ascii="Arial" w:hAnsi="Arial" w:cs="Arial"/>
          <w:b/>
          <w:b/>
          <w:sz w:val="28"/>
          <w:szCs w:val="28"/>
        </w:rPr>
      </w:pPr>
      <w:r>
        <w:rPr>
          <w:rFonts w:cs="Arial" w:ascii="Arial" w:hAnsi="Arial"/>
          <w:b/>
          <w:sz w:val="28"/>
          <w:szCs w:val="28"/>
        </w:rPr>
      </w:r>
    </w:p>
    <w:p>
      <w:pPr>
        <w:pStyle w:val="Normal"/>
        <w:spacing w:lineRule="auto" w:line="360" w:before="0" w:after="0"/>
        <w:ind w:firstLine="709"/>
        <w:jc w:val="both"/>
        <w:rPr>
          <w:rFonts w:ascii="Arial" w:hAnsi="Arial" w:cs="Arial"/>
        </w:rPr>
      </w:pPr>
      <w:r>
        <w:rPr>
          <w:rFonts w:cs="Arial" w:ascii="Arial" w:hAnsi="Arial"/>
        </w:rPr>
        <w:t>O presente Projeto Pedagógico passa a vigorar, obrigatoriamente, para os discentes que ingressarem na Licenciatura em História da UFVJM a partir do primeiro</w:t>
      </w:r>
      <w:r>
        <w:rPr>
          <w:rFonts w:cs="Arial" w:ascii="Arial" w:hAnsi="Arial"/>
          <w:highlight w:val="yellow"/>
        </w:rPr>
        <w:t xml:space="preserve"> </w:t>
      </w:r>
      <w:r>
        <w:rPr>
          <w:rFonts w:cs="Arial" w:ascii="Arial" w:hAnsi="Arial"/>
        </w:rPr>
        <w:t xml:space="preserve">semestre de 2018, doravante, PPC-2018. Os discentes que ingressaram em semestres anteriores e estão vinculados ao Projeto Pedagógico então vigente, doravante, PPC-2012, terão garantido a permanência no seu currículo de origem, ou caso seja de sua preferência poderão optar por migrar para o currículo 2018. </w:t>
      </w:r>
    </w:p>
    <w:p>
      <w:pPr>
        <w:pStyle w:val="Normal"/>
        <w:spacing w:lineRule="auto" w:line="360" w:before="0" w:after="0"/>
        <w:ind w:firstLine="709"/>
        <w:jc w:val="both"/>
        <w:rPr>
          <w:rFonts w:ascii="Arial" w:hAnsi="Arial" w:cs="Arial"/>
        </w:rPr>
      </w:pPr>
      <w:r>
        <w:rPr>
          <w:rFonts w:cs="Arial" w:ascii="Arial" w:hAnsi="Arial"/>
        </w:rPr>
        <w:t>O Curso gradativamente implementará a oferta das UC’s previstas no PPC-2018, deixando de ofertar aquelas do PPC-2012 com a mesma gradualidade. Apesar disso, com o objetivo de oportunizar a integralização, em tempo hábil, para os discentes que ingressaram até 2017/2, o Curso prevê as seguintes formas de aproveitamento de UC’s:</w:t>
      </w:r>
    </w:p>
    <w:p>
      <w:pPr>
        <w:pStyle w:val="ListParagraph"/>
        <w:numPr>
          <w:ilvl w:val="0"/>
          <w:numId w:val="12"/>
        </w:numPr>
        <w:spacing w:lineRule="auto" w:line="360" w:before="0" w:after="0"/>
        <w:jc w:val="both"/>
        <w:rPr>
          <w:rFonts w:ascii="Arial" w:hAnsi="Arial" w:cs="Arial"/>
        </w:rPr>
      </w:pPr>
      <w:r>
        <w:rPr>
          <w:rFonts w:cs="Arial" w:ascii="Arial" w:hAnsi="Arial"/>
          <w:u w:val="single"/>
        </w:rPr>
        <w:t>Continuidade de UC’s:</w:t>
      </w:r>
      <w:r>
        <w:rPr>
          <w:rFonts w:cs="Arial" w:ascii="Arial" w:hAnsi="Arial"/>
        </w:rPr>
        <w:t xml:space="preserve"> No PPC-2012 há vinte e quatro (24) UC’s de caráter obrigatório, sendo que quatro (4) não possuem equivalência no PPC-2018, a saber: História da América I, Metodologia e Teoria da História II, Ensino de História I e Ensino de História II. Essas serão ofertadas enquanto houver discentes que necessitem delas para sua formação.</w:t>
      </w:r>
    </w:p>
    <w:p>
      <w:pPr>
        <w:pStyle w:val="ListParagraph"/>
        <w:numPr>
          <w:ilvl w:val="0"/>
          <w:numId w:val="12"/>
        </w:numPr>
        <w:spacing w:lineRule="auto" w:line="360" w:before="0" w:after="0"/>
        <w:jc w:val="both"/>
        <w:rPr>
          <w:rFonts w:ascii="Arial" w:hAnsi="Arial" w:cs="Arial"/>
        </w:rPr>
      </w:pPr>
      <w:r>
        <w:rPr>
          <w:rFonts w:cs="Arial" w:ascii="Arial" w:hAnsi="Arial"/>
          <w:u w:val="single"/>
        </w:rPr>
        <w:t>Equivalência de UC’s Obrigatórias:</w:t>
      </w:r>
      <w:r>
        <w:rPr>
          <w:rFonts w:cs="Arial" w:ascii="Arial" w:hAnsi="Arial"/>
        </w:rPr>
        <w:t xml:space="preserve"> Das vinte e quatro (24) UC’s de caráter obrigatório do PPC-2012, dezenove (19) tem UC’s equivalentes no PPC-2018. Assim, os discentes podem matricular-se tanto nas antigas, quanto nas novas UC’s, sem prejuízo na contagem de carga horária, nem de conteúdos ministrados. Ver Tabela A.</w:t>
      </w:r>
    </w:p>
    <w:p>
      <w:pPr>
        <w:pStyle w:val="ListParagraph"/>
        <w:numPr>
          <w:ilvl w:val="0"/>
          <w:numId w:val="12"/>
        </w:numPr>
        <w:spacing w:lineRule="auto" w:line="360" w:before="0" w:after="0"/>
        <w:jc w:val="both"/>
        <w:rPr>
          <w:rFonts w:ascii="Arial" w:hAnsi="Arial" w:cs="Arial"/>
        </w:rPr>
      </w:pPr>
      <w:r>
        <w:rPr>
          <w:rFonts w:cs="Arial" w:ascii="Arial" w:hAnsi="Arial"/>
        </w:rPr>
        <w:t xml:space="preserve"> </w:t>
      </w:r>
      <w:r>
        <w:rPr>
          <w:rFonts w:cs="Arial" w:ascii="Arial" w:hAnsi="Arial"/>
          <w:u w:val="single"/>
        </w:rPr>
        <w:t>Equivalência de UC’s Eletivas:</w:t>
      </w:r>
      <w:r>
        <w:rPr>
          <w:rFonts w:cs="Arial" w:ascii="Arial" w:hAnsi="Arial"/>
        </w:rPr>
        <w:t xml:space="preserve"> Conforme o PPC-2012 os discentes devem cursar 4 UC’s eletivas (300 h/a). No PPC-2018, a exigência é de no mínimo 6 (seis) UC’s ou 420 h/a, para essa carga horária o aproveitamento de UC’s eletivas antes de 2018/1 poderá dar-se de duas formas: primeiro pela equivalência direta, conforme pode ser visto na Tabela A. Segundo, a Tabela B é composta de UC’s vinculadas ao BHu que poderão ser reaproveitadas até contabilizar 420 h/a de caráter eletivo. Caso o discente tenha cursado uma ou mais UC’s desse rol ele, obrigatoriamente, deverá solicitar junto a coordenação do curso o aproveitamento das mesmas. Após análise dos casos individuais eles serão apresentados ao Colegiado do Curso para aprovar ou negar o aproveitamento.</w:t>
      </w:r>
    </w:p>
    <w:p>
      <w:pPr>
        <w:pStyle w:val="Normal"/>
        <w:spacing w:lineRule="auto" w:line="360" w:before="0" w:after="0"/>
        <w:ind w:firstLine="709"/>
        <w:jc w:val="both"/>
        <w:rPr>
          <w:rFonts w:ascii="Arial" w:hAnsi="Arial" w:cs="Arial"/>
        </w:rPr>
      </w:pPr>
      <w:r>
        <w:rPr>
          <w:rFonts w:cs="Arial" w:ascii="Arial" w:hAnsi="Arial"/>
        </w:rPr>
        <w:t>É importante destacar que no PPC-2018 existe 11 UC’s Obrigatórias que não eram ofertadas no PPC-2012. Os discentes que optarem por migrar para o projeto novo deverão ter ciência e serão informados pela coordenação do curso que 300 h/a teóricas e 60 h/a práticas da carga horária do PPC-2018 não tem equivalência no PPC-2012 e, portanto, essas UC’s deverão ser cursadas, trata-se das seguintes: Políticas Educacionais, História da Educação, Política, Cidadania e Direitos Humanos no Brasil, Filosofia da Educação, Educação e Diversidade, História Indígena nas Américas, Metodologia da pesquisa histórica, Sociologia da Educação, História, Meio Ambiente e Educação Ambiental, LEH: Metodologias e tecnologias do Ensino de História, Gestão de Sistema Escolar e Trabalho de Conclusão de Curso.</w:t>
      </w:r>
    </w:p>
    <w:p>
      <w:pPr>
        <w:pStyle w:val="Normal"/>
        <w:spacing w:lineRule="auto" w:line="360" w:before="0" w:after="0"/>
        <w:ind w:firstLine="709"/>
        <w:jc w:val="both"/>
        <w:rPr>
          <w:rFonts w:ascii="Arial" w:hAnsi="Arial" w:cs="Arial"/>
        </w:rPr>
      </w:pPr>
      <w:r>
        <w:rPr>
          <w:rFonts w:cs="Arial" w:ascii="Arial" w:hAnsi="Arial"/>
        </w:rPr>
        <w:t>O Curso não estabelece nem carga horária mínima, nem máxima cursadas para ofertar a migração de currículo, os discentes poderão optar a qualquer momento pela mudança desde que previamente solicitada. A Licenciatura em História, através da coordenação de curso, disponibilizará análise individual para os discentes ingressantes no PPC-2012. Os interessados deverão preencher o formulário “Análise de situação curricular para transição de currículo” (modelo no final deste item) para oficializar o pedido da referida análise. Após o estudo individual a coordenação do curso informará ao discente as possibilidades que ele terá, tanto mantendo-se no currículo 2012, quanto migrando para o currículo 2018. O discente é que decidirá em qual deles irá manter-se através do preenchimento e assinatura de um dos Termos de Responsabilidade, conforme modelo no final deste item.</w:t>
      </w:r>
    </w:p>
    <w:p>
      <w:pPr>
        <w:pStyle w:val="Normal"/>
        <w:spacing w:lineRule="auto" w:line="360" w:before="0" w:after="0"/>
        <w:ind w:firstLine="709"/>
        <w:jc w:val="both"/>
        <w:rPr>
          <w:rFonts w:ascii="Arial" w:hAnsi="Arial" w:cs="Arial"/>
        </w:rPr>
      </w:pPr>
      <w:r>
        <w:rPr>
          <w:rFonts w:cs="Arial" w:ascii="Arial" w:hAnsi="Arial"/>
        </w:rPr>
        <w:t>Acredita-se que com as alternativas aqui apresentadas, a maioria das situações estão previstas. Assim, os discentes poderão dar andamento aos estudos com pleno e satisfatório atendimento a todos os requisitos exigidos para uma formação acadêmica de qualidade. Contudo, os casos omissos serão analisados pela coordenação de curso que levará a consulta e deliberação ao Colegiado.</w:t>
      </w:r>
    </w:p>
    <w:p>
      <w:pPr>
        <w:sectPr>
          <w:headerReference w:type="default" r:id="rId14"/>
          <w:footerReference w:type="default" r:id="rId15"/>
          <w:footnotePr>
            <w:numFmt w:val="decimal"/>
          </w:footnotePr>
          <w:type w:val="nextPage"/>
          <w:pgSz w:w="11906" w:h="16838"/>
          <w:pgMar w:left="1701" w:right="1701" w:header="708" w:top="1417" w:footer="708" w:bottom="1417" w:gutter="0"/>
          <w:pgNumType w:fmt="decimal"/>
          <w:formProt w:val="false"/>
          <w:textDirection w:val="lrTb"/>
          <w:docGrid w:type="default" w:linePitch="360" w:charSpace="4294965247"/>
        </w:sectPr>
        <w:pStyle w:val="Normal"/>
        <w:spacing w:lineRule="auto" w:line="360" w:before="0" w:after="0"/>
        <w:ind w:firstLine="709"/>
        <w:jc w:val="both"/>
        <w:rPr>
          <w:rFonts w:ascii="Arial" w:hAnsi="Arial" w:cs="Arial"/>
        </w:rPr>
      </w:pPr>
      <w:r>
        <w:rPr>
          <w:rFonts w:cs="Arial" w:ascii="Arial" w:hAnsi="Arial"/>
        </w:rPr>
        <w:t>Entretanto, a definição do prazo máximo para a transição entre os currículos será o ano de 2022. Pois, dessa forma se garante o direito aos discentes ingressantes em 2017/2 integralizarem o curso, no prazo que lhe é de direito. Dado que, dessa forma todos os alunos que ingressaram antes de 2017/2, têm direito de manterem-se na grade 2012 (para não haver excesso de tempo de integralização do curso), ou caso, prefiram migrar para a grade 2018.</w:t>
      </w:r>
    </w:p>
    <w:p>
      <w:pPr>
        <w:pStyle w:val="Normal"/>
        <w:ind w:left="142" w:right="-315" w:hanging="0"/>
        <w:jc w:val="center"/>
        <w:rPr>
          <w:rFonts w:ascii="Arial" w:hAnsi="Arial" w:cs="Arial"/>
          <w:b/>
          <w:b/>
          <w:sz w:val="24"/>
          <w:szCs w:val="24"/>
        </w:rPr>
      </w:pPr>
      <w:r>
        <w:rPr>
          <w:rFonts w:cs="Arial" w:ascii="Arial" w:hAnsi="Arial"/>
          <w:b/>
          <w:sz w:val="24"/>
          <w:szCs w:val="24"/>
        </w:rPr>
        <w:t xml:space="preserve">Tabela A: </w:t>
      </w:r>
      <w:r>
        <w:rPr>
          <w:rFonts w:cs="Arial" w:ascii="Arial" w:hAnsi="Arial"/>
          <w:smallCaps/>
          <w:sz w:val="24"/>
          <w:szCs w:val="24"/>
        </w:rPr>
        <w:t>Equivalência entre os Projetos Pedagógicos do curso de Graduação da Licenciatura em História 2012 e 2018</w:t>
      </w:r>
    </w:p>
    <w:tbl>
      <w:tblPr>
        <w:tblStyle w:val="Tabelacomgrade"/>
        <w:tblW w:w="14560" w:type="dxa"/>
        <w:jc w:val="left"/>
        <w:tblInd w:w="0" w:type="dxa"/>
        <w:tblCellMar>
          <w:top w:w="0" w:type="dxa"/>
          <w:left w:w="108" w:type="dxa"/>
          <w:bottom w:w="0" w:type="dxa"/>
          <w:right w:w="108" w:type="dxa"/>
        </w:tblCellMar>
        <w:tblLook w:firstRow="1" w:noVBand="1" w:lastRow="0" w:firstColumn="1" w:lastColumn="0" w:noHBand="0" w:val="04a0"/>
      </w:tblPr>
      <w:tblGrid>
        <w:gridCol w:w="972"/>
        <w:gridCol w:w="3842"/>
        <w:gridCol w:w="992"/>
        <w:gridCol w:w="571"/>
        <w:gridCol w:w="279"/>
        <w:gridCol w:w="708"/>
        <w:gridCol w:w="709"/>
        <w:gridCol w:w="395"/>
        <w:gridCol w:w="3589"/>
        <w:gridCol w:w="952"/>
        <w:gridCol w:w="884"/>
        <w:gridCol w:w="665"/>
      </w:tblGrid>
      <w:tr>
        <w:trPr>
          <w:trHeight w:val="397" w:hRule="atLeast"/>
        </w:trPr>
        <w:tc>
          <w:tcPr>
            <w:tcW w:w="6377" w:type="dxa"/>
            <w:gridSpan w:val="4"/>
            <w:tcBorders>
              <w:right w:val="nil"/>
              <w:insideV w:val="nil"/>
            </w:tcBorders>
            <w:shd w:fill="auto" w:val="clear"/>
            <w:tcMar>
              <w:left w:w="108" w:type="dxa"/>
            </w:tcMar>
          </w:tcPr>
          <w:p>
            <w:pPr>
              <w:pStyle w:val="Normal"/>
              <w:spacing w:lineRule="auto" w:line="240" w:before="0" w:after="0"/>
              <w:jc w:val="center"/>
              <w:rPr>
                <w:rFonts w:ascii="Arial" w:hAnsi="Arial" w:cs="Arial"/>
                <w:b/>
                <w:b/>
                <w:sz w:val="24"/>
                <w:szCs w:val="24"/>
              </w:rPr>
            </w:pPr>
            <w:r>
              <w:rPr>
                <w:rFonts w:cs="Arial" w:ascii="Arial" w:hAnsi="Arial"/>
                <w:b/>
                <w:sz w:val="24"/>
                <w:szCs w:val="24"/>
              </w:rPr>
              <w:t>PPC Licenciatura em História 2012</w:t>
            </w:r>
          </w:p>
        </w:tc>
        <w:tc>
          <w:tcPr>
            <w:tcW w:w="2091" w:type="dxa"/>
            <w:gridSpan w:val="4"/>
            <w:tcBorders>
              <w:left w:val="nil"/>
              <w:right w:val="nil"/>
              <w:insideV w:val="nil"/>
            </w:tcBorders>
            <w:shd w:fill="auto" w:val="clear"/>
          </w:tcPr>
          <w:p>
            <w:pPr>
              <w:pStyle w:val="Normal"/>
              <w:spacing w:lineRule="auto" w:line="240" w:before="0" w:after="0"/>
              <w:jc w:val="center"/>
              <w:rPr>
                <w:rFonts w:ascii="Arial" w:hAnsi="Arial" w:cs="Arial"/>
                <w:b/>
                <w:b/>
                <w:sz w:val="24"/>
                <w:szCs w:val="24"/>
              </w:rPr>
            </w:pPr>
            <w:r>
              <w:rPr>
                <w:rFonts w:cs="Arial" w:ascii="Arial" w:hAnsi="Arial"/>
                <w:b/>
                <w:sz w:val="24"/>
                <w:szCs w:val="24"/>
              </w:rPr>
              <mc:AlternateContent>
                <mc:Choice Requires="wps">
                  <w:drawing>
                    <wp:anchor behindDoc="0" distT="0" distB="0" distL="114300" distR="114300" simplePos="0" locked="0" layoutInCell="1" allowOverlap="1" relativeHeight="15" wp14:anchorId="24F155D6">
                      <wp:simplePos x="0" y="0"/>
                      <wp:positionH relativeFrom="column">
                        <wp:posOffset>68580</wp:posOffset>
                      </wp:positionH>
                      <wp:positionV relativeFrom="paragraph">
                        <wp:posOffset>3810</wp:posOffset>
                      </wp:positionV>
                      <wp:extent cx="1038225" cy="193040"/>
                      <wp:effectExtent l="19050" t="19050" r="10795" b="36830"/>
                      <wp:wrapNone/>
                      <wp:docPr id="21" name="Seta: da Esquerda para a Direita 3"/>
                      <a:graphic xmlns:a="http://schemas.openxmlformats.org/drawingml/2006/main">
                        <a:graphicData uri="http://schemas.microsoft.com/office/word/2010/wordprocessingShape">
                          <wps:wsp>
                            <wps:cNvSpPr/>
                            <wps:spPr>
                              <a:xfrm>
                                <a:off x="0" y="0"/>
                                <a:ext cx="1037520" cy="192240"/>
                              </a:xfrm>
                              <a:prstGeom prst="leftRightArrow">
                                <a:avLst>
                                  <a:gd name="adj1" fmla="val 50000"/>
                                  <a:gd name="adj2" fmla="val 50000"/>
                                </a:avLst>
                              </a:prstGeom>
                              <a:solidFill>
                                <a:srgbClr val="ff0000"/>
                              </a:solidFill>
                              <a:ln>
                                <a:solidFill>
                                  <a:srgbClr val="ff0000"/>
                                </a:solidFill>
                                <a:round/>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shapetype id="shapetype_69" coordsize="21600,21600" o:spt="69" adj="10800,10800" path="m,10800l@2,l@2@5l@3@5l@3,l21600,10800l@3,21600l@3@6l@2@6l@2,21600xe">
                      <v:stroke joinstyle="miter"/>
                      <v:formulas>
                        <v:f eqn="val 10800"/>
                        <v:f eqn="val #1"/>
                        <v:f eqn="val #0"/>
                        <v:f eqn="sum width 0 @2"/>
                        <v:f eqn="prod 1 @1 2"/>
                        <v:f eqn="sum 10800 0 @4"/>
                        <v:f eqn="sum 10800 @4 0"/>
                        <v:f eqn="prod @5 @2 10800"/>
                        <v:f eqn="sum @2 0 @7"/>
                        <v:f eqn="sum @3 @7 0"/>
                      </v:formulas>
                      <v:path gradientshapeok="t" o:connecttype="rect" textboxrect="@8,@5,@9,@6"/>
                      <v:handles>
                        <v:h position="@3,@5"/>
                        <v:h position="@2,0"/>
                      </v:handles>
                    </v:shapetype>
                    <v:shape id="shape_0" ID="Seta: da Esquerda para a Direita 3" fillcolor="red" stroked="t" style="position:absolute;margin-left:5.4pt;margin-top:0.3pt;width:81.65pt;height:15.1pt" wp14:anchorId="24F155D6" type="shapetype_69">
                      <w10:wrap type="none"/>
                      <v:fill o:detectmouseclick="t" type="solid" color2="aqua"/>
                      <v:stroke color="red" weight="25560" joinstyle="round" endcap="flat"/>
                    </v:shape>
                  </w:pict>
                </mc:Fallback>
              </mc:AlternateContent>
            </w:r>
          </w:p>
        </w:tc>
        <w:tc>
          <w:tcPr>
            <w:tcW w:w="6090" w:type="dxa"/>
            <w:gridSpan w:val="4"/>
            <w:tcBorders>
              <w:left w:val="nil"/>
            </w:tcBorders>
            <w:shd w:fill="auto" w:val="clear"/>
          </w:tcPr>
          <w:p>
            <w:pPr>
              <w:pStyle w:val="Normal"/>
              <w:spacing w:lineRule="auto" w:line="240" w:before="0" w:after="0"/>
              <w:jc w:val="center"/>
              <w:rPr>
                <w:rFonts w:ascii="Arial" w:hAnsi="Arial" w:cs="Arial"/>
                <w:b/>
                <w:b/>
                <w:sz w:val="24"/>
                <w:szCs w:val="24"/>
              </w:rPr>
            </w:pPr>
            <w:r>
              <w:rPr>
                <w:rFonts w:cs="Arial" w:ascii="Arial" w:hAnsi="Arial"/>
                <w:b/>
                <w:sz w:val="24"/>
                <w:szCs w:val="24"/>
              </w:rPr>
              <w:t>PPC Licenciatura em História 2018</w:t>
            </w:r>
          </w:p>
        </w:tc>
      </w:tr>
      <w:tr>
        <w:trPr/>
        <w:tc>
          <w:tcPr>
            <w:tcW w:w="97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b/>
                <w:sz w:val="20"/>
                <w:szCs w:val="20"/>
              </w:rPr>
              <w:t>Código</w:t>
            </w:r>
          </w:p>
        </w:tc>
        <w:tc>
          <w:tcPr>
            <w:tcW w:w="384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b/>
                <w:sz w:val="20"/>
                <w:szCs w:val="20"/>
              </w:rPr>
              <w:t>Unidade curricular</w:t>
            </w:r>
          </w:p>
        </w:tc>
        <w:tc>
          <w:tcPr>
            <w:tcW w:w="992" w:type="dxa"/>
            <w:tcBorders/>
            <w:shd w:fill="auto" w:val="clear"/>
            <w:tcMar>
              <w:left w:w="108" w:type="dxa"/>
            </w:tcMar>
          </w:tcPr>
          <w:p>
            <w:pPr>
              <w:pStyle w:val="Normal"/>
              <w:spacing w:lineRule="auto" w:line="240" w:before="0" w:after="0"/>
              <w:jc w:val="center"/>
              <w:rPr>
                <w:rFonts w:ascii="Arial" w:hAnsi="Arial" w:cs="Arial"/>
                <w:sz w:val="18"/>
                <w:szCs w:val="18"/>
              </w:rPr>
            </w:pPr>
            <w:r>
              <w:rPr>
                <w:rFonts w:cs="Arial" w:ascii="Arial" w:hAnsi="Arial"/>
                <w:b/>
                <w:sz w:val="18"/>
                <w:szCs w:val="18"/>
              </w:rPr>
              <w:t>H/a Teórica</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18"/>
                <w:szCs w:val="18"/>
              </w:rPr>
            </w:pPr>
            <w:r>
              <w:rPr>
                <w:rFonts w:cs="Arial" w:ascii="Arial" w:hAnsi="Arial"/>
                <w:b/>
                <w:sz w:val="18"/>
                <w:szCs w:val="18"/>
              </w:rPr>
              <w:t>H/a Prática</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ind w:right="-312" w:hanging="0"/>
              <w:rPr>
                <w:rFonts w:ascii="Arial" w:hAnsi="Arial" w:cs="Arial"/>
                <w:b/>
                <w:b/>
                <w:sz w:val="18"/>
                <w:szCs w:val="18"/>
              </w:rPr>
            </w:pPr>
            <w:r>
              <w:rPr>
                <w:rFonts w:cs="Arial" w:ascii="Arial" w:hAnsi="Arial"/>
                <w:b/>
                <w:sz w:val="18"/>
                <w:szCs w:val="18"/>
              </w:rPr>
              <w:t>CH</w:t>
            </w:r>
          </w:p>
          <w:p>
            <w:pPr>
              <w:pStyle w:val="Normal"/>
              <w:spacing w:lineRule="auto" w:line="240" w:before="0" w:after="0"/>
              <w:jc w:val="center"/>
              <w:rPr>
                <w:rFonts w:ascii="Arial" w:hAnsi="Arial" w:cs="Arial"/>
                <w:sz w:val="18"/>
                <w:szCs w:val="18"/>
              </w:rPr>
            </w:pPr>
            <w:r>
              <w:rPr>
                <w:rFonts w:cs="Arial" w:ascii="Arial" w:hAnsi="Arial"/>
                <w:b/>
                <w:sz w:val="18"/>
                <w:szCs w:val="18"/>
              </w:rPr>
              <w:t>total</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18"/>
                <w:szCs w:val="18"/>
              </w:rPr>
            </w:pPr>
            <w:r>
              <w:rPr>
                <w:rFonts w:cs="Arial" w:ascii="Arial" w:hAnsi="Arial"/>
                <w:b/>
                <w:sz w:val="18"/>
                <w:szCs w:val="18"/>
              </w:rPr>
              <w:t>Cate-goria</w:t>
            </w:r>
          </w:p>
        </w:tc>
        <w:tc>
          <w:tcPr>
            <w:tcW w:w="3984"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b/>
                <w:sz w:val="20"/>
                <w:szCs w:val="20"/>
              </w:rPr>
              <w:t>Unidade curricular</w:t>
            </w:r>
          </w:p>
        </w:tc>
        <w:tc>
          <w:tcPr>
            <w:tcW w:w="952" w:type="dxa"/>
            <w:tcBorders/>
            <w:shd w:fill="auto" w:val="clear"/>
            <w:tcMar>
              <w:left w:w="108" w:type="dxa"/>
            </w:tcMar>
          </w:tcPr>
          <w:p>
            <w:pPr>
              <w:pStyle w:val="Normal"/>
              <w:spacing w:lineRule="auto" w:line="240" w:before="0" w:after="0"/>
              <w:jc w:val="center"/>
              <w:rPr>
                <w:rFonts w:ascii="Arial" w:hAnsi="Arial" w:cs="Arial"/>
                <w:sz w:val="18"/>
                <w:szCs w:val="18"/>
              </w:rPr>
            </w:pPr>
            <w:r>
              <w:rPr>
                <w:rFonts w:cs="Arial" w:ascii="Arial" w:hAnsi="Arial"/>
                <w:b/>
                <w:sz w:val="18"/>
                <w:szCs w:val="18"/>
              </w:rPr>
              <w:t>H/a Teórica</w:t>
            </w:r>
          </w:p>
        </w:tc>
        <w:tc>
          <w:tcPr>
            <w:tcW w:w="884" w:type="dxa"/>
            <w:tcBorders/>
            <w:shd w:fill="auto" w:val="clear"/>
            <w:tcMar>
              <w:left w:w="108" w:type="dxa"/>
            </w:tcMar>
          </w:tcPr>
          <w:p>
            <w:pPr>
              <w:pStyle w:val="Normal"/>
              <w:spacing w:lineRule="auto" w:line="240" w:before="0" w:after="0"/>
              <w:jc w:val="center"/>
              <w:rPr>
                <w:rFonts w:ascii="Arial" w:hAnsi="Arial" w:cs="Arial"/>
                <w:sz w:val="18"/>
                <w:szCs w:val="18"/>
              </w:rPr>
            </w:pPr>
            <w:r>
              <w:rPr>
                <w:rFonts w:cs="Arial" w:ascii="Arial" w:hAnsi="Arial"/>
                <w:b/>
                <w:sz w:val="18"/>
                <w:szCs w:val="18"/>
              </w:rPr>
              <w:t>H/a Prática</w:t>
            </w:r>
          </w:p>
        </w:tc>
        <w:tc>
          <w:tcPr>
            <w:tcW w:w="665" w:type="dxa"/>
            <w:tcBorders/>
            <w:shd w:fill="auto" w:val="clear"/>
            <w:tcMar>
              <w:left w:w="108" w:type="dxa"/>
            </w:tcMar>
          </w:tcPr>
          <w:p>
            <w:pPr>
              <w:pStyle w:val="Normal"/>
              <w:spacing w:lineRule="auto" w:line="240" w:before="0" w:after="0"/>
              <w:jc w:val="center"/>
              <w:rPr>
                <w:rFonts w:ascii="Arial" w:hAnsi="Arial" w:cs="Arial"/>
                <w:sz w:val="18"/>
                <w:szCs w:val="18"/>
              </w:rPr>
            </w:pPr>
            <w:r>
              <w:rPr>
                <w:rFonts w:cs="Arial" w:ascii="Arial" w:hAnsi="Arial"/>
                <w:b/>
                <w:sz w:val="18"/>
                <w:szCs w:val="18"/>
              </w:rPr>
              <w:t>CH total</w:t>
            </w:r>
          </w:p>
        </w:tc>
      </w:tr>
      <w:tr>
        <w:trPr>
          <w:trHeight w:val="284" w:hRule="atLeast"/>
        </w:trPr>
        <w:tc>
          <w:tcPr>
            <w:tcW w:w="97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BHU188</w:t>
            </w:r>
          </w:p>
        </w:tc>
        <w:tc>
          <w:tcPr>
            <w:tcW w:w="384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Introdução aos Estudos Históricos</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Introdução aos Estudos Históricos</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BHU190</w:t>
            </w:r>
          </w:p>
        </w:tc>
        <w:tc>
          <w:tcPr>
            <w:tcW w:w="384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Arte e Cultura</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3984" w:type="dxa"/>
            <w:gridSpan w:val="2"/>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História, Arte e Cultura</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rPr>
                <w:rFonts w:ascii="Arial" w:hAnsi="Arial" w:cs="Arial"/>
                <w:bCs/>
                <w:color w:val="000000"/>
                <w:sz w:val="20"/>
                <w:szCs w:val="20"/>
              </w:rPr>
            </w:pPr>
            <w:r>
              <w:rPr>
                <w:rFonts w:cs="Arial" w:ascii="Arial" w:hAnsi="Arial"/>
                <w:bCs/>
                <w:color w:val="000000"/>
                <w:sz w:val="20"/>
                <w:szCs w:val="20"/>
              </w:rPr>
              <w:t>BHU081</w:t>
            </w:r>
          </w:p>
        </w:tc>
        <w:tc>
          <w:tcPr>
            <w:tcW w:w="3842" w:type="dxa"/>
            <w:tcBorders/>
            <w:shd w:fill="auto" w:val="clear"/>
            <w:tcMar>
              <w:left w:w="108" w:type="dxa"/>
            </w:tcMar>
          </w:tcPr>
          <w:p>
            <w:pPr>
              <w:pStyle w:val="Normal"/>
              <w:spacing w:lineRule="auto" w:line="240" w:before="0" w:after="0"/>
              <w:rPr>
                <w:rFonts w:ascii="Arial" w:hAnsi="Arial" w:cs="Arial"/>
                <w:bCs/>
                <w:color w:val="000000"/>
                <w:sz w:val="20"/>
                <w:szCs w:val="20"/>
              </w:rPr>
            </w:pPr>
            <w:r>
              <w:rPr>
                <w:rFonts w:cs="Arial" w:ascii="Arial" w:hAnsi="Arial"/>
                <w:bCs/>
                <w:color w:val="000000"/>
                <w:sz w:val="20"/>
                <w:szCs w:val="20"/>
              </w:rPr>
              <w:t xml:space="preserve">Direitos Humanos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3984" w:type="dxa"/>
            <w:gridSpan w:val="2"/>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bCs/>
                <w:color w:val="000000"/>
                <w:sz w:val="20"/>
                <w:szCs w:val="20"/>
              </w:rPr>
              <w:t>Direitos Humanos e Cidadania</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rPr>
                <w:rFonts w:ascii="Arial" w:hAnsi="Arial" w:cs="Arial"/>
                <w:bCs/>
                <w:color w:val="000000"/>
                <w:sz w:val="20"/>
                <w:szCs w:val="20"/>
              </w:rPr>
            </w:pPr>
            <w:r>
              <w:rPr>
                <w:rFonts w:cs="Arial" w:ascii="Arial" w:hAnsi="Arial"/>
                <w:color w:val="000000"/>
                <w:sz w:val="20"/>
                <w:szCs w:val="20"/>
              </w:rPr>
              <w:t>BHU129</w:t>
            </w:r>
          </w:p>
        </w:tc>
        <w:tc>
          <w:tcPr>
            <w:tcW w:w="3842" w:type="dxa"/>
            <w:tcBorders/>
            <w:shd w:fill="auto" w:val="clear"/>
            <w:tcMar>
              <w:left w:w="108" w:type="dxa"/>
            </w:tcMar>
          </w:tcPr>
          <w:p>
            <w:pPr>
              <w:pStyle w:val="Normal"/>
              <w:spacing w:lineRule="auto" w:line="240" w:before="0" w:after="0"/>
              <w:rPr>
                <w:rFonts w:ascii="Arial" w:hAnsi="Arial" w:cs="Arial"/>
                <w:bCs/>
                <w:color w:val="000000"/>
                <w:sz w:val="20"/>
                <w:szCs w:val="20"/>
              </w:rPr>
            </w:pPr>
            <w:r>
              <w:rPr>
                <w:rFonts w:cs="Arial" w:ascii="Arial" w:hAnsi="Arial"/>
                <w:sz w:val="20"/>
                <w:szCs w:val="20"/>
              </w:rPr>
              <w:t>Formadores do Brasil</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3984" w:type="dxa"/>
            <w:gridSpan w:val="2"/>
            <w:tcBorders/>
            <w:shd w:fill="auto" w:val="clear"/>
            <w:tcMar>
              <w:left w:w="108" w:type="dxa"/>
            </w:tcMar>
          </w:tcPr>
          <w:p>
            <w:pPr>
              <w:pStyle w:val="Normal"/>
              <w:spacing w:lineRule="auto" w:line="240" w:before="0" w:after="0"/>
              <w:rPr>
                <w:rFonts w:ascii="Arial" w:hAnsi="Arial" w:cs="Arial"/>
                <w:bCs/>
                <w:color w:val="000000"/>
                <w:sz w:val="20"/>
                <w:szCs w:val="20"/>
              </w:rPr>
            </w:pPr>
            <w:r>
              <w:rPr>
                <w:rFonts w:cs="Arial" w:ascii="Arial" w:hAnsi="Arial"/>
                <w:sz w:val="20"/>
                <w:szCs w:val="20"/>
              </w:rPr>
              <w:t>Formadores do Brasil</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BHU191 </w:t>
            </w:r>
          </w:p>
        </w:tc>
        <w:tc>
          <w:tcPr>
            <w:tcW w:w="384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História, Memória e Patrimônio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3984" w:type="dxa"/>
            <w:gridSpan w:val="2"/>
            <w:tcBorders/>
            <w:shd w:fill="auto" w:val="clear"/>
            <w:tcMar>
              <w:left w:w="108" w:type="dxa"/>
            </w:tcMar>
          </w:tcPr>
          <w:p>
            <w:pPr>
              <w:pStyle w:val="Normal"/>
              <w:spacing w:lineRule="auto" w:line="240" w:before="0" w:after="0"/>
              <w:rPr>
                <w:rFonts w:ascii="Arial" w:hAnsi="Arial" w:cs="Arial"/>
                <w:sz w:val="20"/>
                <w:szCs w:val="20"/>
              </w:rPr>
            </w:pPr>
            <w:r>
              <w:rPr>
                <w:rFonts w:cs="Arial" w:ascii="Arial" w:hAnsi="Arial"/>
                <w:sz w:val="20"/>
                <w:szCs w:val="20"/>
              </w:rPr>
              <w:t xml:space="preserve">História, Memória e Patrimônio </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BHU098 </w:t>
            </w:r>
          </w:p>
        </w:tc>
        <w:tc>
          <w:tcPr>
            <w:tcW w:w="384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Intérpretes contemporâneos do Brasil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3984" w:type="dxa"/>
            <w:gridSpan w:val="2"/>
            <w:tcBorders/>
            <w:shd w:fill="auto" w:val="clear"/>
            <w:tcMar>
              <w:left w:w="108" w:type="dxa"/>
            </w:tcMar>
          </w:tcPr>
          <w:p>
            <w:pPr>
              <w:pStyle w:val="Normal"/>
              <w:spacing w:lineRule="auto" w:line="240" w:before="0" w:after="0"/>
              <w:rPr>
                <w:rFonts w:ascii="Arial" w:hAnsi="Arial" w:cs="Arial"/>
                <w:sz w:val="20"/>
                <w:szCs w:val="20"/>
              </w:rPr>
            </w:pPr>
            <w:r>
              <w:rPr>
                <w:rFonts w:cs="Arial" w:ascii="Arial" w:hAnsi="Arial"/>
                <w:sz w:val="20"/>
                <w:szCs w:val="20"/>
              </w:rPr>
              <w:t xml:space="preserve">Intérpretes contemporâneos do Brasil </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color w:val="000000"/>
                <w:sz w:val="20"/>
                <w:szCs w:val="20"/>
              </w:rPr>
              <w:t>BHU116</w:t>
            </w:r>
          </w:p>
        </w:tc>
        <w:tc>
          <w:tcPr>
            <w:tcW w:w="3842" w:type="dxa"/>
            <w:tcBorders/>
            <w:shd w:fill="auto" w:val="clear"/>
            <w:tcMar>
              <w:left w:w="108" w:type="dxa"/>
            </w:tcMar>
          </w:tcPr>
          <w:p>
            <w:pPr>
              <w:pStyle w:val="Normal"/>
              <w:spacing w:lineRule="auto" w:line="240" w:before="0" w:after="0"/>
              <w:rPr>
                <w:rFonts w:ascii="Arial" w:hAnsi="Arial" w:cs="Arial"/>
                <w:sz w:val="20"/>
                <w:szCs w:val="20"/>
              </w:rPr>
            </w:pPr>
            <w:r>
              <w:rPr>
                <w:rFonts w:cs="Arial" w:ascii="Arial" w:hAnsi="Arial"/>
                <w:sz w:val="20"/>
                <w:szCs w:val="20"/>
              </w:rPr>
              <w:t>Oficina de Texto em Língua Portuguesa</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3984" w:type="dxa"/>
            <w:gridSpan w:val="2"/>
            <w:tcBorders/>
            <w:shd w:fill="auto" w:val="clear"/>
            <w:tcMar>
              <w:left w:w="108" w:type="dxa"/>
            </w:tcMar>
          </w:tcPr>
          <w:p>
            <w:pPr>
              <w:pStyle w:val="Normal"/>
              <w:spacing w:lineRule="auto" w:line="240" w:before="0" w:after="0"/>
              <w:rPr>
                <w:rFonts w:ascii="Arial" w:hAnsi="Arial" w:cs="Arial"/>
                <w:sz w:val="20"/>
                <w:szCs w:val="20"/>
              </w:rPr>
            </w:pPr>
            <w:r>
              <w:rPr>
                <w:rFonts w:cs="Arial" w:ascii="Arial" w:hAnsi="Arial"/>
                <w:sz w:val="20"/>
                <w:szCs w:val="20"/>
              </w:rPr>
              <w:t>Oficina de Texto Acadêmico</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r>
      <w:tr>
        <w:trPr>
          <w:trHeight w:val="284" w:hRule="atLeast"/>
        </w:trPr>
        <w:tc>
          <w:tcPr>
            <w:tcW w:w="97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BHU107 </w:t>
            </w:r>
          </w:p>
        </w:tc>
        <w:tc>
          <w:tcPr>
            <w:tcW w:w="384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Política e o Estado Brasileiro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3984" w:type="dxa"/>
            <w:gridSpan w:val="2"/>
            <w:tcBorders/>
            <w:shd w:fill="auto" w:val="clear"/>
            <w:tcMar>
              <w:left w:w="108" w:type="dxa"/>
            </w:tcMar>
          </w:tcPr>
          <w:p>
            <w:pPr>
              <w:pStyle w:val="Normal"/>
              <w:spacing w:lineRule="auto" w:line="240" w:before="0" w:after="0"/>
              <w:rPr>
                <w:rFonts w:ascii="Arial" w:hAnsi="Arial" w:cs="Arial"/>
                <w:sz w:val="20"/>
                <w:szCs w:val="20"/>
              </w:rPr>
            </w:pPr>
            <w:r>
              <w:rPr>
                <w:rFonts w:cs="Arial" w:ascii="Arial" w:hAnsi="Arial"/>
                <w:sz w:val="20"/>
                <w:szCs w:val="20"/>
              </w:rPr>
              <w:t xml:space="preserve">Política e o Estado Brasileiro </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rPr>
                <w:rFonts w:ascii="Arial" w:hAnsi="Arial" w:cs="Arial"/>
                <w:bCs/>
                <w:color w:val="000000"/>
                <w:sz w:val="20"/>
                <w:szCs w:val="20"/>
              </w:rPr>
            </w:pPr>
            <w:r>
              <w:rPr>
                <w:rFonts w:cs="Arial" w:ascii="Arial" w:hAnsi="Arial"/>
                <w:bCs/>
                <w:color w:val="000000"/>
                <w:sz w:val="20"/>
                <w:szCs w:val="20"/>
              </w:rPr>
              <w:t xml:space="preserve">BHU088 </w:t>
            </w:r>
          </w:p>
        </w:tc>
        <w:tc>
          <w:tcPr>
            <w:tcW w:w="3842" w:type="dxa"/>
            <w:tcBorders/>
            <w:shd w:fill="auto" w:val="clear"/>
            <w:tcMar>
              <w:left w:w="108" w:type="dxa"/>
            </w:tcMar>
          </w:tcPr>
          <w:p>
            <w:pPr>
              <w:pStyle w:val="Normal"/>
              <w:spacing w:lineRule="auto" w:line="240" w:before="0" w:after="0"/>
              <w:rPr>
                <w:rFonts w:ascii="Arial" w:hAnsi="Arial" w:cs="Arial"/>
                <w:bCs/>
                <w:color w:val="000000"/>
                <w:sz w:val="20"/>
                <w:szCs w:val="20"/>
              </w:rPr>
            </w:pPr>
            <w:r>
              <w:rPr>
                <w:rFonts w:cs="Arial" w:ascii="Arial" w:hAnsi="Arial"/>
                <w:bCs/>
                <w:color w:val="000000"/>
                <w:sz w:val="20"/>
                <w:szCs w:val="20"/>
              </w:rPr>
              <w:t xml:space="preserve">Sociedade e Economia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3984" w:type="dxa"/>
            <w:gridSpan w:val="2"/>
            <w:tcBorders/>
            <w:shd w:fill="auto" w:val="clear"/>
            <w:tcMar>
              <w:left w:w="108" w:type="dxa"/>
            </w:tcMar>
          </w:tcPr>
          <w:p>
            <w:pPr>
              <w:pStyle w:val="Normal"/>
              <w:spacing w:lineRule="auto" w:line="240" w:before="0" w:after="0"/>
              <w:rPr>
                <w:rFonts w:ascii="Arial" w:hAnsi="Arial" w:cs="Arial"/>
                <w:bCs/>
                <w:sz w:val="20"/>
                <w:szCs w:val="20"/>
              </w:rPr>
            </w:pPr>
            <w:r>
              <w:rPr>
                <w:rFonts w:cs="Arial" w:ascii="Arial" w:hAnsi="Arial"/>
                <w:bCs/>
                <w:sz w:val="20"/>
                <w:szCs w:val="20"/>
              </w:rPr>
              <w:t xml:space="preserve">Sociedade e Economia </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BHU523 </w:t>
            </w:r>
          </w:p>
        </w:tc>
        <w:tc>
          <w:tcPr>
            <w:tcW w:w="384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Tópicos Especiais em História Antiga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3984" w:type="dxa"/>
            <w:gridSpan w:val="2"/>
            <w:tcBorders/>
            <w:shd w:fill="auto" w:val="clear"/>
            <w:tcMar>
              <w:left w:w="108" w:type="dxa"/>
            </w:tcMar>
          </w:tcPr>
          <w:p>
            <w:pPr>
              <w:pStyle w:val="Normal"/>
              <w:spacing w:lineRule="auto" w:line="240" w:before="0" w:after="0"/>
              <w:rPr>
                <w:rFonts w:ascii="Arial" w:hAnsi="Arial" w:cs="Arial"/>
                <w:sz w:val="20"/>
                <w:szCs w:val="20"/>
              </w:rPr>
            </w:pPr>
            <w:r>
              <w:rPr>
                <w:rFonts w:cs="Arial" w:ascii="Arial" w:hAnsi="Arial"/>
                <w:sz w:val="20"/>
                <w:szCs w:val="20"/>
              </w:rPr>
              <w:t xml:space="preserve">Tópicos Especiais em História Antiga </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BHU524 </w:t>
            </w:r>
          </w:p>
        </w:tc>
        <w:tc>
          <w:tcPr>
            <w:tcW w:w="3842" w:type="dxa"/>
            <w:tcBorders/>
            <w:shd w:fill="auto" w:val="clear"/>
            <w:tcMar>
              <w:left w:w="108" w:type="dxa"/>
            </w:tcMar>
          </w:tcPr>
          <w:p>
            <w:pPr>
              <w:pStyle w:val="Normal"/>
              <w:spacing w:lineRule="auto" w:line="240" w:before="0" w:after="0"/>
              <w:rPr>
                <w:rFonts w:ascii="Arial" w:hAnsi="Arial" w:cs="Arial"/>
                <w:color w:val="000000"/>
                <w:sz w:val="19"/>
                <w:szCs w:val="19"/>
              </w:rPr>
            </w:pPr>
            <w:r>
              <w:rPr>
                <w:rFonts w:cs="Arial" w:ascii="Arial" w:hAnsi="Arial"/>
                <w:color w:val="000000"/>
                <w:sz w:val="19"/>
                <w:szCs w:val="19"/>
              </w:rPr>
              <w:t xml:space="preserve">Tópicos Especiais em H Contemporânea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3984" w:type="dxa"/>
            <w:gridSpan w:val="2"/>
            <w:tcBorders/>
            <w:shd w:fill="auto" w:val="clear"/>
            <w:tcMar>
              <w:left w:w="108" w:type="dxa"/>
            </w:tcMar>
          </w:tcPr>
          <w:p>
            <w:pPr>
              <w:pStyle w:val="Normal"/>
              <w:spacing w:lineRule="auto" w:line="240" w:before="0" w:after="0"/>
              <w:rPr>
                <w:rFonts w:ascii="Arial" w:hAnsi="Arial" w:cs="Arial"/>
                <w:sz w:val="18"/>
                <w:szCs w:val="18"/>
              </w:rPr>
            </w:pPr>
            <w:r>
              <w:rPr>
                <w:rFonts w:cs="Arial" w:ascii="Arial" w:hAnsi="Arial"/>
                <w:sz w:val="18"/>
                <w:szCs w:val="18"/>
              </w:rPr>
              <w:t xml:space="preserve">Tópicos Especiais em História Contemporânea </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BHU525 </w:t>
            </w:r>
          </w:p>
        </w:tc>
        <w:tc>
          <w:tcPr>
            <w:tcW w:w="384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Tópicos Especiais em Hist. da América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3984" w:type="dxa"/>
            <w:gridSpan w:val="2"/>
            <w:tcBorders/>
            <w:shd w:fill="auto" w:val="clear"/>
            <w:tcMar>
              <w:left w:w="108" w:type="dxa"/>
            </w:tcMar>
          </w:tcPr>
          <w:p>
            <w:pPr>
              <w:pStyle w:val="Normal"/>
              <w:spacing w:lineRule="auto" w:line="240" w:before="0" w:after="0"/>
              <w:rPr>
                <w:rFonts w:ascii="Arial" w:hAnsi="Arial" w:cs="Arial"/>
                <w:sz w:val="18"/>
                <w:szCs w:val="18"/>
              </w:rPr>
            </w:pPr>
            <w:r>
              <w:rPr>
                <w:rFonts w:cs="Arial" w:ascii="Arial" w:hAnsi="Arial"/>
                <w:sz w:val="18"/>
                <w:szCs w:val="18"/>
              </w:rPr>
              <w:t xml:space="preserve">Tópicos Especiais em História da América </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BHU528 </w:t>
            </w:r>
          </w:p>
        </w:tc>
        <w:tc>
          <w:tcPr>
            <w:tcW w:w="384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Tópicos Especiais em História do Brasil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3984" w:type="dxa"/>
            <w:gridSpan w:val="2"/>
            <w:tcBorders/>
            <w:shd w:fill="auto" w:val="clear"/>
            <w:tcMar>
              <w:left w:w="108" w:type="dxa"/>
            </w:tcMar>
          </w:tcPr>
          <w:p>
            <w:pPr>
              <w:pStyle w:val="Normal"/>
              <w:spacing w:lineRule="auto" w:line="240" w:before="0" w:after="0"/>
              <w:rPr>
                <w:rFonts w:ascii="Arial" w:hAnsi="Arial" w:cs="Arial"/>
                <w:sz w:val="18"/>
                <w:szCs w:val="18"/>
              </w:rPr>
            </w:pPr>
            <w:r>
              <w:rPr>
                <w:rFonts w:cs="Arial" w:ascii="Arial" w:hAnsi="Arial"/>
                <w:sz w:val="18"/>
                <w:szCs w:val="18"/>
              </w:rPr>
              <w:t xml:space="preserve">Tópicos Especiais em História do Brasil </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BHU526 </w:t>
            </w:r>
          </w:p>
        </w:tc>
        <w:tc>
          <w:tcPr>
            <w:tcW w:w="384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Tópicos Especiais em História Medieval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3984" w:type="dxa"/>
            <w:gridSpan w:val="2"/>
            <w:tcBorders/>
            <w:shd w:fill="auto" w:val="clear"/>
            <w:tcMar>
              <w:left w:w="108" w:type="dxa"/>
            </w:tcMar>
          </w:tcPr>
          <w:p>
            <w:pPr>
              <w:pStyle w:val="Normal"/>
              <w:spacing w:lineRule="auto" w:line="240" w:before="0" w:after="0"/>
              <w:rPr>
                <w:rFonts w:ascii="Arial" w:hAnsi="Arial" w:cs="Arial"/>
                <w:sz w:val="18"/>
                <w:szCs w:val="18"/>
              </w:rPr>
            </w:pPr>
            <w:r>
              <w:rPr>
                <w:rFonts w:cs="Arial" w:ascii="Arial" w:hAnsi="Arial"/>
                <w:sz w:val="18"/>
                <w:szCs w:val="18"/>
              </w:rPr>
              <w:t xml:space="preserve">Tópicos Especiais em História Medieval </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BHU527 </w:t>
            </w:r>
          </w:p>
        </w:tc>
        <w:tc>
          <w:tcPr>
            <w:tcW w:w="384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Tópicos Especiais em História Moderna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3984" w:type="dxa"/>
            <w:gridSpan w:val="2"/>
            <w:tcBorders/>
            <w:shd w:fill="auto" w:val="clear"/>
            <w:tcMar>
              <w:left w:w="108" w:type="dxa"/>
            </w:tcMar>
          </w:tcPr>
          <w:p>
            <w:pPr>
              <w:pStyle w:val="Normal"/>
              <w:spacing w:lineRule="auto" w:line="240" w:before="0" w:after="0"/>
              <w:rPr>
                <w:rFonts w:ascii="Arial" w:hAnsi="Arial" w:cs="Arial"/>
                <w:sz w:val="18"/>
                <w:szCs w:val="18"/>
              </w:rPr>
            </w:pPr>
            <w:r>
              <w:rPr>
                <w:rFonts w:cs="Arial" w:ascii="Arial" w:hAnsi="Arial"/>
                <w:sz w:val="18"/>
                <w:szCs w:val="18"/>
              </w:rPr>
              <w:t xml:space="preserve">Tópicos Especiais em História Moderna </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BHU530 </w:t>
            </w:r>
          </w:p>
        </w:tc>
        <w:tc>
          <w:tcPr>
            <w:tcW w:w="384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Tópicos Especiais em Teoria da História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E</w:t>
            </w:r>
          </w:p>
        </w:tc>
        <w:tc>
          <w:tcPr>
            <w:tcW w:w="3984" w:type="dxa"/>
            <w:gridSpan w:val="2"/>
            <w:tcBorders/>
            <w:shd w:fill="auto" w:val="clear"/>
            <w:tcMar>
              <w:left w:w="108" w:type="dxa"/>
            </w:tcMar>
          </w:tcPr>
          <w:p>
            <w:pPr>
              <w:pStyle w:val="Normal"/>
              <w:spacing w:lineRule="auto" w:line="240" w:before="0" w:after="0"/>
              <w:rPr>
                <w:rFonts w:ascii="Arial" w:hAnsi="Arial" w:cs="Arial"/>
                <w:sz w:val="18"/>
                <w:szCs w:val="18"/>
              </w:rPr>
            </w:pPr>
            <w:r>
              <w:rPr>
                <w:rFonts w:cs="Arial" w:ascii="Arial" w:hAnsi="Arial"/>
                <w:sz w:val="18"/>
                <w:szCs w:val="18"/>
              </w:rPr>
              <w:t xml:space="preserve">Tópicos Especiais em Teoria da História </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BHU515</w:t>
            </w:r>
          </w:p>
        </w:tc>
        <w:tc>
          <w:tcPr>
            <w:tcW w:w="3842" w:type="dxa"/>
            <w:tcBorders/>
            <w:shd w:fill="auto" w:val="clear"/>
            <w:tcMar>
              <w:left w:w="10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História Antiga</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fill="auto" w:val="clear"/>
            <w:tcMar>
              <w:left w:w="108" w:type="dxa"/>
            </w:tcMar>
          </w:tcPr>
          <w:p>
            <w:pPr>
              <w:pStyle w:val="Normal"/>
              <w:spacing w:lineRule="auto" w:line="240" w:before="0" w:after="0"/>
              <w:rPr>
                <w:rFonts w:ascii="Arial" w:hAnsi="Arial" w:cs="Arial"/>
                <w:sz w:val="18"/>
                <w:szCs w:val="18"/>
              </w:rPr>
            </w:pPr>
            <w:r>
              <w:rPr>
                <w:rFonts w:cs="Arial" w:ascii="Arial" w:hAnsi="Arial"/>
                <w:sz w:val="18"/>
                <w:szCs w:val="18"/>
              </w:rPr>
              <w:t>História Antiga</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BHU516</w:t>
            </w:r>
          </w:p>
        </w:tc>
        <w:tc>
          <w:tcPr>
            <w:tcW w:w="384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 xml:space="preserve">História da África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 xml:space="preserve">História da África </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color="auto"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BHU519</w:t>
            </w:r>
          </w:p>
        </w:tc>
        <w:tc>
          <w:tcPr>
            <w:tcW w:w="3842" w:type="dxa"/>
            <w:tcBorders/>
            <w:shd w:color="auto"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História Medieval</w:t>
            </w:r>
          </w:p>
        </w:tc>
        <w:tc>
          <w:tcPr>
            <w:tcW w:w="992"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color="auto"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História Medieval</w:t>
            </w:r>
          </w:p>
        </w:tc>
        <w:tc>
          <w:tcPr>
            <w:tcW w:w="952"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84"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color="auto"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BHU520</w:t>
            </w:r>
          </w:p>
        </w:tc>
        <w:tc>
          <w:tcPr>
            <w:tcW w:w="3842" w:type="dxa"/>
            <w:tcBorders/>
            <w:shd w:color="auto"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 xml:space="preserve">Metodologia e Teoria da História I </w:t>
            </w:r>
          </w:p>
        </w:tc>
        <w:tc>
          <w:tcPr>
            <w:tcW w:w="992"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color="auto"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Teoria da História</w:t>
            </w:r>
          </w:p>
        </w:tc>
        <w:tc>
          <w:tcPr>
            <w:tcW w:w="952"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84"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color="auto"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BHU522</w:t>
            </w:r>
          </w:p>
        </w:tc>
        <w:tc>
          <w:tcPr>
            <w:tcW w:w="3842" w:type="dxa"/>
            <w:tcBorders/>
            <w:shd w:color="auto"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História Regional</w:t>
            </w:r>
          </w:p>
        </w:tc>
        <w:tc>
          <w:tcPr>
            <w:tcW w:w="992"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850" w:type="dxa"/>
            <w:gridSpan w:val="2"/>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708" w:type="dxa"/>
            <w:tcBorders>
              <w:right w:val="single" w:sz="4" w:space="0" w:color="FF0000"/>
              <w:insideV w:val="single" w:sz="4" w:space="0" w:color="FF0000"/>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color="auto"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História de Minas</w:t>
            </w:r>
          </w:p>
        </w:tc>
        <w:tc>
          <w:tcPr>
            <w:tcW w:w="952"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84"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r>
      <w:tr>
        <w:trPr>
          <w:trHeight w:val="284" w:hRule="atLeast"/>
        </w:trPr>
        <w:tc>
          <w:tcPr>
            <w:tcW w:w="972" w:type="dxa"/>
            <w:tcBorders/>
            <w:shd w:color="auto"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HST543</w:t>
            </w:r>
          </w:p>
        </w:tc>
        <w:tc>
          <w:tcPr>
            <w:tcW w:w="3842" w:type="dxa"/>
            <w:tcBorders/>
            <w:shd w:color="auto" w:fill="auto" w:val="clear"/>
            <w:tcMar>
              <w:left w:w="108" w:type="dxa"/>
            </w:tcMar>
          </w:tcPr>
          <w:p>
            <w:pPr>
              <w:pStyle w:val="Normal"/>
              <w:spacing w:lineRule="auto" w:line="240" w:before="0" w:after="0"/>
              <w:rPr>
                <w:rFonts w:ascii="Arial" w:hAnsi="Arial" w:cs="Arial"/>
                <w:sz w:val="20"/>
                <w:szCs w:val="20"/>
              </w:rPr>
            </w:pPr>
            <w:r>
              <w:rPr>
                <w:rFonts w:cs="Arial" w:ascii="Arial" w:hAnsi="Arial"/>
                <w:sz w:val="20"/>
                <w:szCs w:val="20"/>
              </w:rPr>
              <w:t>Prática de Ensino de História I</w:t>
            </w:r>
          </w:p>
        </w:tc>
        <w:tc>
          <w:tcPr>
            <w:tcW w:w="992"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850" w:type="dxa"/>
            <w:gridSpan w:val="2"/>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708" w:type="dxa"/>
            <w:tcBorders>
              <w:right w:val="single" w:sz="4" w:space="0" w:color="FF0000"/>
              <w:insideV w:val="single" w:sz="4" w:space="0" w:color="FF0000"/>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color="auto" w:fill="auto" w:val="clear"/>
            <w:tcMar>
              <w:left w:w="108" w:type="dxa"/>
            </w:tcMar>
            <w:vAlign w:val="center"/>
          </w:tcPr>
          <w:p>
            <w:pPr>
              <w:pStyle w:val="Normal"/>
              <w:spacing w:lineRule="auto" w:line="240" w:before="0" w:after="0"/>
              <w:jc w:val="both"/>
              <w:rPr>
                <w:rFonts w:ascii="Arial" w:hAnsi="Arial" w:eastAsia="Times New Roman" w:cs="Arial"/>
                <w:sz w:val="20"/>
                <w:szCs w:val="20"/>
                <w:lang w:eastAsia="pt-BR"/>
              </w:rPr>
            </w:pPr>
            <w:r>
              <w:rPr>
                <w:rFonts w:eastAsia="Times New Roman" w:cs="Arial" w:ascii="Arial" w:hAnsi="Arial"/>
                <w:sz w:val="20"/>
                <w:szCs w:val="20"/>
                <w:lang w:eastAsia="pt-BR"/>
              </w:rPr>
              <w:t>LEH: Memória, Patrimônio e Edu. Histórica</w:t>
            </w:r>
          </w:p>
        </w:tc>
        <w:tc>
          <w:tcPr>
            <w:tcW w:w="952"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884"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665"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color="auto"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HST546</w:t>
            </w:r>
          </w:p>
        </w:tc>
        <w:tc>
          <w:tcPr>
            <w:tcW w:w="3842" w:type="dxa"/>
            <w:tcBorders/>
            <w:shd w:color="auto"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 xml:space="preserve">Prática de Ensino de história II </w:t>
            </w:r>
          </w:p>
        </w:tc>
        <w:tc>
          <w:tcPr>
            <w:tcW w:w="992"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850" w:type="dxa"/>
            <w:gridSpan w:val="2"/>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708" w:type="dxa"/>
            <w:tcBorders>
              <w:right w:val="single" w:sz="4" w:space="0" w:color="FF0000"/>
              <w:insideV w:val="single" w:sz="4" w:space="0" w:color="FF0000"/>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color="auto" w:fill="auto" w:val="clear"/>
            <w:tcMar>
              <w:left w:w="108" w:type="dxa"/>
            </w:tcMar>
          </w:tcPr>
          <w:p>
            <w:pPr>
              <w:pStyle w:val="Normal"/>
              <w:spacing w:lineRule="auto" w:line="240" w:before="0" w:after="0"/>
              <w:jc w:val="both"/>
              <w:rPr>
                <w:rFonts w:ascii="Arial" w:hAnsi="Arial" w:cs="Arial"/>
                <w:sz w:val="20"/>
                <w:szCs w:val="20"/>
              </w:rPr>
            </w:pPr>
            <w:r>
              <w:rPr>
                <w:rFonts w:eastAsia="Times New Roman" w:cs="Arial" w:ascii="Arial" w:hAnsi="Arial"/>
                <w:bCs/>
                <w:sz w:val="20"/>
                <w:szCs w:val="20"/>
                <w:lang w:eastAsia="pt-BR"/>
              </w:rPr>
              <w:t>LEH</w:t>
            </w:r>
            <w:r>
              <w:rPr>
                <w:rFonts w:eastAsia="Times New Roman" w:cs="Arial" w:ascii="Arial" w:hAnsi="Arial"/>
                <w:sz w:val="20"/>
                <w:szCs w:val="20"/>
                <w:lang w:eastAsia="pt-BR"/>
              </w:rPr>
              <w:t>: Produção de Material Didático</w:t>
            </w:r>
          </w:p>
        </w:tc>
        <w:tc>
          <w:tcPr>
            <w:tcW w:w="952"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884"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665"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color="auto"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HST534</w:t>
            </w:r>
          </w:p>
        </w:tc>
        <w:tc>
          <w:tcPr>
            <w:tcW w:w="3842" w:type="dxa"/>
            <w:tcBorders/>
            <w:shd w:color="auto"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 xml:space="preserve">História Moderna </w:t>
            </w:r>
          </w:p>
        </w:tc>
        <w:tc>
          <w:tcPr>
            <w:tcW w:w="992"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50" w:type="dxa"/>
            <w:gridSpan w:val="2"/>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708" w:type="dxa"/>
            <w:tcBorders>
              <w:right w:val="single" w:sz="4" w:space="0" w:color="FF0000"/>
              <w:insideV w:val="single" w:sz="4" w:space="0" w:color="FF0000"/>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color="auto"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 xml:space="preserve">História Moderna </w:t>
            </w:r>
          </w:p>
        </w:tc>
        <w:tc>
          <w:tcPr>
            <w:tcW w:w="952"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84"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665" w:type="dxa"/>
            <w:tcBorders/>
            <w:shd w:color="auto"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HST533</w:t>
            </w:r>
          </w:p>
        </w:tc>
        <w:tc>
          <w:tcPr>
            <w:tcW w:w="384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 xml:space="preserve">História do Brasil I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História da América Portuguesa</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HST538</w:t>
            </w:r>
          </w:p>
        </w:tc>
        <w:tc>
          <w:tcPr>
            <w:tcW w:w="384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História do Brasil II</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História do Brasil Monárquico</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HST542</w:t>
            </w:r>
          </w:p>
        </w:tc>
        <w:tc>
          <w:tcPr>
            <w:tcW w:w="384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 xml:space="preserve">História do Brasil III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História do Brasil Republicano</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HST545</w:t>
            </w:r>
          </w:p>
        </w:tc>
        <w:tc>
          <w:tcPr>
            <w:tcW w:w="384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História do Brasil IV</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História do Brasil Contemporâneo</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HST532</w:t>
            </w:r>
          </w:p>
        </w:tc>
        <w:tc>
          <w:tcPr>
            <w:tcW w:w="384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História da América II</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História da América Colonial</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HST537</w:t>
            </w:r>
          </w:p>
        </w:tc>
        <w:tc>
          <w:tcPr>
            <w:tcW w:w="384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 xml:space="preserve">História da América III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História da América Independente</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HST541</w:t>
            </w:r>
          </w:p>
        </w:tc>
        <w:tc>
          <w:tcPr>
            <w:tcW w:w="384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 xml:space="preserve">História da América IV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História da América Contemporânea</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HST536</w:t>
            </w:r>
          </w:p>
        </w:tc>
        <w:tc>
          <w:tcPr>
            <w:tcW w:w="384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 xml:space="preserve">História Contemporânea I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História Contemporânea no século XIX</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HST540</w:t>
            </w:r>
          </w:p>
        </w:tc>
        <w:tc>
          <w:tcPr>
            <w:tcW w:w="384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 xml:space="preserve">História contemporânea II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História Contemp. nos séculos XX e XXI</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LIC101</w:t>
            </w:r>
          </w:p>
        </w:tc>
        <w:tc>
          <w:tcPr>
            <w:tcW w:w="384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 xml:space="preserve">Didática Fundamental </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Didática</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LIC102</w:t>
            </w:r>
          </w:p>
        </w:tc>
        <w:tc>
          <w:tcPr>
            <w:tcW w:w="384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Psicologia da Educação</w:t>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Psicologia da Educação</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r>
      <w:tr>
        <w:trPr>
          <w:trHeight w:val="284" w:hRule="atLeast"/>
        </w:trPr>
        <w:tc>
          <w:tcPr>
            <w:tcW w:w="97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LPI634</w:t>
            </w:r>
          </w:p>
        </w:tc>
        <w:tc>
          <w:tcPr>
            <w:tcW w:w="384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Fundamentos de Libras</w:t>
            </w:r>
            <w:r>
              <w:rPr>
                <w:rStyle w:val="Ncoradanotaderodap"/>
                <w:rFonts w:cs="Arial" w:ascii="Arial" w:hAnsi="Arial"/>
                <w:sz w:val="20"/>
                <w:szCs w:val="20"/>
              </w:rPr>
              <w:footnoteReference w:id="8"/>
            </w:r>
          </w:p>
        </w:tc>
        <w:tc>
          <w:tcPr>
            <w:tcW w:w="99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50" w:type="dxa"/>
            <w:gridSpan w:val="2"/>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15</w:t>
            </w:r>
          </w:p>
        </w:tc>
        <w:tc>
          <w:tcPr>
            <w:tcW w:w="708" w:type="dxa"/>
            <w:tcBorders>
              <w:right w:val="single" w:sz="4" w:space="0" w:color="FF0000"/>
              <w:insideV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75</w:t>
            </w:r>
          </w:p>
        </w:tc>
        <w:tc>
          <w:tcPr>
            <w:tcW w:w="709" w:type="dxa"/>
            <w:tcBorders>
              <w:left w:val="single" w:sz="4" w:space="0" w:color="FF0000"/>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OB</w:t>
            </w:r>
          </w:p>
        </w:tc>
        <w:tc>
          <w:tcPr>
            <w:tcW w:w="3984" w:type="dxa"/>
            <w:gridSpan w:val="2"/>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t>Língua Brasileira de Sinais</w:t>
            </w:r>
          </w:p>
        </w:tc>
        <w:tc>
          <w:tcPr>
            <w:tcW w:w="952"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c>
          <w:tcPr>
            <w:tcW w:w="884"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0</w:t>
            </w:r>
          </w:p>
        </w:tc>
        <w:tc>
          <w:tcPr>
            <w:tcW w:w="665" w:type="dxa"/>
            <w:tcBorders/>
            <w:shd w:fill="auto" w:val="clear"/>
            <w:tcMar>
              <w:left w:w="108" w:type="dxa"/>
            </w:tcMar>
          </w:tcPr>
          <w:p>
            <w:pPr>
              <w:pStyle w:val="Normal"/>
              <w:spacing w:lineRule="auto" w:line="240" w:before="0" w:after="0"/>
              <w:jc w:val="center"/>
              <w:rPr>
                <w:rFonts w:ascii="Arial" w:hAnsi="Arial" w:cs="Arial"/>
                <w:sz w:val="20"/>
                <w:szCs w:val="20"/>
              </w:rPr>
            </w:pPr>
            <w:r>
              <w:rPr>
                <w:rFonts w:cs="Arial" w:ascii="Arial" w:hAnsi="Arial"/>
                <w:sz w:val="20"/>
                <w:szCs w:val="20"/>
              </w:rPr>
              <w:t>60</w:t>
            </w:r>
          </w:p>
        </w:tc>
      </w:tr>
    </w:tbl>
    <w:p>
      <w:pPr>
        <w:pStyle w:val="Normal"/>
        <w:spacing w:lineRule="auto" w:line="240" w:before="0" w:after="0"/>
        <w:jc w:val="center"/>
        <w:rPr>
          <w:rFonts w:ascii="Arial" w:hAnsi="Arial" w:cs="Arial"/>
          <w:sz w:val="28"/>
          <w:szCs w:val="28"/>
        </w:rPr>
      </w:pPr>
      <w:r>
        <w:rPr>
          <w:rFonts w:cs="Arial" w:ascii="Arial" w:hAnsi="Arial"/>
          <w:sz w:val="28"/>
          <w:szCs w:val="28"/>
        </w:rPr>
      </w:r>
    </w:p>
    <w:p>
      <w:pPr>
        <w:sectPr>
          <w:headerReference w:type="default" r:id="rId16"/>
          <w:footerReference w:type="default" r:id="rId17"/>
          <w:footnotePr>
            <w:numFmt w:val="decimal"/>
          </w:footnotePr>
          <w:type w:val="nextPage"/>
          <w:pgSz w:orient="landscape" w:w="16838" w:h="11906"/>
          <w:pgMar w:left="1418" w:right="1418" w:header="709" w:top="1701" w:footer="709" w:bottom="1701" w:gutter="0"/>
          <w:pgNumType w:fmt="decimal"/>
          <w:formProt w:val="false"/>
          <w:textDirection w:val="lrTb"/>
          <w:docGrid w:type="default" w:linePitch="360" w:charSpace="4294965247"/>
        </w:sectPr>
        <w:pStyle w:val="Normal"/>
        <w:spacing w:lineRule="auto" w:line="259" w:before="0" w:after="160"/>
        <w:rPr>
          <w:rFonts w:ascii="Arial" w:hAnsi="Arial" w:cs="Arial"/>
        </w:rPr>
      </w:pPr>
      <w:r>
        <w:rPr>
          <w:rFonts w:cs="Arial" w:ascii="Arial" w:hAnsi="Arial"/>
        </w:rPr>
      </w:r>
    </w:p>
    <w:p>
      <w:pPr>
        <w:pStyle w:val="Normal"/>
        <w:spacing w:lineRule="auto" w:line="360" w:before="0" w:after="0"/>
        <w:ind w:firstLine="709"/>
        <w:jc w:val="both"/>
        <w:rPr>
          <w:rFonts w:ascii="Arial" w:hAnsi="Arial" w:cs="Arial"/>
        </w:rPr>
      </w:pPr>
      <w:r>
        <w:rPr>
          <w:rFonts w:cs="Arial" w:ascii="Arial" w:hAnsi="Arial"/>
        </w:rPr>
      </w:r>
    </w:p>
    <w:p>
      <w:pPr>
        <w:pStyle w:val="Normal"/>
        <w:spacing w:lineRule="auto" w:line="240" w:before="0" w:after="0"/>
        <w:jc w:val="center"/>
        <w:rPr>
          <w:rFonts w:ascii="Arial" w:hAnsi="Arial" w:cs="Arial"/>
          <w:b/>
          <w:b/>
          <w:sz w:val="24"/>
          <w:szCs w:val="24"/>
        </w:rPr>
      </w:pPr>
      <w:r>
        <w:rPr>
          <w:rFonts w:cs="Arial" w:ascii="Arial" w:hAnsi="Arial"/>
          <w:b/>
          <w:sz w:val="24"/>
          <w:szCs w:val="24"/>
        </w:rPr>
        <w:t xml:space="preserve">Tabela B: </w:t>
      </w:r>
      <w:r>
        <w:rPr>
          <w:rFonts w:cs="Arial" w:ascii="Arial" w:hAnsi="Arial"/>
          <w:smallCaps/>
          <w:sz w:val="24"/>
          <w:szCs w:val="24"/>
        </w:rPr>
        <w:t>UC’s que podem ser utilizadas para contabilizar as 420h/a Eletivas</w:t>
      </w:r>
    </w:p>
    <w:p>
      <w:pPr>
        <w:pStyle w:val="Normal"/>
        <w:spacing w:lineRule="auto" w:line="240" w:before="0" w:after="0"/>
        <w:ind w:firstLine="709"/>
        <w:jc w:val="center"/>
        <w:rPr>
          <w:rFonts w:ascii="Arial" w:hAnsi="Arial" w:cs="Arial"/>
          <w:b/>
          <w:b/>
          <w:sz w:val="24"/>
          <w:szCs w:val="24"/>
        </w:rPr>
      </w:pPr>
      <w:r>
        <w:rPr>
          <w:rFonts w:cs="Arial" w:ascii="Arial" w:hAnsi="Arial"/>
          <w:b/>
          <w:sz w:val="24"/>
          <w:szCs w:val="24"/>
        </w:rPr>
      </w:r>
    </w:p>
    <w:tbl>
      <w:tblPr>
        <w:tblW w:w="8505"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28" w:type="dxa"/>
          <w:left w:w="28" w:type="dxa"/>
          <w:bottom w:w="28" w:type="dxa"/>
          <w:right w:w="28" w:type="dxa"/>
        </w:tblCellMar>
        <w:tblLook w:firstRow="0" w:noVBand="0" w:lastRow="0" w:firstColumn="0" w:lastColumn="0" w:noHBand="0" w:val="0000"/>
      </w:tblPr>
      <w:tblGrid>
        <w:gridCol w:w="709"/>
        <w:gridCol w:w="1701"/>
        <w:gridCol w:w="992"/>
        <w:gridCol w:w="5102"/>
      </w:tblGrid>
      <w:tr>
        <w:trPr>
          <w:trHeight w:val="100" w:hRule="atLeast"/>
        </w:trPr>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jc w:val="center"/>
              <w:rPr>
                <w:rFonts w:ascii="Arial" w:hAnsi="Arial" w:cs="Arial"/>
                <w:b/>
                <w:b/>
                <w:bCs/>
                <w:color w:val="000000"/>
              </w:rPr>
            </w:pPr>
            <w:r>
              <w:rPr>
                <w:rFonts w:cs="Arial" w:ascii="Arial" w:hAnsi="Arial"/>
                <w:b/>
                <w:bCs/>
                <w:color w:val="000000"/>
              </w:rPr>
            </w:r>
          </w:p>
        </w:tc>
        <w:tc>
          <w:tcPr>
            <w:tcW w:w="17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vAlign w:val="center"/>
          </w:tcPr>
          <w:p>
            <w:pPr>
              <w:pStyle w:val="Normal"/>
              <w:spacing w:lineRule="auto" w:line="240" w:before="0" w:after="0"/>
              <w:contextualSpacing/>
              <w:jc w:val="center"/>
              <w:rPr>
                <w:rFonts w:ascii="Arial" w:hAnsi="Arial" w:cs="Arial"/>
                <w:b/>
                <w:b/>
                <w:bCs/>
                <w:color w:val="000000"/>
              </w:rPr>
            </w:pPr>
            <w:r>
              <w:rPr>
                <w:rFonts w:cs="Arial" w:ascii="Arial" w:hAnsi="Arial"/>
                <w:b/>
                <w:bCs/>
                <w:color w:val="000000"/>
              </w:rPr>
              <w:t xml:space="preserve">ÁREA </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b/>
                <w:b/>
                <w:color w:val="000000"/>
              </w:rPr>
            </w:pPr>
            <w:r>
              <w:rPr>
                <w:rFonts w:cs="Arial" w:ascii="Arial" w:hAnsi="Arial"/>
                <w:b/>
                <w:color w:val="000000"/>
              </w:rPr>
              <w:t xml:space="preserve">CÓDIGO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b/>
                <w:b/>
                <w:color w:val="000000"/>
              </w:rPr>
            </w:pPr>
            <w:r>
              <w:rPr>
                <w:rFonts w:cs="Arial" w:ascii="Arial" w:hAnsi="Arial"/>
                <w:b/>
                <w:color w:val="000000"/>
              </w:rPr>
              <w:t xml:space="preserve">UNIDADE CURRICULAR </w:t>
            </w:r>
          </w:p>
        </w:tc>
      </w:tr>
      <w:tr>
        <w:trPr>
          <w:trHeight w:val="100" w:hRule="atLeast"/>
        </w:trPr>
        <w:tc>
          <w:tcPr>
            <w:tcW w:w="70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extDirection w:val="btLr"/>
            <w:vAlign w:val="center"/>
          </w:tcPr>
          <w:p>
            <w:pPr>
              <w:pStyle w:val="Normal"/>
              <w:spacing w:lineRule="auto" w:line="240" w:before="0" w:after="0"/>
              <w:ind w:left="113" w:right="113" w:hanging="0"/>
              <w:contextualSpacing/>
              <w:jc w:val="center"/>
              <w:rPr>
                <w:rFonts w:ascii="Arial" w:hAnsi="Arial" w:cs="Arial"/>
                <w:bCs/>
                <w:color w:val="000000"/>
              </w:rPr>
            </w:pPr>
            <w:r>
              <w:rPr>
                <w:rFonts w:cs="Arial" w:ascii="Arial" w:hAnsi="Arial"/>
                <w:b/>
                <w:color w:val="000000"/>
              </w:rPr>
              <w:t>BHu- EIXO DE FORMAÇÃO DE BASE E COMPLEMENTAR (EFBC)</w:t>
            </w:r>
          </w:p>
        </w:tc>
        <w:tc>
          <w:tcPr>
            <w:tcW w:w="170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t xml:space="preserve">CIÊNCIAS SOCIAIS </w:t>
            </w:r>
          </w:p>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BHU124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Introdução à Antropologia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BHU126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Introdução à Política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BHU125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Introdução à Sociologia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BHU181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Políticas Públicas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BHU643</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 </w:t>
            </w:r>
            <w:r>
              <w:rPr>
                <w:rFonts w:cs="Arial" w:ascii="Arial" w:hAnsi="Arial"/>
                <w:color w:val="000000"/>
                <w:sz w:val="20"/>
                <w:szCs w:val="20"/>
              </w:rPr>
              <w:t xml:space="preserve">Introdução à Economia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FE7F5"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t xml:space="preserve">COMUNICAÇÃO LINGUAGEM E INFORMAÇÃO </w:t>
            </w:r>
          </w:p>
          <w:p>
            <w:pPr>
              <w:pStyle w:val="Normal"/>
              <w:spacing w:lineRule="auto" w:line="240" w:before="0" w:after="0"/>
              <w:contextualSpacing/>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BHU137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Espanhol Instrumental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FE7F5"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BHU128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Inglês Instrumental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FE7F5"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BHU171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Literatura e Tecnologias do Texto </w:t>
            </w:r>
          </w:p>
        </w:tc>
      </w:tr>
      <w:tr>
        <w:trPr>
          <w:trHeight w:val="242"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FE7F5"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BHU180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Introdução aos Estudos Literários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t xml:space="preserve">   </w:t>
            </w:r>
            <w:r>
              <w:rPr>
                <w:rFonts w:cs="Arial" w:ascii="Arial" w:hAnsi="Arial"/>
                <w:bCs/>
                <w:color w:val="000000"/>
                <w:sz w:val="20"/>
                <w:szCs w:val="20"/>
              </w:rPr>
              <w:t xml:space="preserve">FILOSOFIA </w:t>
            </w:r>
          </w:p>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BHU185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Ética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BHU186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Estética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BHU115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Introdução à Filosofia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BHU187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Teoria do Conhecimento e Epistemologia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BHU641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Filosofia da Mente </w:t>
            </w:r>
          </w:p>
        </w:tc>
      </w:tr>
      <w:tr>
        <w:trPr>
          <w:trHeight w:val="31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FE7F5"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t xml:space="preserve">HISTÓRIA/ </w:t>
            </w:r>
          </w:p>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t xml:space="preserve">GEOCIÊNCIAS </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BHU138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Fisiologia da Terra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FE7F5"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BHU183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Pré-História Geral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t xml:space="preserve">PSICOLOGIA/ </w:t>
            </w:r>
          </w:p>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t xml:space="preserve">EDUCAÇÃO </w:t>
            </w:r>
          </w:p>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BHU139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Cognição, Representação Linguística e Interação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BHU127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Introdução à Psicologia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BHU189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Psicologia do Desenvolvimento Adulto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BHU184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Psicologia do Desenvolvimento Infantil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BHU640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Psicologia Social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FE7F5" w:val="clear"/>
            <w:tcMar>
              <w:left w:w="28" w:type="dxa"/>
            </w:tcMar>
          </w:tcPr>
          <w:p>
            <w:pPr>
              <w:pStyle w:val="Normal"/>
              <w:spacing w:lineRule="auto" w:line="240" w:before="0" w:after="0"/>
              <w:contextualSpacing/>
              <w:jc w:val="center"/>
              <w:rPr>
                <w:rFonts w:ascii="Arial" w:hAnsi="Arial" w:cs="Arial"/>
                <w:bCs/>
                <w:color w:val="000000"/>
              </w:rPr>
            </w:pPr>
            <w:r>
              <w:rPr>
                <w:rFonts w:cs="Arial" w:ascii="Arial" w:hAnsi="Arial"/>
                <w:bCs/>
                <w:color w:val="000000"/>
              </w:rPr>
            </w:r>
          </w:p>
        </w:tc>
        <w:tc>
          <w:tcPr>
            <w:tcW w:w="170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vAlign w:val="center"/>
          </w:tcPr>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t xml:space="preserve">PESQUISA </w:t>
            </w:r>
          </w:p>
          <w:p>
            <w:pPr>
              <w:pStyle w:val="Normal"/>
              <w:spacing w:lineRule="auto" w:line="240" w:before="0" w:after="0"/>
              <w:contextualSpacing/>
              <w:jc w:val="center"/>
              <w:rPr>
                <w:rFonts w:ascii="Arial" w:hAnsi="Arial" w:cs="Arial"/>
                <w:bCs/>
                <w:color w:val="000000"/>
                <w:sz w:val="20"/>
                <w:szCs w:val="20"/>
              </w:rPr>
            </w:pPr>
            <w:r>
              <w:rPr>
                <w:rFonts w:cs="Arial" w:ascii="Arial" w:hAnsi="Arial"/>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BHU135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Metodologia da Pesquisa Científica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FE7F5" w:val="clear"/>
            <w:tcMar>
              <w:left w:w="28" w:type="dxa"/>
            </w:tcMar>
            <w:textDirection w:val="btLr"/>
            <w:vAlign w:val="center"/>
          </w:tcPr>
          <w:p>
            <w:pPr>
              <w:pStyle w:val="Normal"/>
              <w:spacing w:lineRule="auto" w:line="240" w:before="0" w:after="0"/>
              <w:ind w:left="113" w:right="113" w:hanging="0"/>
              <w:contextualSpacing/>
              <w:jc w:val="center"/>
              <w:rPr>
                <w:rFonts w:ascii="Arial" w:hAnsi="Arial" w:cs="Arial"/>
                <w:b/>
                <w:b/>
                <w:bCs/>
                <w:color w:val="000000"/>
              </w:rPr>
            </w:pPr>
            <w:r>
              <w:rPr>
                <w:rFonts w:cs="Arial" w:ascii="Arial" w:hAnsi="Arial"/>
                <w:b/>
                <w:bCs/>
                <w:color w:val="000000"/>
              </w:rPr>
            </w:r>
          </w:p>
        </w:tc>
        <w:tc>
          <w:tcPr>
            <w:tcW w:w="17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extDirection w:val="btLr"/>
            <w:vAlign w:val="center"/>
          </w:tcPr>
          <w:p>
            <w:pPr>
              <w:pStyle w:val="Normal"/>
              <w:spacing w:lineRule="auto" w:line="240" w:before="0" w:after="0"/>
              <w:ind w:left="113" w:right="113" w:hanging="0"/>
              <w:contextualSpacing/>
              <w:jc w:val="center"/>
              <w:rPr>
                <w:rFonts w:ascii="Arial" w:hAnsi="Arial" w:cs="Arial"/>
                <w:b/>
                <w:b/>
                <w:bCs/>
                <w:color w:val="000000"/>
                <w:sz w:val="20"/>
                <w:szCs w:val="20"/>
              </w:rPr>
            </w:pPr>
            <w:r>
              <w:rPr>
                <w:rFonts w:cs="Arial" w:ascii="Arial" w:hAnsi="Arial"/>
                <w:b/>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BHU136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Projeto de Pesquisa </w:t>
            </w:r>
          </w:p>
        </w:tc>
      </w:tr>
      <w:tr>
        <w:trPr>
          <w:trHeight w:val="100" w:hRule="atLeast"/>
        </w:trPr>
        <w:tc>
          <w:tcPr>
            <w:tcW w:w="70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FE7F5" w:val="clear"/>
            <w:tcMar>
              <w:left w:w="28" w:type="dxa"/>
            </w:tcMar>
            <w:textDirection w:val="btLr"/>
            <w:vAlign w:val="center"/>
          </w:tcPr>
          <w:p>
            <w:pPr>
              <w:pStyle w:val="Normal"/>
              <w:spacing w:lineRule="auto" w:line="240" w:before="0" w:after="0"/>
              <w:ind w:left="113" w:right="113" w:hanging="0"/>
              <w:contextualSpacing/>
              <w:jc w:val="center"/>
              <w:rPr>
                <w:rFonts w:ascii="Arial" w:hAnsi="Arial" w:cs="Arial"/>
                <w:b/>
                <w:b/>
                <w:bCs/>
                <w:color w:val="000000"/>
              </w:rPr>
            </w:pPr>
            <w:r>
              <w:rPr>
                <w:rFonts w:cs="Arial" w:ascii="Arial" w:hAnsi="Arial"/>
                <w:b/>
                <w:bCs/>
                <w:color w:val="000000"/>
              </w:rPr>
            </w:r>
          </w:p>
        </w:tc>
        <w:tc>
          <w:tcPr>
            <w:tcW w:w="17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extDirection w:val="btLr"/>
            <w:vAlign w:val="center"/>
          </w:tcPr>
          <w:p>
            <w:pPr>
              <w:pStyle w:val="Normal"/>
              <w:spacing w:lineRule="auto" w:line="240" w:before="0" w:after="0"/>
              <w:ind w:left="113" w:right="113" w:hanging="0"/>
              <w:contextualSpacing/>
              <w:jc w:val="center"/>
              <w:rPr>
                <w:rFonts w:ascii="Arial" w:hAnsi="Arial" w:cs="Arial"/>
                <w:b/>
                <w:b/>
                <w:bCs/>
                <w:color w:val="000000"/>
                <w:sz w:val="20"/>
                <w:szCs w:val="20"/>
              </w:rPr>
            </w:pPr>
            <w:r>
              <w:rPr>
                <w:rFonts w:cs="Arial" w:ascii="Arial" w:hAnsi="Arial"/>
                <w:b/>
                <w:bCs/>
                <w:color w:val="000000"/>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BHU119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Tecnologia, Cognição e Sociedade </w:t>
            </w:r>
          </w:p>
        </w:tc>
      </w:tr>
      <w:tr>
        <w:trPr>
          <w:trHeight w:val="100" w:hRule="atLeast"/>
        </w:trPr>
        <w:tc>
          <w:tcPr>
            <w:tcW w:w="2410"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jc w:val="center"/>
              <w:rPr>
                <w:rFonts w:ascii="Arial" w:hAnsi="Arial" w:cs="Arial"/>
                <w:b/>
                <w:b/>
                <w:color w:val="000000"/>
              </w:rPr>
            </w:pPr>
            <w:r>
              <w:rPr>
                <w:rFonts w:cs="Arial" w:ascii="Arial" w:hAnsi="Arial"/>
                <w:b/>
                <w:color w:val="000000"/>
              </w:rPr>
            </w:r>
          </w:p>
          <w:p>
            <w:pPr>
              <w:pStyle w:val="Normal"/>
              <w:spacing w:lineRule="auto" w:line="240" w:before="0" w:after="0"/>
              <w:contextualSpacing/>
              <w:jc w:val="center"/>
              <w:rPr>
                <w:rFonts w:ascii="Arial" w:hAnsi="Arial" w:cs="Arial"/>
                <w:b/>
                <w:b/>
                <w:color w:val="000000"/>
              </w:rPr>
            </w:pPr>
            <w:r>
              <w:rPr>
                <w:rFonts w:cs="Arial" w:ascii="Arial" w:hAnsi="Arial"/>
                <w:b/>
                <w:color w:val="000000"/>
              </w:rPr>
            </w:r>
          </w:p>
          <w:p>
            <w:pPr>
              <w:pStyle w:val="Normal"/>
              <w:spacing w:lineRule="auto" w:line="240" w:before="0" w:after="0"/>
              <w:contextualSpacing/>
              <w:jc w:val="center"/>
              <w:rPr>
                <w:rFonts w:ascii="Arial" w:hAnsi="Arial" w:cs="Arial"/>
                <w:b/>
                <w:b/>
                <w:color w:val="000000"/>
              </w:rPr>
            </w:pPr>
            <w:r>
              <w:rPr>
                <w:rFonts w:cs="Arial" w:ascii="Arial" w:hAnsi="Arial"/>
                <w:b/>
                <w:color w:val="000000"/>
              </w:rPr>
            </w:r>
          </w:p>
          <w:p>
            <w:pPr>
              <w:pStyle w:val="Normal"/>
              <w:spacing w:lineRule="auto" w:line="240" w:before="0" w:after="0"/>
              <w:contextualSpacing/>
              <w:jc w:val="center"/>
              <w:rPr>
                <w:rFonts w:ascii="Arial" w:hAnsi="Arial" w:cs="Arial"/>
                <w:b/>
                <w:b/>
                <w:color w:val="000000"/>
              </w:rPr>
            </w:pPr>
            <w:r>
              <w:rPr>
                <w:rFonts w:cs="Arial" w:ascii="Arial" w:hAnsi="Arial"/>
                <w:b/>
                <w:color w:val="000000"/>
              </w:rPr>
            </w:r>
          </w:p>
          <w:p>
            <w:pPr>
              <w:pStyle w:val="Normal"/>
              <w:spacing w:lineRule="auto" w:line="240" w:before="0" w:after="0"/>
              <w:contextualSpacing/>
              <w:jc w:val="center"/>
              <w:rPr>
                <w:rFonts w:ascii="Arial" w:hAnsi="Arial" w:cs="Arial"/>
                <w:b/>
                <w:b/>
                <w:color w:val="000000"/>
              </w:rPr>
            </w:pPr>
            <w:r>
              <w:rPr>
                <w:rFonts w:cs="Arial" w:ascii="Arial" w:hAnsi="Arial"/>
                <w:b/>
                <w:color w:val="000000"/>
              </w:rPr>
            </w:r>
          </w:p>
          <w:p>
            <w:pPr>
              <w:pStyle w:val="Normal"/>
              <w:spacing w:lineRule="auto" w:line="240" w:before="0" w:after="0"/>
              <w:contextualSpacing/>
              <w:jc w:val="center"/>
              <w:rPr>
                <w:rFonts w:ascii="Arial" w:hAnsi="Arial" w:cs="Arial"/>
                <w:b/>
                <w:b/>
                <w:color w:val="000000"/>
              </w:rPr>
            </w:pPr>
            <w:r>
              <w:rPr>
                <w:rFonts w:cs="Arial" w:ascii="Arial" w:hAnsi="Arial"/>
                <w:b/>
                <w:color w:val="000000"/>
              </w:rPr>
            </w:r>
          </w:p>
          <w:p>
            <w:pPr>
              <w:pStyle w:val="Normal"/>
              <w:spacing w:lineRule="auto" w:line="240" w:before="0" w:after="0"/>
              <w:contextualSpacing/>
              <w:jc w:val="center"/>
              <w:rPr>
                <w:rFonts w:ascii="Arial" w:hAnsi="Arial" w:cs="Arial"/>
                <w:b/>
                <w:b/>
                <w:color w:val="000000"/>
              </w:rPr>
            </w:pPr>
            <w:r>
              <w:rPr>
                <w:rFonts w:cs="Arial" w:ascii="Arial" w:hAnsi="Arial"/>
                <w:b/>
                <w:color w:val="000000"/>
              </w:rPr>
            </w:r>
          </w:p>
          <w:p>
            <w:pPr>
              <w:pStyle w:val="Normal"/>
              <w:spacing w:lineRule="auto" w:line="240" w:before="0" w:after="0"/>
              <w:contextualSpacing/>
              <w:jc w:val="center"/>
              <w:rPr>
                <w:rFonts w:ascii="Arial" w:hAnsi="Arial" w:cs="Arial"/>
                <w:b/>
                <w:b/>
                <w:color w:val="000000"/>
              </w:rPr>
            </w:pPr>
            <w:r>
              <w:rPr>
                <w:rFonts w:cs="Arial" w:ascii="Arial" w:hAnsi="Arial"/>
                <w:b/>
                <w:color w:val="000000"/>
              </w:rPr>
            </w:r>
          </w:p>
          <w:p>
            <w:pPr>
              <w:pStyle w:val="Normal"/>
              <w:spacing w:lineRule="auto" w:line="240" w:before="0" w:after="0"/>
              <w:contextualSpacing/>
              <w:jc w:val="center"/>
              <w:rPr>
                <w:rFonts w:ascii="Arial" w:hAnsi="Arial" w:cs="Arial"/>
                <w:b/>
                <w:b/>
                <w:color w:val="000000"/>
              </w:rPr>
            </w:pPr>
            <w:r>
              <w:rPr>
                <w:rFonts w:cs="Arial" w:ascii="Arial" w:hAnsi="Arial"/>
                <w:b/>
                <w:color w:val="000000"/>
              </w:rPr>
            </w:r>
          </w:p>
          <w:p>
            <w:pPr>
              <w:pStyle w:val="Normal"/>
              <w:spacing w:lineRule="auto" w:line="240" w:before="0" w:after="0"/>
              <w:contextualSpacing/>
              <w:jc w:val="center"/>
              <w:rPr>
                <w:rFonts w:ascii="Arial" w:hAnsi="Arial" w:cs="Arial"/>
                <w:b/>
                <w:b/>
                <w:color w:val="000000"/>
              </w:rPr>
            </w:pPr>
            <w:r>
              <w:rPr>
                <w:rFonts w:cs="Arial" w:ascii="Arial" w:hAnsi="Arial"/>
                <w:b/>
                <w:color w:val="000000"/>
              </w:rPr>
            </w:r>
          </w:p>
          <w:p>
            <w:pPr>
              <w:pStyle w:val="Normal"/>
              <w:spacing w:lineRule="auto" w:line="240" w:before="0" w:after="0"/>
              <w:contextualSpacing/>
              <w:jc w:val="center"/>
              <w:rPr>
                <w:rFonts w:ascii="Arial" w:hAnsi="Arial" w:cs="Arial"/>
                <w:b/>
                <w:b/>
                <w:color w:val="000000"/>
              </w:rPr>
            </w:pPr>
            <w:r>
              <w:rPr>
                <w:rFonts w:cs="Arial" w:ascii="Arial" w:hAnsi="Arial"/>
                <w:b/>
                <w:color w:val="000000"/>
              </w:rPr>
            </w:r>
          </w:p>
          <w:p>
            <w:pPr>
              <w:pStyle w:val="Normal"/>
              <w:spacing w:lineRule="auto" w:line="240" w:before="0" w:after="0"/>
              <w:contextualSpacing/>
              <w:jc w:val="center"/>
              <w:rPr>
                <w:rFonts w:ascii="Arial" w:hAnsi="Arial" w:cs="Arial"/>
                <w:b/>
                <w:b/>
                <w:bCs/>
                <w:color w:val="000000"/>
                <w:sz w:val="20"/>
                <w:szCs w:val="20"/>
              </w:rPr>
            </w:pPr>
            <w:r>
              <w:rPr>
                <w:rFonts w:cs="Arial" w:ascii="Arial" w:hAnsi="Arial"/>
                <w:b/>
                <w:color w:val="000000"/>
              </w:rPr>
              <w:t>BHu- EIXO INTERDISCIPLINAR (EI)</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BHU101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Análise da Paisagem </w:t>
            </w:r>
          </w:p>
        </w:tc>
      </w:tr>
      <w:tr>
        <w:trPr>
          <w:trHeight w:val="226"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BHU108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Arte-Educação </w:t>
            </w:r>
          </w:p>
        </w:tc>
      </w:tr>
      <w:tr>
        <w:trPr>
          <w:trHeight w:val="10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BHU114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Atualidades - Seminários </w:t>
            </w:r>
          </w:p>
        </w:tc>
      </w:tr>
      <w:tr>
        <w:trPr>
          <w:trHeight w:val="10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BHU198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Comunicação Midiática </w:t>
            </w:r>
          </w:p>
        </w:tc>
      </w:tr>
      <w:tr>
        <w:trPr>
          <w:trHeight w:val="52"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BHU109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Diversidade Cultural </w:t>
            </w:r>
          </w:p>
        </w:tc>
      </w:tr>
      <w:tr>
        <w:trPr>
          <w:trHeight w:val="11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bCs/>
                <w:color w:val="000000"/>
                <w:sz w:val="20"/>
                <w:szCs w:val="20"/>
              </w:rPr>
            </w:pPr>
            <w:r>
              <w:rPr>
                <w:rFonts w:cs="Arial" w:ascii="Arial" w:hAnsi="Arial"/>
                <w:bCs/>
                <w:color w:val="000000"/>
                <w:sz w:val="20"/>
                <w:szCs w:val="20"/>
              </w:rPr>
              <w:t>BHU082</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bCs/>
                <w:color w:val="000000"/>
                <w:sz w:val="20"/>
                <w:szCs w:val="20"/>
              </w:rPr>
            </w:pPr>
            <w:r>
              <w:rPr>
                <w:rFonts w:cs="Arial" w:ascii="Arial" w:hAnsi="Arial"/>
                <w:bCs/>
                <w:color w:val="000000"/>
                <w:sz w:val="20"/>
                <w:szCs w:val="20"/>
              </w:rPr>
              <w:t>Espaço Natural e Social da Serra do Espinhaço</w:t>
            </w:r>
          </w:p>
        </w:tc>
      </w:tr>
      <w:tr>
        <w:trPr>
          <w:trHeight w:val="11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bCs/>
                <w:color w:val="000000"/>
                <w:sz w:val="20"/>
                <w:szCs w:val="20"/>
              </w:rPr>
            </w:pPr>
            <w:r>
              <w:rPr>
                <w:rFonts w:cs="Arial" w:ascii="Arial" w:hAnsi="Arial"/>
                <w:bCs/>
                <w:color w:val="000000"/>
                <w:sz w:val="20"/>
                <w:szCs w:val="20"/>
              </w:rPr>
              <w:t>BHU644</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bCs/>
                <w:color w:val="000000"/>
                <w:sz w:val="20"/>
                <w:szCs w:val="20"/>
              </w:rPr>
            </w:pPr>
            <w:r>
              <w:rPr>
                <w:rFonts w:cs="Arial" w:ascii="Arial" w:hAnsi="Arial"/>
                <w:bCs/>
                <w:color w:val="000000"/>
                <w:sz w:val="20"/>
                <w:szCs w:val="20"/>
              </w:rPr>
              <w:t xml:space="preserve">Economia Brasileira </w:t>
            </w:r>
          </w:p>
        </w:tc>
      </w:tr>
      <w:tr>
        <w:trPr>
          <w:trHeight w:val="11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BHU097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História e Cidadania no Brasil </w:t>
            </w:r>
          </w:p>
        </w:tc>
      </w:tr>
      <w:tr>
        <w:trPr>
          <w:trHeight w:val="11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BHU100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Identidade, Narrativa e Formação Humana </w:t>
            </w:r>
          </w:p>
        </w:tc>
      </w:tr>
      <w:tr>
        <w:trPr>
          <w:trHeight w:val="10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bCs/>
                <w:color w:val="000000"/>
                <w:sz w:val="20"/>
                <w:szCs w:val="20"/>
              </w:rPr>
            </w:pPr>
            <w:r>
              <w:rPr>
                <w:rFonts w:cs="Arial" w:ascii="Arial" w:hAnsi="Arial"/>
                <w:bCs/>
                <w:color w:val="000000"/>
                <w:sz w:val="20"/>
                <w:szCs w:val="20"/>
              </w:rPr>
              <w:t xml:space="preserve">BHU642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bCs/>
                <w:color w:val="000000"/>
                <w:sz w:val="20"/>
                <w:szCs w:val="20"/>
              </w:rPr>
            </w:pPr>
            <w:r>
              <w:rPr>
                <w:rFonts w:cs="Arial" w:ascii="Arial" w:hAnsi="Arial"/>
                <w:bCs/>
                <w:color w:val="000000"/>
                <w:sz w:val="20"/>
                <w:szCs w:val="20"/>
              </w:rPr>
              <w:t xml:space="preserve">Introdução aos Métodos Quantit. em Ciências Humanas </w:t>
            </w:r>
          </w:p>
        </w:tc>
      </w:tr>
      <w:tr>
        <w:trPr>
          <w:trHeight w:val="11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Corpodetexto"/>
              <w:spacing w:before="0" w:after="0"/>
              <w:contextualSpacing/>
              <w:rPr>
                <w:rFonts w:ascii="Arial" w:hAnsi="Arial" w:cs="Arial"/>
                <w:bCs/>
                <w:sz w:val="20"/>
                <w:szCs w:val="20"/>
              </w:rPr>
            </w:pPr>
            <w:r>
              <w:rPr>
                <w:rFonts w:cs="Arial" w:ascii="Arial" w:hAnsi="Arial"/>
                <w:bCs/>
                <w:sz w:val="20"/>
                <w:szCs w:val="20"/>
              </w:rPr>
              <w:t>BHU086</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Corpodetexto"/>
              <w:spacing w:before="0" w:after="0"/>
              <w:contextualSpacing/>
              <w:rPr>
                <w:rFonts w:ascii="Arial" w:hAnsi="Arial" w:cs="Arial"/>
                <w:bCs/>
                <w:sz w:val="20"/>
                <w:szCs w:val="20"/>
              </w:rPr>
            </w:pPr>
            <w:r>
              <w:rPr>
                <w:rFonts w:cs="Arial" w:ascii="Arial" w:hAnsi="Arial"/>
                <w:bCs/>
                <w:sz w:val="20"/>
                <w:szCs w:val="20"/>
              </w:rPr>
              <w:t>Matemática Aplicada às Ciências Humanas e Sociais</w:t>
            </w:r>
          </w:p>
        </w:tc>
      </w:tr>
      <w:tr>
        <w:trPr>
          <w:trHeight w:val="10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BHU117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Meio Ambiente e Sociedade </w:t>
            </w:r>
          </w:p>
        </w:tc>
      </w:tr>
      <w:tr>
        <w:trPr>
          <w:trHeight w:val="10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BHU104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Movimentos Sociais e Educação do Campo </w:t>
            </w:r>
          </w:p>
        </w:tc>
      </w:tr>
      <w:tr>
        <w:trPr>
          <w:trHeight w:val="10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BHU105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Paisagem e Cultura </w:t>
            </w:r>
          </w:p>
        </w:tc>
      </w:tr>
      <w:tr>
        <w:trPr>
          <w:trHeight w:val="11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BHU099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Patrimônio Cultural Material e Imaterial </w:t>
            </w:r>
          </w:p>
        </w:tc>
      </w:tr>
      <w:tr>
        <w:trPr>
          <w:trHeight w:val="11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Corpodetexto"/>
              <w:spacing w:before="0" w:after="0"/>
              <w:contextualSpacing/>
              <w:rPr>
                <w:rFonts w:ascii="Arial" w:hAnsi="Arial" w:cs="Arial"/>
                <w:bCs/>
                <w:sz w:val="20"/>
                <w:szCs w:val="20"/>
              </w:rPr>
            </w:pPr>
            <w:r>
              <w:rPr>
                <w:rFonts w:cs="Arial" w:ascii="Arial" w:hAnsi="Arial"/>
                <w:bCs/>
                <w:sz w:val="20"/>
                <w:szCs w:val="20"/>
              </w:rPr>
              <w:t>BHU080</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Corpodetexto"/>
              <w:spacing w:before="0" w:after="0"/>
              <w:contextualSpacing/>
              <w:rPr>
                <w:rFonts w:ascii="Arial" w:hAnsi="Arial" w:cs="Arial"/>
                <w:bCs/>
                <w:sz w:val="20"/>
                <w:szCs w:val="20"/>
              </w:rPr>
            </w:pPr>
            <w:r>
              <w:rPr>
                <w:rFonts w:cs="Arial" w:ascii="Arial" w:hAnsi="Arial"/>
                <w:bCs/>
                <w:sz w:val="20"/>
                <w:szCs w:val="20"/>
              </w:rPr>
              <w:t>População, Espaço e Ambiente</w:t>
            </w:r>
          </w:p>
        </w:tc>
      </w:tr>
      <w:tr>
        <w:trPr>
          <w:trHeight w:val="10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BHU199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Seminário sobre o Vale do Jequitinhonha </w:t>
            </w:r>
          </w:p>
        </w:tc>
      </w:tr>
      <w:tr>
        <w:trPr>
          <w:trHeight w:val="10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BHU102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Semiologia e Comunicação </w:t>
            </w:r>
          </w:p>
        </w:tc>
      </w:tr>
      <w:tr>
        <w:trPr>
          <w:trHeight w:val="10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bCs/>
                <w:color w:val="000000"/>
                <w:sz w:val="20"/>
                <w:szCs w:val="20"/>
              </w:rPr>
            </w:pPr>
            <w:r>
              <w:rPr>
                <w:rFonts w:cs="Arial" w:ascii="Arial" w:hAnsi="Arial"/>
                <w:bCs/>
                <w:color w:val="000000"/>
                <w:sz w:val="20"/>
                <w:szCs w:val="20"/>
              </w:rPr>
              <w:t>BHU079</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bCs/>
                <w:color w:val="000000"/>
                <w:sz w:val="20"/>
                <w:szCs w:val="20"/>
              </w:rPr>
            </w:pPr>
            <w:r>
              <w:rPr>
                <w:rFonts w:cs="Arial" w:ascii="Arial" w:hAnsi="Arial"/>
                <w:bCs/>
                <w:color w:val="000000"/>
                <w:sz w:val="20"/>
                <w:szCs w:val="20"/>
              </w:rPr>
              <w:t>Sociedade, Tempo e Espaço</w:t>
            </w:r>
          </w:p>
        </w:tc>
      </w:tr>
      <w:tr>
        <w:trPr>
          <w:trHeight w:val="11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BHU103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Sociologia da Cultura e da Arte </w:t>
            </w:r>
          </w:p>
        </w:tc>
      </w:tr>
      <w:tr>
        <w:trPr>
          <w:trHeight w:val="10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BHU106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Subjetividades e a Escrita Autobiográfica </w:t>
            </w:r>
          </w:p>
        </w:tc>
      </w:tr>
      <w:tr>
        <w:trPr>
          <w:trHeight w:val="10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BHU096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Tópicos Especiais I </w:t>
            </w:r>
          </w:p>
        </w:tc>
      </w:tr>
      <w:tr>
        <w:trPr>
          <w:trHeight w:val="10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BHU095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Tópicos Especiais II </w:t>
            </w:r>
          </w:p>
        </w:tc>
      </w:tr>
      <w:tr>
        <w:trPr>
          <w:trHeight w:val="10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BHU094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Tópicos Especiais III </w:t>
            </w:r>
          </w:p>
        </w:tc>
      </w:tr>
      <w:tr>
        <w:trPr>
          <w:trHeight w:val="10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BHU093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Tópicos Especiais IV </w:t>
            </w:r>
          </w:p>
        </w:tc>
      </w:tr>
      <w:tr>
        <w:trPr>
          <w:trHeight w:val="10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BHU092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Tópicos Especiais V </w:t>
            </w:r>
          </w:p>
        </w:tc>
      </w:tr>
      <w:tr>
        <w:trPr>
          <w:trHeight w:val="10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BHU091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Tópicos Especiais VI </w:t>
            </w:r>
          </w:p>
        </w:tc>
      </w:tr>
      <w:tr>
        <w:trPr>
          <w:trHeight w:val="11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extDirection w:val="btLr"/>
          </w:tcPr>
          <w:p>
            <w:pPr>
              <w:pStyle w:val="Normal"/>
              <w:spacing w:lineRule="auto" w:line="240" w:before="0" w:after="0"/>
              <w:ind w:left="113" w:right="113" w:hanging="0"/>
              <w:contextualSpacing/>
              <w:rPr>
                <w:rFonts w:ascii="Arial" w:hAnsi="Arial" w:cs="Arial"/>
                <w:sz w:val="20"/>
                <w:szCs w:val="20"/>
              </w:rPr>
            </w:pPr>
            <w:r>
              <w:rPr>
                <w:rFonts w:cs="Arial" w:ascii="Arial" w:hAnsi="Arial"/>
                <w:sz w:val="20"/>
                <w:szCs w:val="20"/>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BHU118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28" w:type="dxa"/>
            </w:tcMar>
          </w:tcPr>
          <w:p>
            <w:pPr>
              <w:pStyle w:val="Normal"/>
              <w:spacing w:lineRule="auto" w:line="240" w:before="0" w:after="0"/>
              <w:contextualSpacing/>
              <w:rPr>
                <w:rFonts w:ascii="Arial" w:hAnsi="Arial" w:cs="Arial"/>
                <w:color w:val="000000"/>
                <w:sz w:val="20"/>
                <w:szCs w:val="20"/>
              </w:rPr>
            </w:pPr>
            <w:r>
              <w:rPr>
                <w:rFonts w:cs="Arial" w:ascii="Arial" w:hAnsi="Arial"/>
                <w:color w:val="000000"/>
                <w:sz w:val="20"/>
                <w:szCs w:val="20"/>
              </w:rPr>
              <w:t xml:space="preserve">Universidade e Ciência </w:t>
            </w:r>
          </w:p>
        </w:tc>
      </w:tr>
      <w:tr>
        <w:trPr>
          <w:trHeight w:val="100" w:hRule="atLeast"/>
        </w:trPr>
        <w:tc>
          <w:tcPr>
            <w:tcW w:w="2410"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28" w:type="dxa"/>
            </w:tcMar>
          </w:tcPr>
          <w:p>
            <w:pPr>
              <w:pStyle w:val="Normal"/>
              <w:spacing w:lineRule="auto" w:line="240" w:before="0" w:after="0"/>
              <w:contextualSpacing/>
              <w:jc w:val="center"/>
              <w:rPr>
                <w:rFonts w:ascii="Times New Roman" w:hAnsi="Times New Roman"/>
                <w:b/>
                <w:b/>
                <w:color w:val="000000"/>
                <w:sz w:val="16"/>
                <w:szCs w:val="16"/>
              </w:rPr>
            </w:pPr>
            <w:r>
              <w:rPr>
                <w:rFonts w:ascii="Times New Roman" w:hAnsi="Times New Roman"/>
                <w:b/>
                <w:color w:val="000000"/>
                <w:sz w:val="16"/>
                <w:szCs w:val="16"/>
              </w:rPr>
            </w:r>
          </w:p>
          <w:p>
            <w:pPr>
              <w:pStyle w:val="Normal"/>
              <w:spacing w:lineRule="auto" w:line="240" w:before="0" w:after="0"/>
              <w:contextualSpacing/>
              <w:jc w:val="center"/>
              <w:rPr>
                <w:rFonts w:ascii="Times New Roman" w:hAnsi="Times New Roman"/>
                <w:b/>
                <w:b/>
                <w:color w:val="000000"/>
                <w:sz w:val="16"/>
                <w:szCs w:val="16"/>
              </w:rPr>
            </w:pPr>
            <w:r>
              <w:rPr>
                <w:rFonts w:ascii="Times New Roman" w:hAnsi="Times New Roman"/>
                <w:b/>
                <w:color w:val="000000"/>
                <w:sz w:val="16"/>
                <w:szCs w:val="16"/>
              </w:rPr>
            </w:r>
          </w:p>
          <w:p>
            <w:pPr>
              <w:pStyle w:val="Normal"/>
              <w:spacing w:lineRule="auto" w:line="240" w:before="0" w:after="0"/>
              <w:contextualSpacing/>
              <w:jc w:val="center"/>
              <w:rPr>
                <w:rFonts w:ascii="Times New Roman" w:hAnsi="Times New Roman"/>
                <w:b/>
                <w:b/>
                <w:color w:val="000000"/>
                <w:sz w:val="16"/>
                <w:szCs w:val="16"/>
              </w:rPr>
            </w:pPr>
            <w:r>
              <w:rPr>
                <w:rFonts w:ascii="Times New Roman" w:hAnsi="Times New Roman"/>
                <w:b/>
                <w:color w:val="000000"/>
                <w:sz w:val="16"/>
                <w:szCs w:val="16"/>
              </w:rPr>
            </w:r>
          </w:p>
          <w:p>
            <w:pPr>
              <w:pStyle w:val="Normal"/>
              <w:spacing w:lineRule="auto" w:line="240" w:before="0" w:after="0"/>
              <w:contextualSpacing/>
              <w:jc w:val="center"/>
              <w:rPr>
                <w:rFonts w:ascii="Arial" w:hAnsi="Arial" w:cs="Arial"/>
                <w:b/>
                <w:b/>
                <w:bCs/>
                <w:color w:val="000000"/>
                <w:sz w:val="20"/>
                <w:szCs w:val="20"/>
              </w:rPr>
            </w:pPr>
            <w:r>
              <w:rPr>
                <w:rFonts w:cs="Arial" w:ascii="Arial" w:hAnsi="Arial"/>
                <w:b/>
                <w:color w:val="000000"/>
                <w:sz w:val="20"/>
                <w:szCs w:val="20"/>
              </w:rPr>
              <w:t>BHu- EIXO ÁREA DE CONCENTRAÇÃO (AC) PEDAGOGIA</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2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BHU319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2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Cultura, Currículo e Conhecimento </w:t>
            </w:r>
          </w:p>
        </w:tc>
      </w:tr>
      <w:tr>
        <w:trPr>
          <w:trHeight w:val="226"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28" w:type="dxa"/>
            </w:tcMar>
            <w:textDirection w:val="btLr"/>
          </w:tcPr>
          <w:p>
            <w:pPr>
              <w:pStyle w:val="Normal"/>
              <w:spacing w:lineRule="auto" w:line="240" w:before="0" w:after="0"/>
              <w:ind w:left="113" w:right="113" w:hanging="0"/>
              <w:contextualSpacing/>
              <w:rPr/>
            </w:pPr>
            <w:r>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2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BHU317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2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Filosofia Educacional Clássica, Antiga e Medieval </w:t>
            </w:r>
          </w:p>
        </w:tc>
      </w:tr>
      <w:tr>
        <w:trPr>
          <w:trHeight w:val="10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28" w:type="dxa"/>
            </w:tcMar>
            <w:textDirection w:val="btLr"/>
          </w:tcPr>
          <w:p>
            <w:pPr>
              <w:pStyle w:val="Normal"/>
              <w:spacing w:lineRule="auto" w:line="240" w:before="0" w:after="0"/>
              <w:ind w:left="113" w:right="113" w:hanging="0"/>
              <w:contextualSpacing/>
              <w:rPr/>
            </w:pPr>
            <w:r>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2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BHU318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2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Filosofia Educacional Moderna e Contemporânea </w:t>
            </w:r>
          </w:p>
        </w:tc>
      </w:tr>
      <w:tr>
        <w:trPr>
          <w:trHeight w:val="10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28" w:type="dxa"/>
            </w:tcMar>
            <w:textDirection w:val="btLr"/>
          </w:tcPr>
          <w:p>
            <w:pPr>
              <w:pStyle w:val="Normal"/>
              <w:spacing w:lineRule="auto" w:line="240" w:before="0" w:after="0"/>
              <w:ind w:left="113" w:right="113" w:hanging="0"/>
              <w:contextualSpacing/>
              <w:rPr/>
            </w:pPr>
            <w:r>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2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BHU315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2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Metodologia do Ensino Fundamental </w:t>
            </w:r>
          </w:p>
        </w:tc>
      </w:tr>
      <w:tr>
        <w:trPr>
          <w:trHeight w:val="52"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28" w:type="dxa"/>
            </w:tcMar>
            <w:textDirection w:val="btLr"/>
          </w:tcPr>
          <w:p>
            <w:pPr>
              <w:pStyle w:val="Normal"/>
              <w:spacing w:lineRule="auto" w:line="240" w:before="0" w:after="0"/>
              <w:ind w:left="113" w:right="113" w:hanging="0"/>
              <w:contextualSpacing/>
              <w:rPr/>
            </w:pPr>
            <w:r>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2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BHU320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2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Planejamento e Avaliação Educacional </w:t>
            </w:r>
          </w:p>
        </w:tc>
      </w:tr>
      <w:tr>
        <w:trPr>
          <w:trHeight w:val="11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28" w:type="dxa"/>
            </w:tcMar>
            <w:textDirection w:val="btLr"/>
          </w:tcPr>
          <w:p>
            <w:pPr>
              <w:pStyle w:val="Normal"/>
              <w:spacing w:lineRule="auto" w:line="240" w:before="0" w:after="0"/>
              <w:ind w:left="113" w:right="113" w:hanging="0"/>
              <w:contextualSpacing/>
              <w:rPr/>
            </w:pPr>
            <w:r>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2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BHU321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2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Sociedade, Cultura e Infância </w:t>
            </w:r>
          </w:p>
        </w:tc>
      </w:tr>
      <w:tr>
        <w:trPr>
          <w:trHeight w:val="110" w:hRule="atLeast"/>
        </w:trPr>
        <w:tc>
          <w:tcPr>
            <w:tcW w:w="2410"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28" w:type="dxa"/>
            </w:tcMar>
            <w:textDirection w:val="btLr"/>
          </w:tcPr>
          <w:p>
            <w:pPr>
              <w:pStyle w:val="Normal"/>
              <w:spacing w:lineRule="auto" w:line="240" w:before="0" w:after="0"/>
              <w:ind w:left="113" w:right="113" w:hanging="0"/>
              <w:contextualSpacing/>
              <w:rPr/>
            </w:pPr>
            <w:r>
              <w:rP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28" w:type="dxa"/>
            </w:tcMar>
          </w:tcPr>
          <w:p>
            <w:pPr>
              <w:pStyle w:val="Normal"/>
              <w:spacing w:lineRule="auto" w:line="240" w:before="0" w:after="0"/>
              <w:rPr>
                <w:rFonts w:ascii="Arial" w:hAnsi="Arial" w:cs="Arial"/>
                <w:color w:val="000000"/>
                <w:sz w:val="20"/>
                <w:szCs w:val="20"/>
              </w:rPr>
            </w:pPr>
            <w:r>
              <w:rPr>
                <w:rFonts w:cs="Arial" w:ascii="Arial" w:hAnsi="Arial"/>
                <w:color w:val="000000"/>
                <w:sz w:val="20"/>
                <w:szCs w:val="20"/>
              </w:rPr>
              <w:t xml:space="preserve">BHU323 </w:t>
            </w:r>
          </w:p>
        </w:tc>
        <w:tc>
          <w:tcPr>
            <w:tcW w:w="5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28" w:type="dxa"/>
            </w:tcMar>
          </w:tcPr>
          <w:p>
            <w:pPr>
              <w:pStyle w:val="Normal"/>
              <w:spacing w:lineRule="auto" w:line="240" w:before="0" w:after="0"/>
              <w:ind w:right="109" w:hanging="0"/>
              <w:jc w:val="both"/>
              <w:rPr>
                <w:rFonts w:ascii="Arial" w:hAnsi="Arial" w:cs="Arial"/>
                <w:color w:val="000000"/>
                <w:sz w:val="20"/>
                <w:szCs w:val="20"/>
              </w:rPr>
            </w:pPr>
            <w:r>
              <w:rPr>
                <w:rFonts w:cs="Arial" w:ascii="Arial" w:hAnsi="Arial"/>
                <w:color w:val="000000"/>
                <w:sz w:val="20"/>
                <w:szCs w:val="20"/>
              </w:rPr>
              <w:t>Sociologia da Educação (OBS: Apenas para os alunos que já tenham cursado como AC-Pedagogia e queriam contabilizar como eletiva, mas não é equivalente a Sociologia da Educação, 30h/a, obrigatória do PPC-2018.</w:t>
            </w:r>
          </w:p>
        </w:tc>
      </w:tr>
    </w:tbl>
    <w:p>
      <w:pPr>
        <w:pStyle w:val="Normal"/>
        <w:spacing w:lineRule="auto" w:line="240" w:before="0" w:after="0"/>
        <w:jc w:val="both"/>
        <w:rPr>
          <w:rFonts w:ascii="Arial" w:hAnsi="Arial" w:cs="Arial"/>
          <w:b/>
          <w:b/>
          <w:sz w:val="18"/>
          <w:szCs w:val="18"/>
        </w:rPr>
      </w:pPr>
      <w:r>
        <w:rPr>
          <w:rFonts w:cs="Arial" w:ascii="Arial" w:hAnsi="Arial"/>
          <w:b/>
          <w:sz w:val="18"/>
          <w:szCs w:val="18"/>
        </w:rPr>
      </w:r>
    </w:p>
    <w:p>
      <w:pPr>
        <w:pStyle w:val="Normal"/>
        <w:spacing w:lineRule="auto" w:line="259" w:before="0" w:after="160"/>
        <w:rPr>
          <w:rFonts w:ascii="Arial" w:hAnsi="Arial" w:cs="Arial"/>
          <w:b/>
          <w:b/>
          <w:sz w:val="18"/>
          <w:szCs w:val="18"/>
        </w:rPr>
      </w:pPr>
      <w:r>
        <w:rPr>
          <w:rFonts w:cs="Arial" w:ascii="Arial" w:hAnsi="Arial"/>
          <w:b/>
          <w:sz w:val="18"/>
          <w:szCs w:val="18"/>
        </w:rPr>
      </w:r>
      <w:r>
        <w:br w:type="page"/>
      </w:r>
    </w:p>
    <w:p>
      <w:pPr>
        <w:pStyle w:val="Normal"/>
        <w:spacing w:lineRule="auto" w:line="240" w:before="0" w:after="0"/>
        <w:jc w:val="center"/>
        <w:rPr>
          <w:rFonts w:ascii="Arial" w:hAnsi="Arial" w:cs="Arial"/>
          <w:b/>
          <w:b/>
          <w:sz w:val="40"/>
          <w:szCs w:val="40"/>
        </w:rPr>
      </w:pPr>
      <w:r>
        <w:rPr>
          <w:rFonts w:cs="Arial" w:ascii="Arial" w:hAnsi="Arial"/>
          <w:b/>
          <w:sz w:val="40"/>
          <w:szCs w:val="40"/>
        </w:rPr>
      </w:r>
    </w:p>
    <w:p>
      <w:pPr>
        <w:pStyle w:val="Normal"/>
        <w:spacing w:lineRule="auto" w:line="240" w:before="0" w:after="0"/>
        <w:jc w:val="center"/>
        <w:rPr>
          <w:rFonts w:ascii="Arial" w:hAnsi="Arial" w:cs="Arial"/>
          <w:b/>
          <w:b/>
          <w:sz w:val="40"/>
          <w:szCs w:val="40"/>
        </w:rPr>
      </w:pPr>
      <w:r>
        <w:rPr>
          <w:rFonts w:cs="Arial" w:ascii="Arial" w:hAnsi="Arial"/>
          <w:b/>
          <w:sz w:val="40"/>
          <w:szCs w:val="40"/>
        </w:rPr>
      </w:r>
    </w:p>
    <w:p>
      <w:pPr>
        <w:pStyle w:val="Normal"/>
        <w:spacing w:lineRule="auto" w:line="240" w:before="0" w:after="0"/>
        <w:jc w:val="center"/>
        <w:rPr>
          <w:rFonts w:ascii="Arial" w:hAnsi="Arial" w:cs="Arial"/>
          <w:b/>
          <w:b/>
          <w:sz w:val="40"/>
          <w:szCs w:val="40"/>
        </w:rPr>
      </w:pPr>
      <w:r>
        <w:rPr>
          <w:rFonts w:cs="Arial" w:ascii="Arial" w:hAnsi="Arial"/>
          <w:b/>
          <w:sz w:val="40"/>
          <w:szCs w:val="40"/>
        </w:rPr>
      </w:r>
    </w:p>
    <w:p>
      <w:pPr>
        <w:pStyle w:val="Normal"/>
        <w:spacing w:lineRule="auto" w:line="240" w:before="0" w:after="0"/>
        <w:jc w:val="center"/>
        <w:rPr>
          <w:rFonts w:ascii="Arial" w:hAnsi="Arial" w:cs="Arial"/>
          <w:b/>
          <w:b/>
          <w:sz w:val="40"/>
          <w:szCs w:val="40"/>
        </w:rPr>
      </w:pPr>
      <w:r>
        <w:rPr>
          <w:rFonts w:cs="Arial" w:ascii="Arial" w:hAnsi="Arial"/>
          <w:b/>
          <w:sz w:val="40"/>
          <w:szCs w:val="40"/>
        </w:rPr>
      </w:r>
    </w:p>
    <w:p>
      <w:pPr>
        <w:pStyle w:val="Normal"/>
        <w:spacing w:lineRule="auto" w:line="240" w:before="0" w:after="0"/>
        <w:jc w:val="center"/>
        <w:rPr>
          <w:rFonts w:ascii="Arial" w:hAnsi="Arial" w:cs="Arial"/>
          <w:b/>
          <w:b/>
          <w:sz w:val="40"/>
          <w:szCs w:val="40"/>
        </w:rPr>
      </w:pPr>
      <w:r>
        <w:rPr>
          <w:rFonts w:cs="Arial" w:ascii="Arial" w:hAnsi="Arial"/>
          <w:b/>
          <w:sz w:val="40"/>
          <w:szCs w:val="40"/>
        </w:rPr>
      </w:r>
    </w:p>
    <w:p>
      <w:pPr>
        <w:pStyle w:val="Normal"/>
        <w:spacing w:lineRule="auto" w:line="240" w:before="0" w:after="0"/>
        <w:jc w:val="center"/>
        <w:rPr>
          <w:rFonts w:ascii="Arial" w:hAnsi="Arial" w:cs="Arial"/>
          <w:b/>
          <w:b/>
          <w:sz w:val="40"/>
          <w:szCs w:val="40"/>
        </w:rPr>
      </w:pPr>
      <w:r>
        <w:rPr>
          <w:rFonts w:cs="Arial" w:ascii="Arial" w:hAnsi="Arial"/>
          <w:b/>
          <w:sz w:val="40"/>
          <w:szCs w:val="40"/>
        </w:rPr>
      </w:r>
    </w:p>
    <w:p>
      <w:pPr>
        <w:pStyle w:val="Normal"/>
        <w:spacing w:lineRule="auto" w:line="240" w:before="0" w:after="0"/>
        <w:jc w:val="center"/>
        <w:rPr>
          <w:rFonts w:ascii="Arial" w:hAnsi="Arial" w:cs="Arial"/>
          <w:b/>
          <w:b/>
          <w:sz w:val="40"/>
          <w:szCs w:val="40"/>
        </w:rPr>
      </w:pPr>
      <w:r>
        <w:rPr>
          <w:rFonts w:cs="Arial" w:ascii="Arial" w:hAnsi="Arial"/>
          <w:b/>
          <w:sz w:val="40"/>
          <w:szCs w:val="40"/>
        </w:rPr>
      </w:r>
    </w:p>
    <w:p>
      <w:pPr>
        <w:pStyle w:val="Normal"/>
        <w:spacing w:lineRule="auto" w:line="240" w:before="0" w:after="0"/>
        <w:jc w:val="center"/>
        <w:rPr>
          <w:rFonts w:ascii="Arial" w:hAnsi="Arial" w:cs="Arial"/>
          <w:b/>
          <w:b/>
          <w:sz w:val="40"/>
          <w:szCs w:val="40"/>
        </w:rPr>
      </w:pPr>
      <w:r>
        <w:rPr>
          <w:rFonts w:cs="Arial" w:ascii="Arial" w:hAnsi="Arial"/>
          <w:b/>
          <w:sz w:val="40"/>
          <w:szCs w:val="40"/>
        </w:rPr>
      </w:r>
    </w:p>
    <w:p>
      <w:pPr>
        <w:pStyle w:val="Normal"/>
        <w:spacing w:lineRule="auto" w:line="240" w:before="0" w:after="0"/>
        <w:jc w:val="center"/>
        <w:rPr>
          <w:rFonts w:ascii="Arial" w:hAnsi="Arial" w:cs="Arial"/>
          <w:b/>
          <w:b/>
          <w:sz w:val="40"/>
          <w:szCs w:val="40"/>
        </w:rPr>
      </w:pPr>
      <w:r>
        <w:rPr>
          <w:rFonts w:cs="Arial" w:ascii="Arial" w:hAnsi="Arial"/>
          <w:b/>
          <w:sz w:val="40"/>
          <w:szCs w:val="40"/>
        </w:rPr>
      </w:r>
    </w:p>
    <w:p>
      <w:pPr>
        <w:pStyle w:val="Normal"/>
        <w:spacing w:lineRule="auto" w:line="240" w:before="0" w:after="0"/>
        <w:jc w:val="center"/>
        <w:rPr>
          <w:rFonts w:ascii="Arial" w:hAnsi="Arial" w:cs="Arial"/>
          <w:b/>
          <w:b/>
          <w:sz w:val="40"/>
          <w:szCs w:val="40"/>
        </w:rPr>
      </w:pPr>
      <w:r>
        <w:rPr>
          <w:rFonts w:cs="Arial" w:ascii="Arial" w:hAnsi="Arial"/>
          <w:b/>
          <w:sz w:val="40"/>
          <w:szCs w:val="40"/>
        </w:rPr>
      </w:r>
    </w:p>
    <w:p>
      <w:pPr>
        <w:pStyle w:val="Normal"/>
        <w:spacing w:lineRule="auto" w:line="240" w:before="0" w:after="0"/>
        <w:jc w:val="center"/>
        <w:rPr>
          <w:rFonts w:ascii="Arial" w:hAnsi="Arial" w:cs="Arial"/>
          <w:b/>
          <w:b/>
          <w:sz w:val="40"/>
          <w:szCs w:val="40"/>
        </w:rPr>
      </w:pPr>
      <w:r>
        <w:rPr>
          <w:rFonts w:cs="Arial" w:ascii="Arial" w:hAnsi="Arial"/>
          <w:b/>
          <w:sz w:val="40"/>
          <w:szCs w:val="40"/>
        </w:rPr>
      </w:r>
    </w:p>
    <w:p>
      <w:pPr>
        <w:pStyle w:val="Normal"/>
        <w:spacing w:lineRule="auto" w:line="240" w:before="0" w:after="0"/>
        <w:jc w:val="center"/>
        <w:rPr>
          <w:rFonts w:ascii="Arial" w:hAnsi="Arial" w:cs="Arial"/>
          <w:b/>
          <w:b/>
          <w:sz w:val="40"/>
          <w:szCs w:val="40"/>
        </w:rPr>
      </w:pPr>
      <w:r>
        <w:rPr>
          <w:rFonts w:cs="Arial" w:ascii="Arial" w:hAnsi="Arial"/>
          <w:b/>
          <w:sz w:val="40"/>
          <w:szCs w:val="40"/>
        </w:rPr>
      </w:r>
    </w:p>
    <w:p>
      <w:pPr>
        <w:pStyle w:val="Normal"/>
        <w:spacing w:lineRule="auto" w:line="240" w:before="0" w:after="0"/>
        <w:jc w:val="center"/>
        <w:rPr>
          <w:rFonts w:ascii="Arial" w:hAnsi="Arial" w:cs="Arial"/>
          <w:b/>
          <w:b/>
          <w:sz w:val="40"/>
          <w:szCs w:val="40"/>
        </w:rPr>
      </w:pPr>
      <w:r>
        <w:rPr>
          <w:rFonts w:cs="Arial" w:ascii="Arial" w:hAnsi="Arial"/>
          <w:b/>
          <w:sz w:val="40"/>
          <w:szCs w:val="40"/>
        </w:rPr>
      </w:r>
    </w:p>
    <w:p>
      <w:pPr>
        <w:pStyle w:val="Normal"/>
        <w:spacing w:lineRule="auto" w:line="240" w:before="0" w:after="0"/>
        <w:jc w:val="center"/>
        <w:rPr>
          <w:rFonts w:ascii="Arial" w:hAnsi="Arial" w:cs="Arial"/>
          <w:b/>
          <w:b/>
          <w:sz w:val="40"/>
          <w:szCs w:val="40"/>
        </w:rPr>
      </w:pPr>
      <w:r>
        <w:rPr>
          <w:rFonts w:cs="Arial" w:ascii="Arial" w:hAnsi="Arial"/>
          <w:b/>
          <w:sz w:val="40"/>
          <w:szCs w:val="40"/>
        </w:rPr>
      </w:r>
    </w:p>
    <w:p>
      <w:pPr>
        <w:pStyle w:val="Normal"/>
        <w:spacing w:lineRule="auto" w:line="240" w:before="0" w:after="0"/>
        <w:jc w:val="center"/>
        <w:rPr>
          <w:rFonts w:ascii="Arial" w:hAnsi="Arial" w:cs="Arial"/>
          <w:b/>
          <w:b/>
          <w:sz w:val="72"/>
          <w:szCs w:val="72"/>
        </w:rPr>
      </w:pPr>
      <w:r>
        <w:rPr>
          <w:rFonts w:cs="Arial" w:ascii="Arial" w:hAnsi="Arial"/>
          <w:b/>
          <w:sz w:val="72"/>
          <w:szCs w:val="72"/>
        </w:rPr>
        <w:t>Modelos</w:t>
      </w:r>
    </w:p>
    <w:p>
      <w:pPr>
        <w:pStyle w:val="Normal"/>
        <w:spacing w:lineRule="auto" w:line="240" w:before="0" w:after="0"/>
        <w:jc w:val="center"/>
        <w:rPr>
          <w:rFonts w:ascii="Arial" w:hAnsi="Arial" w:cs="Arial"/>
          <w:b/>
          <w:b/>
          <w:sz w:val="72"/>
          <w:szCs w:val="72"/>
        </w:rPr>
      </w:pPr>
      <w:r>
        <w:rPr>
          <w:rFonts w:cs="Arial" w:ascii="Arial" w:hAnsi="Arial"/>
          <w:b/>
          <w:sz w:val="72"/>
          <w:szCs w:val="72"/>
        </w:rPr>
      </w:r>
    </w:p>
    <w:p>
      <w:pPr>
        <w:pStyle w:val="Normal"/>
        <w:spacing w:lineRule="auto" w:line="259" w:before="0" w:after="160"/>
        <w:rPr>
          <w:rFonts w:ascii="Arial" w:hAnsi="Arial" w:cs="Arial"/>
          <w:b/>
          <w:b/>
          <w:sz w:val="24"/>
          <w:szCs w:val="24"/>
        </w:rPr>
      </w:pPr>
      <w:r>
        <w:rPr>
          <w:rFonts w:cs="Arial" w:ascii="Arial" w:hAnsi="Arial"/>
          <w:b/>
          <w:sz w:val="24"/>
          <w:szCs w:val="24"/>
        </w:rPr>
      </w:r>
      <w:r>
        <w:br w:type="page"/>
      </w:r>
    </w:p>
    <w:p>
      <w:pPr>
        <w:pStyle w:val="Normal"/>
        <w:spacing w:lineRule="auto" w:line="240" w:before="0" w:after="0"/>
        <w:jc w:val="center"/>
        <w:rPr>
          <w:rFonts w:ascii="Arial" w:hAnsi="Arial" w:cs="Arial"/>
          <w:b/>
          <w:b/>
          <w:sz w:val="24"/>
          <w:szCs w:val="24"/>
        </w:rPr>
      </w:pPr>
      <w:r>
        <w:rPr>
          <w:rFonts w:cs="Arial" w:ascii="Arial" w:hAnsi="Arial"/>
          <w:b/>
          <w:sz w:val="24"/>
          <w:szCs w:val="24"/>
        </w:rPr>
      </w:r>
    </w:p>
    <w:p>
      <w:pPr>
        <w:pStyle w:val="Normal"/>
        <w:spacing w:lineRule="auto" w:line="240" w:before="0" w:after="0"/>
        <w:jc w:val="center"/>
        <w:rPr>
          <w:rFonts w:ascii="Arial" w:hAnsi="Arial" w:cs="Arial"/>
          <w:b/>
          <w:b/>
        </w:rPr>
      </w:pPr>
      <w:r>
        <w:rPr>
          <w:rFonts w:cs="Arial" w:ascii="Arial" w:hAnsi="Arial"/>
          <w:b/>
          <w:sz w:val="24"/>
          <w:szCs w:val="24"/>
        </w:rPr>
        <w:t>Formulário:</w:t>
      </w:r>
      <w:r>
        <w:rPr>
          <w:rFonts w:cs="Arial" w:ascii="Arial" w:hAnsi="Arial"/>
          <w:b/>
        </w:rPr>
        <w:t xml:space="preserve"> Análise de situação curricular para transição de currículo</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both"/>
        <w:rPr>
          <w:rFonts w:ascii="Arial" w:hAnsi="Arial" w:cs="Arial"/>
          <w:b/>
          <w:b/>
          <w:sz w:val="18"/>
          <w:szCs w:val="18"/>
        </w:rPr>
      </w:pPr>
      <w:r>
        <w:rPr>
          <w:rFonts w:cs="Arial" w:ascii="Arial" w:hAnsi="Arial"/>
          <w:b/>
          <w:sz w:val="18"/>
          <w:szCs w:val="18"/>
        </w:rPr>
      </w:r>
    </w:p>
    <w:p>
      <w:pPr>
        <w:pStyle w:val="Normal"/>
        <w:spacing w:lineRule="auto" w:line="240" w:before="0" w:after="0"/>
        <w:jc w:val="both"/>
        <w:rPr>
          <w:rFonts w:ascii="Arial" w:hAnsi="Arial" w:cs="Arial"/>
          <w:sz w:val="20"/>
          <w:szCs w:val="20"/>
        </w:rPr>
      </w:pPr>
      <w:r>
        <w:rPr>
          <w:rFonts w:cs="Arial" w:ascii="Arial" w:hAnsi="Arial"/>
          <w:sz w:val="20"/>
          <w:szCs w:val="20"/>
        </w:rPr>
      </w:r>
    </w:p>
    <w:p>
      <w:pPr>
        <w:pStyle w:val="Normal"/>
        <w:spacing w:lineRule="auto" w:line="360" w:before="0" w:after="0"/>
        <w:jc w:val="both"/>
        <w:rPr>
          <w:rFonts w:ascii="Arial" w:hAnsi="Arial" w:cs="Arial"/>
          <w:sz w:val="20"/>
          <w:szCs w:val="20"/>
        </w:rPr>
      </w:pPr>
      <w:r>
        <w:rPr>
          <w:rFonts w:cs="Arial" w:ascii="Arial" w:hAnsi="Arial"/>
          <w:sz w:val="20"/>
          <w:szCs w:val="20"/>
        </w:rPr>
        <w:t>Eu...............................................................................................................venho através deste solicitar análise de currículo com a finalidade de escolher o Projeto Pedagógico de curso da Licenciatura em História ao qual desejo continuar vinculado.</w:t>
      </w:r>
    </w:p>
    <w:p>
      <w:pPr>
        <w:pStyle w:val="Normal"/>
        <w:spacing w:lineRule="auto" w:line="240" w:before="0" w:after="0"/>
        <w:jc w:val="both"/>
        <w:rPr>
          <w:rFonts w:ascii="Arial" w:hAnsi="Arial" w:cs="Arial"/>
          <w:sz w:val="20"/>
          <w:szCs w:val="20"/>
        </w:rPr>
      </w:pPr>
      <w:r>
        <w:rPr>
          <w:rFonts w:cs="Arial" w:ascii="Arial" w:hAnsi="Arial"/>
          <w:sz w:val="20"/>
          <w:szCs w:val="20"/>
        </w:rPr>
      </w:r>
    </w:p>
    <w:p>
      <w:pPr>
        <w:pStyle w:val="Normal"/>
        <w:spacing w:lineRule="auto" w:line="240" w:before="0" w:after="0"/>
        <w:jc w:val="both"/>
        <w:rPr>
          <w:rFonts w:ascii="Arial" w:hAnsi="Arial" w:cs="Arial"/>
          <w:sz w:val="20"/>
          <w:szCs w:val="20"/>
        </w:rPr>
      </w:pPr>
      <w:r>
        <w:rPr>
          <w:rFonts w:cs="Arial" w:ascii="Arial" w:hAnsi="Arial"/>
          <w:sz w:val="20"/>
          <w:szCs w:val="20"/>
        </w:rPr>
      </w:r>
    </w:p>
    <w:p>
      <w:pPr>
        <w:pStyle w:val="Normal"/>
        <w:spacing w:lineRule="auto" w:line="240" w:before="0" w:after="0"/>
        <w:jc w:val="both"/>
        <w:rPr>
          <w:rFonts w:ascii="Arial" w:hAnsi="Arial" w:cs="Arial"/>
          <w:sz w:val="20"/>
          <w:szCs w:val="20"/>
        </w:rPr>
      </w:pPr>
      <w:r>
        <w:rPr>
          <w:rFonts w:cs="Arial" w:ascii="Arial" w:hAnsi="Arial"/>
          <w:sz w:val="20"/>
          <w:szCs w:val="20"/>
        </w:rPr>
      </w:r>
    </w:p>
    <w:p>
      <w:pPr>
        <w:pStyle w:val="Normal"/>
        <w:spacing w:lineRule="auto" w:line="360" w:before="0" w:after="0"/>
        <w:jc w:val="both"/>
        <w:rPr>
          <w:rFonts w:ascii="Arial" w:hAnsi="Arial" w:cs="Arial"/>
          <w:b/>
          <w:b/>
          <w:sz w:val="20"/>
          <w:szCs w:val="20"/>
        </w:rPr>
      </w:pPr>
      <w:r>
        <w:rPr>
          <w:rFonts w:cs="Arial" w:ascii="Arial" w:hAnsi="Arial"/>
          <w:b/>
          <w:sz w:val="20"/>
          <w:szCs w:val="20"/>
        </w:rPr>
        <w:t>Preencher os DADOS:</w:t>
      </w:r>
    </w:p>
    <w:p>
      <w:pPr>
        <w:pStyle w:val="Normal"/>
        <w:spacing w:lineRule="auto" w:line="360" w:before="0" w:after="0"/>
        <w:jc w:val="both"/>
        <w:rPr>
          <w:rFonts w:ascii="Arial" w:hAnsi="Arial" w:cs="Arial"/>
          <w:sz w:val="20"/>
          <w:szCs w:val="20"/>
        </w:rPr>
      </w:pPr>
      <w:r>
        <w:rPr>
          <w:rFonts w:cs="Arial" w:ascii="Arial" w:hAnsi="Arial"/>
          <w:b/>
          <w:sz w:val="20"/>
          <w:szCs w:val="20"/>
        </w:rPr>
        <w:t>Nº de Matrícula</w:t>
      </w:r>
      <w:r>
        <w:rPr>
          <w:rFonts w:cs="Arial" w:ascii="Arial" w:hAnsi="Arial"/>
          <w:sz w:val="20"/>
          <w:szCs w:val="20"/>
        </w:rPr>
        <w:t>:...............................................................</w:t>
      </w:r>
    </w:p>
    <w:p>
      <w:pPr>
        <w:pStyle w:val="Normal"/>
        <w:spacing w:lineRule="auto" w:line="360" w:before="0" w:after="0"/>
        <w:jc w:val="both"/>
        <w:rPr>
          <w:rFonts w:ascii="Arial" w:hAnsi="Arial" w:cs="Arial"/>
          <w:sz w:val="20"/>
          <w:szCs w:val="20"/>
        </w:rPr>
      </w:pPr>
      <w:r>
        <w:rPr>
          <w:rFonts w:cs="Arial" w:ascii="Arial" w:hAnsi="Arial"/>
          <w:b/>
          <w:sz w:val="20"/>
          <w:szCs w:val="20"/>
        </w:rPr>
        <w:t>Ano de ingresso na BHu</w:t>
      </w:r>
      <w:r>
        <w:rPr>
          <w:rFonts w:cs="Arial" w:ascii="Arial" w:hAnsi="Arial"/>
          <w:sz w:val="20"/>
          <w:szCs w:val="20"/>
        </w:rPr>
        <w:t>:..................................................</w:t>
      </w:r>
    </w:p>
    <w:p>
      <w:pPr>
        <w:pStyle w:val="Normal"/>
        <w:spacing w:lineRule="auto" w:line="360" w:before="0" w:after="0"/>
        <w:jc w:val="both"/>
        <w:rPr>
          <w:rFonts w:ascii="Arial" w:hAnsi="Arial" w:cs="Arial"/>
          <w:sz w:val="20"/>
          <w:szCs w:val="20"/>
        </w:rPr>
      </w:pPr>
      <w:r>
        <w:rPr>
          <w:rFonts w:cs="Arial" w:ascii="Arial" w:hAnsi="Arial"/>
          <w:b/>
          <w:sz w:val="20"/>
          <w:szCs w:val="20"/>
        </w:rPr>
        <w:t>Número de semestres cursados</w:t>
      </w:r>
      <w:r>
        <w:rPr>
          <w:rFonts w:cs="Arial" w:ascii="Arial" w:hAnsi="Arial"/>
          <w:sz w:val="20"/>
          <w:szCs w:val="20"/>
        </w:rPr>
        <w:t>:..........................................</w:t>
      </w:r>
    </w:p>
    <w:p>
      <w:pPr>
        <w:pStyle w:val="Normal"/>
        <w:spacing w:lineRule="auto" w:line="360" w:before="0" w:after="0"/>
        <w:jc w:val="both"/>
        <w:rPr>
          <w:rFonts w:ascii="Arial" w:hAnsi="Arial" w:cs="Arial"/>
          <w:sz w:val="20"/>
          <w:szCs w:val="20"/>
        </w:rPr>
      </w:pPr>
      <w:r>
        <w:rPr>
          <w:rFonts w:cs="Arial" w:ascii="Arial" w:hAnsi="Arial"/>
          <w:b/>
          <w:sz w:val="20"/>
          <w:szCs w:val="20"/>
        </w:rPr>
        <w:t>Quantidade de UC’s cursadas e aprovadas</w:t>
      </w:r>
      <w:r>
        <w:rPr>
          <w:rFonts w:cs="Arial" w:ascii="Arial" w:hAnsi="Arial"/>
          <w:sz w:val="20"/>
          <w:szCs w:val="20"/>
        </w:rPr>
        <w:t>:..........................</w:t>
      </w:r>
    </w:p>
    <w:p>
      <w:pPr>
        <w:pStyle w:val="Normal"/>
        <w:spacing w:lineRule="auto" w:line="240" w:before="0" w:after="0"/>
        <w:jc w:val="both"/>
        <w:rPr>
          <w:rFonts w:ascii="Arial" w:hAnsi="Arial" w:cs="Arial"/>
          <w:sz w:val="20"/>
          <w:szCs w:val="20"/>
        </w:rPr>
      </w:pPr>
      <w:r>
        <w:rPr>
          <w:rFonts w:cs="Arial" w:ascii="Arial" w:hAnsi="Arial"/>
          <w:sz w:val="20"/>
          <w:szCs w:val="20"/>
        </w:rPr>
      </w:r>
    </w:p>
    <w:p>
      <w:pPr>
        <w:pStyle w:val="Normal"/>
        <w:spacing w:lineRule="auto" w:line="240" w:before="0" w:after="0"/>
        <w:jc w:val="both"/>
        <w:rPr>
          <w:rFonts w:ascii="Arial" w:hAnsi="Arial" w:cs="Arial"/>
          <w:b/>
          <w:b/>
        </w:rPr>
      </w:pPr>
      <w:r>
        <w:rPr>
          <w:rFonts w:cs="Arial" w:ascii="Arial" w:hAnsi="Arial"/>
          <w:b/>
        </w:rPr>
        <w:t>Preencher a tabela abaixo, com as UC’s, cursadas e APROVADAS:</w:t>
      </w:r>
    </w:p>
    <w:tbl>
      <w:tblPr>
        <w:tblStyle w:val="Tabelacomgrade"/>
        <w:tblW w:w="8494" w:type="dxa"/>
        <w:jc w:val="left"/>
        <w:tblInd w:w="0" w:type="dxa"/>
        <w:tblCellMar>
          <w:top w:w="0" w:type="dxa"/>
          <w:left w:w="108" w:type="dxa"/>
          <w:bottom w:w="0" w:type="dxa"/>
          <w:right w:w="108" w:type="dxa"/>
        </w:tblCellMar>
        <w:tblLook w:firstRow="1" w:noVBand="1" w:lastRow="0" w:firstColumn="1" w:lastColumn="0" w:noHBand="0" w:val="04a0"/>
      </w:tblPr>
      <w:tblGrid>
        <w:gridCol w:w="4389"/>
        <w:gridCol w:w="2693"/>
        <w:gridCol w:w="1412"/>
      </w:tblGrid>
      <w:tr>
        <w:trPr/>
        <w:tc>
          <w:tcPr>
            <w:tcW w:w="4389" w:type="dxa"/>
            <w:tcBorders/>
            <w:shd w:fill="auto" w:val="clear"/>
            <w:tcMar>
              <w:left w:w="108" w:type="dxa"/>
            </w:tcMar>
          </w:tcPr>
          <w:p>
            <w:pPr>
              <w:pStyle w:val="Normal"/>
              <w:spacing w:lineRule="auto" w:line="240" w:before="0" w:after="0"/>
              <w:jc w:val="center"/>
              <w:rPr>
                <w:rFonts w:ascii="Arial" w:hAnsi="Arial" w:cs="Arial"/>
                <w:b/>
                <w:b/>
                <w:sz w:val="20"/>
                <w:szCs w:val="20"/>
              </w:rPr>
            </w:pPr>
            <w:r>
              <w:rPr>
                <w:rFonts w:cs="Arial" w:ascii="Arial" w:hAnsi="Arial"/>
                <w:b/>
                <w:sz w:val="20"/>
                <w:szCs w:val="20"/>
              </w:rPr>
              <w:t>Nome da UC</w:t>
            </w:r>
          </w:p>
        </w:tc>
        <w:tc>
          <w:tcPr>
            <w:tcW w:w="2693" w:type="dxa"/>
            <w:tcBorders/>
            <w:shd w:fill="auto" w:val="clear"/>
            <w:tcMar>
              <w:left w:w="108" w:type="dxa"/>
            </w:tcMar>
          </w:tcPr>
          <w:p>
            <w:pPr>
              <w:pStyle w:val="Normal"/>
              <w:spacing w:lineRule="auto" w:line="240" w:before="0" w:after="0"/>
              <w:jc w:val="center"/>
              <w:rPr>
                <w:rFonts w:ascii="Arial" w:hAnsi="Arial" w:cs="Arial"/>
                <w:b/>
                <w:b/>
                <w:sz w:val="20"/>
                <w:szCs w:val="20"/>
              </w:rPr>
            </w:pPr>
            <w:r>
              <w:rPr>
                <w:rFonts w:cs="Arial" w:ascii="Arial" w:hAnsi="Arial"/>
                <w:b/>
                <w:sz w:val="20"/>
                <w:szCs w:val="20"/>
              </w:rPr>
              <w:t>Código</w:t>
            </w:r>
          </w:p>
        </w:tc>
        <w:tc>
          <w:tcPr>
            <w:tcW w:w="1412" w:type="dxa"/>
            <w:tcBorders/>
            <w:shd w:fill="auto" w:val="clear"/>
            <w:tcMar>
              <w:left w:w="108" w:type="dxa"/>
            </w:tcMar>
          </w:tcPr>
          <w:p>
            <w:pPr>
              <w:pStyle w:val="Normal"/>
              <w:spacing w:lineRule="auto" w:line="240" w:before="0" w:after="0"/>
              <w:jc w:val="center"/>
              <w:rPr>
                <w:rFonts w:ascii="Arial" w:hAnsi="Arial" w:cs="Arial"/>
                <w:b/>
                <w:b/>
                <w:sz w:val="20"/>
                <w:szCs w:val="20"/>
              </w:rPr>
            </w:pPr>
            <w:r>
              <w:rPr>
                <w:rFonts w:cs="Arial" w:ascii="Arial" w:hAnsi="Arial"/>
                <w:b/>
                <w:sz w:val="20"/>
                <w:szCs w:val="20"/>
              </w:rPr>
              <w:t>Semestre</w:t>
            </w:r>
          </w:p>
        </w:tc>
      </w:tr>
      <w:tr>
        <w:trPr/>
        <w:tc>
          <w:tcPr>
            <w:tcW w:w="4389"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2693"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141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r>
      <w:tr>
        <w:trPr/>
        <w:tc>
          <w:tcPr>
            <w:tcW w:w="4389"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2693"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141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r>
      <w:tr>
        <w:trPr/>
        <w:tc>
          <w:tcPr>
            <w:tcW w:w="4389"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2693"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141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r>
      <w:tr>
        <w:trPr/>
        <w:tc>
          <w:tcPr>
            <w:tcW w:w="4389"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2693"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141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r>
      <w:tr>
        <w:trPr/>
        <w:tc>
          <w:tcPr>
            <w:tcW w:w="4389"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2693"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141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r>
      <w:tr>
        <w:trPr/>
        <w:tc>
          <w:tcPr>
            <w:tcW w:w="4389"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2693"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141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r>
      <w:tr>
        <w:trPr/>
        <w:tc>
          <w:tcPr>
            <w:tcW w:w="4389"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2693"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141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r>
      <w:tr>
        <w:trPr/>
        <w:tc>
          <w:tcPr>
            <w:tcW w:w="4389"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2693"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141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r>
      <w:tr>
        <w:trPr/>
        <w:tc>
          <w:tcPr>
            <w:tcW w:w="4389"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2693"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141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r>
      <w:tr>
        <w:trPr/>
        <w:tc>
          <w:tcPr>
            <w:tcW w:w="4389"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2693"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141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r>
      <w:tr>
        <w:trPr/>
        <w:tc>
          <w:tcPr>
            <w:tcW w:w="4389"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2693"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141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r>
      <w:tr>
        <w:trPr/>
        <w:tc>
          <w:tcPr>
            <w:tcW w:w="4389"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2693"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141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r>
      <w:tr>
        <w:trPr/>
        <w:tc>
          <w:tcPr>
            <w:tcW w:w="4389"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2693"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141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r>
      <w:tr>
        <w:trPr/>
        <w:tc>
          <w:tcPr>
            <w:tcW w:w="4389"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2693"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c>
          <w:tcPr>
            <w:tcW w:w="1412" w:type="dxa"/>
            <w:tcBorders/>
            <w:shd w:fill="auto" w:val="clear"/>
            <w:tcMar>
              <w:left w:w="108" w:type="dxa"/>
            </w:tcMar>
          </w:tcPr>
          <w:p>
            <w:pPr>
              <w:pStyle w:val="Normal"/>
              <w:spacing w:lineRule="auto" w:line="240" w:before="0" w:after="0"/>
              <w:jc w:val="both"/>
              <w:rPr>
                <w:rFonts w:ascii="Arial" w:hAnsi="Arial" w:cs="Arial"/>
                <w:sz w:val="20"/>
                <w:szCs w:val="20"/>
              </w:rPr>
            </w:pPr>
            <w:r>
              <w:rPr>
                <w:rFonts w:cs="Arial" w:ascii="Arial" w:hAnsi="Arial"/>
                <w:sz w:val="20"/>
                <w:szCs w:val="20"/>
              </w:rPr>
            </w:r>
          </w:p>
        </w:tc>
      </w:tr>
    </w:tbl>
    <w:p>
      <w:pPr>
        <w:pStyle w:val="Normal"/>
        <w:spacing w:lineRule="auto" w:line="240" w:before="0" w:after="0"/>
        <w:jc w:val="both"/>
        <w:rPr>
          <w:rFonts w:ascii="Arial" w:hAnsi="Arial" w:cs="Arial"/>
          <w:sz w:val="20"/>
          <w:szCs w:val="20"/>
        </w:rPr>
      </w:pPr>
      <w:r>
        <w:rPr>
          <w:rFonts w:cs="Arial" w:ascii="Arial" w:hAnsi="Arial"/>
          <w:sz w:val="20"/>
          <w:szCs w:val="20"/>
        </w:rPr>
      </w:r>
    </w:p>
    <w:p>
      <w:pPr>
        <w:pStyle w:val="Normal"/>
        <w:spacing w:lineRule="auto" w:line="240" w:before="0" w:after="0"/>
        <w:jc w:val="both"/>
        <w:rPr>
          <w:rFonts w:ascii="Arial" w:hAnsi="Arial" w:cs="Arial"/>
          <w:b/>
          <w:b/>
        </w:rPr>
      </w:pPr>
      <w:r>
        <w:rPr>
          <w:rFonts w:cs="Arial" w:ascii="Arial" w:hAnsi="Arial"/>
          <w:b/>
        </w:rPr>
        <w:t>Resultado da Análise:</w:t>
      </w:r>
    </w:p>
    <w:tbl>
      <w:tblPr>
        <w:tblStyle w:val="Tabelacomgrade"/>
        <w:tblW w:w="8494" w:type="dxa"/>
        <w:jc w:val="left"/>
        <w:tblInd w:w="0" w:type="dxa"/>
        <w:tblCellMar>
          <w:top w:w="0" w:type="dxa"/>
          <w:left w:w="108" w:type="dxa"/>
          <w:bottom w:w="0" w:type="dxa"/>
          <w:right w:w="108" w:type="dxa"/>
        </w:tblCellMar>
        <w:tblLook w:firstRow="1" w:noVBand="1" w:lastRow="0" w:firstColumn="1" w:lastColumn="0" w:noHBand="0" w:val="04a0"/>
      </w:tblPr>
      <w:tblGrid>
        <w:gridCol w:w="8494"/>
      </w:tblGrid>
      <w:tr>
        <w:trPr/>
        <w:tc>
          <w:tcPr>
            <w:tcW w:w="8494" w:type="dxa"/>
            <w:tcBorders/>
            <w:shd w:fill="auto" w:val="clear"/>
            <w:tcMar>
              <w:left w:w="108" w:type="dxa"/>
            </w:tcMar>
          </w:tcPr>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mc:AlternateContent>
                <mc:Choice Requires="wps">
                  <w:drawing>
                    <wp:anchor behindDoc="0" distT="45720" distB="45720" distL="114300" distR="114300" simplePos="0" locked="0" layoutInCell="1" allowOverlap="1" relativeHeight="14" wp14:anchorId="3D3745F1">
                      <wp:simplePos x="0" y="0"/>
                      <wp:positionH relativeFrom="column">
                        <wp:posOffset>895985</wp:posOffset>
                      </wp:positionH>
                      <wp:positionV relativeFrom="paragraph">
                        <wp:posOffset>59690</wp:posOffset>
                      </wp:positionV>
                      <wp:extent cx="1679575" cy="553720"/>
                      <wp:effectExtent l="57150" t="381000" r="0" b="380365"/>
                      <wp:wrapSquare wrapText="bothSides"/>
                      <wp:docPr id="22" name="Caixa de Texto 2"/>
                      <a:graphic xmlns:a="http://schemas.openxmlformats.org/drawingml/2006/main">
                        <a:graphicData uri="http://schemas.microsoft.com/office/word/2010/wordprocessingShape">
                          <wps:wsp>
                            <wps:cNvSpPr/>
                            <wps:spPr>
                              <a:xfrm rot="19936800">
                                <a:off x="0" y="0"/>
                                <a:ext cx="1679040" cy="552960"/>
                              </a:xfrm>
                              <a:prstGeom prst="rect">
                                <a:avLst/>
                              </a:prstGeom>
                              <a:solidFill>
                                <a:srgbClr val="ffffff"/>
                              </a:solidFill>
                              <a:ln w="9360">
                                <a:solidFill>
                                  <a:srgbClr val="000000"/>
                                </a:solidFill>
                                <a:miter/>
                              </a:ln>
                            </wps:spPr>
                            <wps:style>
                              <a:lnRef idx="0"/>
                              <a:fillRef idx="0"/>
                              <a:effectRef idx="0"/>
                              <a:fontRef idx="minor"/>
                            </wps:style>
                            <wps:txbx>
                              <w:txbxContent>
                                <w:p>
                                  <w:pPr>
                                    <w:pStyle w:val="Contedodoquadro"/>
                                    <w:jc w:val="center"/>
                                    <w:rPr>
                                      <w:color w:val="auto"/>
                                    </w:rPr>
                                  </w:pPr>
                                  <w:r>
                                    <w:rPr>
                                      <w:rFonts w:cs="Arial"/>
                                      <w:color w:val="auto"/>
                                    </w:rPr>
                                    <w:t>Espaço para análise da Coordenação do Curso</w:t>
                                  </w:r>
                                </w:p>
                              </w:txbxContent>
                            </wps:txbx>
                            <wps:bodyPr>
                              <a:noAutofit/>
                            </wps:bodyPr>
                          </wps:wsp>
                        </a:graphicData>
                      </a:graphic>
                    </wp:anchor>
                  </w:drawing>
                </mc:Choice>
                <mc:Fallback>
                  <w:pict>
                    <v:rect id="shape_0" ID="Caixa de Texto 2" fillcolor="white" stroked="t" style="position:absolute;margin-left:70.5pt;margin-top:4.65pt;width:132.15pt;height:43.5pt;rotation:332" wp14:anchorId="3D3745F1">
                      <w10:wrap type="square"/>
                      <v:fill o:detectmouseclick="t" type="solid" color2="black"/>
                      <v:stroke color="black" weight="9360" joinstyle="miter" endcap="flat"/>
                      <v:textbox>
                        <w:txbxContent>
                          <w:p>
                            <w:pPr>
                              <w:pStyle w:val="Contedodoquadro"/>
                              <w:jc w:val="center"/>
                              <w:rPr>
                                <w:color w:val="auto"/>
                              </w:rPr>
                            </w:pPr>
                            <w:r>
                              <w:rPr>
                                <w:rFonts w:cs="Arial"/>
                                <w:color w:val="auto"/>
                              </w:rPr>
                              <w:t>Espaço para análise da Coordenação do Curso</w:t>
                            </w:r>
                          </w:p>
                        </w:txbxContent>
                      </v:textbox>
                    </v:rect>
                  </w:pict>
                </mc:Fallback>
              </mc:AlternateConten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tc>
      </w:tr>
    </w:tbl>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right"/>
        <w:rPr>
          <w:rFonts w:ascii="Arial" w:hAnsi="Arial" w:cs="Arial"/>
          <w:sz w:val="20"/>
          <w:szCs w:val="20"/>
        </w:rPr>
      </w:pPr>
      <w:r>
        <w:rPr>
          <w:rFonts w:cs="Arial" w:ascii="Arial" w:hAnsi="Arial"/>
          <w:sz w:val="20"/>
          <w:szCs w:val="20"/>
        </w:rPr>
        <w:t>_____________________________________</w:t>
      </w:r>
    </w:p>
    <w:p>
      <w:pPr>
        <w:pStyle w:val="Normal"/>
        <w:spacing w:lineRule="auto" w:line="240" w:before="0" w:after="0"/>
        <w:jc w:val="right"/>
        <w:rPr>
          <w:rFonts w:ascii="Arial" w:hAnsi="Arial" w:cs="Arial"/>
          <w:sz w:val="20"/>
          <w:szCs w:val="20"/>
        </w:rPr>
      </w:pPr>
      <w:r>
        <w:rPr>
          <w:rFonts w:cs="Arial" w:ascii="Arial" w:hAnsi="Arial"/>
          <w:sz w:val="20"/>
          <w:szCs w:val="20"/>
        </w:rPr>
      </w:r>
    </w:p>
    <w:p>
      <w:pPr>
        <w:pStyle w:val="Normal"/>
        <w:spacing w:lineRule="auto" w:line="240" w:before="0" w:after="0"/>
        <w:jc w:val="right"/>
        <w:rPr>
          <w:rFonts w:ascii="Arial" w:hAnsi="Arial" w:cs="Arial"/>
          <w:sz w:val="20"/>
          <w:szCs w:val="20"/>
        </w:rPr>
      </w:pPr>
      <w:r>
        <w:rPr>
          <w:rFonts w:cs="Arial" w:ascii="Arial" w:hAnsi="Arial"/>
          <w:sz w:val="20"/>
          <w:szCs w:val="20"/>
        </w:rPr>
        <w:t>Diamantina,.......de.............................de..........</w:t>
      </w:r>
    </w:p>
    <w:p>
      <w:pPr>
        <w:pStyle w:val="Normal"/>
        <w:spacing w:lineRule="auto" w:line="240" w:before="0" w:after="0"/>
        <w:jc w:val="right"/>
        <w:rPr>
          <w:rFonts w:ascii="Arial" w:hAnsi="Arial" w:cs="Arial"/>
          <w:sz w:val="20"/>
          <w:szCs w:val="20"/>
        </w:rPr>
      </w:pPr>
      <w:r>
        <w:rPr>
          <w:rFonts w:cs="Arial" w:ascii="Arial" w:hAnsi="Arial"/>
          <w:sz w:val="20"/>
          <w:szCs w:val="20"/>
        </w:rPr>
      </w:r>
    </w:p>
    <w:p>
      <w:pPr>
        <w:pStyle w:val="Normal"/>
        <w:spacing w:lineRule="auto" w:line="240" w:before="0" w:after="0"/>
        <w:jc w:val="right"/>
        <w:rPr>
          <w:rFonts w:ascii="Arial" w:hAnsi="Arial" w:cs="Arial"/>
          <w:sz w:val="20"/>
          <w:szCs w:val="20"/>
        </w:rPr>
      </w:pPr>
      <w:r>
        <w:rPr>
          <w:rFonts w:cs="Arial" w:ascii="Arial" w:hAnsi="Arial"/>
          <w:sz w:val="20"/>
          <w:szCs w:val="20"/>
        </w:rPr>
        <w:t>Entregar este formulário datado, assinado e junto</w:t>
      </w:r>
    </w:p>
    <w:p>
      <w:pPr>
        <w:pStyle w:val="Normal"/>
        <w:spacing w:lineRule="auto" w:line="240" w:before="0" w:after="0"/>
        <w:jc w:val="right"/>
        <w:rPr>
          <w:rFonts w:ascii="Arial" w:hAnsi="Arial" w:cs="Arial"/>
          <w:sz w:val="20"/>
          <w:szCs w:val="20"/>
        </w:rPr>
      </w:pPr>
      <w:r>
        <w:rPr>
          <w:rFonts w:cs="Arial" w:ascii="Arial" w:hAnsi="Arial"/>
          <w:sz w:val="20"/>
          <w:szCs w:val="20"/>
        </w:rPr>
        <w:t xml:space="preserve"> </w:t>
      </w:r>
      <w:r>
        <w:rPr>
          <w:rFonts w:cs="Arial" w:ascii="Arial" w:hAnsi="Arial"/>
          <w:b/>
          <w:sz w:val="20"/>
          <w:szCs w:val="20"/>
        </w:rPr>
        <w:t>uma cópia do Histórico Acadêmico</w:t>
      </w:r>
      <w:r>
        <w:rPr>
          <w:rFonts w:cs="Arial" w:ascii="Arial" w:hAnsi="Arial"/>
          <w:sz w:val="20"/>
          <w:szCs w:val="20"/>
        </w:rPr>
        <w:t xml:space="preserve"> retirado do SIGA</w:t>
      </w:r>
    </w:p>
    <w:p>
      <w:pPr>
        <w:pStyle w:val="Normal"/>
        <w:spacing w:lineRule="auto" w:line="360" w:before="0" w:after="0"/>
        <w:ind w:firstLine="709"/>
        <w:jc w:val="both"/>
        <w:rPr>
          <w:rFonts w:ascii="Arial" w:hAnsi="Arial" w:cs="Arial"/>
          <w:b/>
          <w:b/>
        </w:rPr>
      </w:pPr>
      <w:r>
        <w:rPr>
          <w:rFonts w:cs="Arial" w:ascii="Arial" w:hAnsi="Arial"/>
          <w:b/>
        </w:rPr>
      </w:r>
    </w:p>
    <w:p>
      <w:pPr>
        <w:pStyle w:val="Normal"/>
        <w:spacing w:lineRule="auto" w:line="360" w:before="0" w:after="0"/>
        <w:ind w:firstLine="709"/>
        <w:jc w:val="both"/>
        <w:rPr>
          <w:rFonts w:ascii="Arial" w:hAnsi="Arial" w:cs="Arial"/>
          <w:b/>
          <w:b/>
        </w:rPr>
      </w:pPr>
      <w:r>
        <w:rPr>
          <w:rFonts w:cs="Arial" w:ascii="Arial" w:hAnsi="Arial"/>
          <w:b/>
        </w:rPr>
        <w:t>Termo de Responsabilidade: Mudança de PPC da Licenciatura em História</w:t>
      </w:r>
    </w:p>
    <w:p>
      <w:pPr>
        <w:pStyle w:val="Normal"/>
        <w:spacing w:lineRule="auto" w:line="360" w:before="0" w:after="0"/>
        <w:ind w:firstLine="709"/>
        <w:jc w:val="both"/>
        <w:rPr>
          <w:rFonts w:ascii="Arial" w:hAnsi="Arial" w:cs="Arial"/>
          <w:b/>
          <w:b/>
        </w:rPr>
      </w:pPr>
      <w:r>
        <w:rPr>
          <w:rFonts w:cs="Arial" w:ascii="Arial" w:hAnsi="Arial"/>
          <w:b/>
        </w:rPr>
      </w:r>
    </w:p>
    <w:p>
      <w:pPr>
        <w:pStyle w:val="Normal"/>
        <w:spacing w:lineRule="auto" w:line="360" w:before="0" w:after="0"/>
        <w:jc w:val="both"/>
        <w:rPr>
          <w:rFonts w:ascii="Arial" w:hAnsi="Arial" w:cs="Arial"/>
          <w:sz w:val="20"/>
          <w:szCs w:val="20"/>
        </w:rPr>
      </w:pPr>
      <w:r>
        <w:rPr>
          <w:rFonts w:cs="Arial" w:ascii="Arial" w:hAnsi="Arial"/>
          <w:sz w:val="20"/>
          <w:szCs w:val="20"/>
        </w:rPr>
        <w:t>Eu...................................................................................................................número de matrícula: ..............................venho através deste solicitar a transferência para o novo Projeto Pedagógico  do Curso da Licenciatura em História vigente a partir de 2018/1. Informo que estou ciente da análise realizada previamente no meu histórico escolar, documento junto em anexo sendo de minha livre vontade a opção pela migração do Projeto Pedagógico (2012) no qual ingressei para o novo PPC-2018.</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right"/>
        <w:rPr>
          <w:rFonts w:ascii="Arial" w:hAnsi="Arial" w:cs="Arial"/>
          <w:sz w:val="20"/>
          <w:szCs w:val="20"/>
        </w:rPr>
      </w:pPr>
      <w:r>
        <w:rPr>
          <w:rFonts w:cs="Arial" w:ascii="Arial" w:hAnsi="Arial"/>
          <w:sz w:val="20"/>
          <w:szCs w:val="20"/>
        </w:rPr>
        <w:t>_____________________________________</w:t>
      </w:r>
    </w:p>
    <w:p>
      <w:pPr>
        <w:pStyle w:val="Normal"/>
        <w:spacing w:lineRule="auto" w:line="240" w:before="0" w:after="0"/>
        <w:jc w:val="right"/>
        <w:rPr>
          <w:rFonts w:ascii="Arial" w:hAnsi="Arial" w:cs="Arial"/>
          <w:sz w:val="20"/>
          <w:szCs w:val="20"/>
        </w:rPr>
      </w:pPr>
      <w:r>
        <w:rPr>
          <w:rFonts w:cs="Arial" w:ascii="Arial" w:hAnsi="Arial"/>
          <w:sz w:val="20"/>
          <w:szCs w:val="20"/>
        </w:rPr>
      </w:r>
    </w:p>
    <w:p>
      <w:pPr>
        <w:pStyle w:val="Normal"/>
        <w:spacing w:lineRule="auto" w:line="240" w:before="0" w:after="0"/>
        <w:jc w:val="right"/>
        <w:rPr>
          <w:rFonts w:ascii="Arial" w:hAnsi="Arial" w:cs="Arial"/>
          <w:sz w:val="20"/>
          <w:szCs w:val="20"/>
        </w:rPr>
      </w:pPr>
      <w:r>
        <w:rPr>
          <w:rFonts w:cs="Arial" w:ascii="Arial" w:hAnsi="Arial"/>
          <w:sz w:val="20"/>
          <w:szCs w:val="20"/>
        </w:rPr>
        <w:t>Diamantina,.......de.............................de..........</w:t>
      </w:r>
    </w:p>
    <w:p>
      <w:pPr>
        <w:pStyle w:val="Normal"/>
        <w:spacing w:lineRule="auto" w:line="360" w:before="0" w:after="0"/>
        <w:jc w:val="both"/>
        <w:rPr>
          <w:rFonts w:ascii="Arial" w:hAnsi="Arial" w:cs="Arial"/>
          <w:sz w:val="20"/>
          <w:szCs w:val="20"/>
        </w:rPr>
      </w:pPr>
      <w:r>
        <w:rPr>
          <w:rFonts w:cs="Arial" w:ascii="Arial" w:hAnsi="Arial"/>
          <w:sz w:val="20"/>
          <w:szCs w:val="20"/>
        </w:rPr>
      </w:r>
    </w:p>
    <w:p>
      <w:pPr>
        <w:pStyle w:val="Normal"/>
        <w:spacing w:lineRule="auto" w:line="360" w:before="0" w:after="0"/>
        <w:jc w:val="both"/>
        <w:rPr>
          <w:rFonts w:ascii="Arial" w:hAnsi="Arial" w:cs="Arial"/>
          <w:sz w:val="20"/>
          <w:szCs w:val="20"/>
        </w:rPr>
      </w:pPr>
      <w:r>
        <w:rPr>
          <w:rFonts w:cs="Arial" w:ascii="Arial" w:hAnsi="Arial"/>
          <w:sz w:val="20"/>
          <w:szCs w:val="20"/>
        </w:rPr>
      </w:r>
    </w:p>
    <w:p>
      <w:pPr>
        <w:pStyle w:val="Normal"/>
        <w:spacing w:lineRule="auto" w:line="360" w:before="0" w:after="0"/>
        <w:jc w:val="both"/>
        <w:rPr>
          <w:rFonts w:ascii="Arial" w:hAnsi="Arial" w:cs="Arial"/>
          <w:sz w:val="20"/>
          <w:szCs w:val="20"/>
        </w:rPr>
      </w:pPr>
      <w:r>
        <w:rPr>
          <w:rFonts w:cs="Arial" w:ascii="Arial" w:hAnsi="Arial"/>
          <w:sz w:val="20"/>
          <w:szCs w:val="20"/>
        </w:rPr>
      </w:r>
    </w:p>
    <w:p>
      <w:pPr>
        <w:pStyle w:val="Normal"/>
        <w:spacing w:lineRule="auto" w:line="360" w:before="0" w:after="0"/>
        <w:jc w:val="both"/>
        <w:rPr>
          <w:rFonts w:ascii="Arial" w:hAnsi="Arial" w:cs="Arial"/>
          <w:sz w:val="20"/>
          <w:szCs w:val="20"/>
        </w:rPr>
      </w:pPr>
      <w:r>
        <w:rPr>
          <w:rFonts w:cs="Arial" w:ascii="Arial" w:hAnsi="Arial"/>
          <w:sz w:val="20"/>
          <w:szCs w:val="20"/>
        </w:rPr>
      </w:r>
    </w:p>
    <w:p>
      <w:pPr>
        <w:pStyle w:val="Normal"/>
        <w:spacing w:lineRule="auto" w:line="360" w:before="0" w:after="0"/>
        <w:jc w:val="both"/>
        <w:rPr>
          <w:rFonts w:ascii="Arial" w:hAnsi="Arial" w:cs="Arial"/>
          <w:sz w:val="20"/>
          <w:szCs w:val="20"/>
        </w:rPr>
      </w:pPr>
      <w:r>
        <w:rPr>
          <w:rFonts w:cs="Arial" w:ascii="Arial" w:hAnsi="Arial"/>
          <w:sz w:val="20"/>
          <w:szCs w:val="20"/>
        </w:rPr>
      </w:r>
    </w:p>
    <w:p>
      <w:pPr>
        <w:pStyle w:val="Normal"/>
        <w:spacing w:lineRule="auto" w:line="360" w:before="0" w:after="0"/>
        <w:ind w:firstLine="709"/>
        <w:jc w:val="both"/>
        <w:rPr>
          <w:rFonts w:ascii="Arial" w:hAnsi="Arial" w:cs="Arial"/>
          <w:b/>
          <w:b/>
        </w:rPr>
      </w:pPr>
      <w:r>
        <w:rPr>
          <w:rFonts w:cs="Arial" w:ascii="Arial" w:hAnsi="Arial"/>
          <w:b/>
        </w:rPr>
      </w:r>
    </w:p>
    <w:p>
      <w:pPr>
        <w:pStyle w:val="Normal"/>
        <w:spacing w:lineRule="auto" w:line="360" w:before="0" w:after="0"/>
        <w:jc w:val="both"/>
        <w:rPr>
          <w:rFonts w:ascii="Arial" w:hAnsi="Arial" w:cs="Arial"/>
          <w:b/>
          <w:b/>
        </w:rPr>
      </w:pPr>
      <w:r>
        <w:rPr>
          <w:rFonts w:cs="Arial" w:ascii="Arial" w:hAnsi="Arial"/>
          <w:b/>
        </w:rPr>
        <w:t>Termo de Responsabilidade: Permanência de PPC da Licenciatura em História</w:t>
      </w:r>
    </w:p>
    <w:p>
      <w:pPr>
        <w:pStyle w:val="Normal"/>
        <w:spacing w:lineRule="auto" w:line="360" w:before="0" w:after="0"/>
        <w:ind w:firstLine="709"/>
        <w:jc w:val="both"/>
        <w:rPr>
          <w:rFonts w:ascii="Arial" w:hAnsi="Arial" w:cs="Arial"/>
          <w:b/>
          <w:b/>
        </w:rPr>
      </w:pPr>
      <w:r>
        <w:rPr>
          <w:rFonts w:cs="Arial" w:ascii="Arial" w:hAnsi="Arial"/>
          <w:b/>
        </w:rPr>
      </w:r>
    </w:p>
    <w:p>
      <w:pPr>
        <w:pStyle w:val="Normal"/>
        <w:spacing w:lineRule="auto" w:line="360" w:before="0" w:after="0"/>
        <w:jc w:val="both"/>
        <w:rPr>
          <w:rFonts w:ascii="Arial" w:hAnsi="Arial" w:cs="Arial"/>
          <w:sz w:val="20"/>
          <w:szCs w:val="20"/>
        </w:rPr>
      </w:pPr>
      <w:r>
        <w:rPr>
          <w:rFonts w:cs="Arial" w:ascii="Arial" w:hAnsi="Arial"/>
          <w:sz w:val="20"/>
          <w:szCs w:val="20"/>
        </w:rPr>
        <w:t>Eu...................................................................................................................número de matrícula: ..............................informo através deste. Após a análise realizada no meu histórico escolar, documento junto em anexo, é de minha livre vontade permanecer no Projeto Pedagógico d Curso que ingressei, ou seja, PPC-2012.</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right"/>
        <w:rPr>
          <w:rFonts w:ascii="Arial" w:hAnsi="Arial" w:cs="Arial"/>
          <w:sz w:val="20"/>
          <w:szCs w:val="20"/>
        </w:rPr>
      </w:pPr>
      <w:r>
        <w:rPr>
          <w:rFonts w:cs="Arial" w:ascii="Arial" w:hAnsi="Arial"/>
          <w:sz w:val="20"/>
          <w:szCs w:val="20"/>
        </w:rPr>
        <w:t>_____________________________________</w:t>
      </w:r>
    </w:p>
    <w:p>
      <w:pPr>
        <w:pStyle w:val="Normal"/>
        <w:spacing w:lineRule="auto" w:line="240" w:before="0" w:after="0"/>
        <w:jc w:val="right"/>
        <w:rPr>
          <w:rFonts w:ascii="Arial" w:hAnsi="Arial" w:cs="Arial"/>
          <w:sz w:val="20"/>
          <w:szCs w:val="20"/>
        </w:rPr>
      </w:pPr>
      <w:r>
        <w:rPr>
          <w:rFonts w:cs="Arial" w:ascii="Arial" w:hAnsi="Arial"/>
          <w:sz w:val="20"/>
          <w:szCs w:val="20"/>
        </w:rPr>
      </w:r>
    </w:p>
    <w:p>
      <w:pPr>
        <w:pStyle w:val="Normal"/>
        <w:spacing w:lineRule="auto" w:line="240" w:before="0" w:after="0"/>
        <w:jc w:val="right"/>
        <w:rPr>
          <w:rFonts w:ascii="Arial" w:hAnsi="Arial" w:cs="Arial"/>
          <w:sz w:val="20"/>
          <w:szCs w:val="20"/>
        </w:rPr>
      </w:pPr>
      <w:r>
        <w:rPr>
          <w:rFonts w:cs="Arial" w:ascii="Arial" w:hAnsi="Arial"/>
          <w:sz w:val="20"/>
          <w:szCs w:val="20"/>
        </w:rPr>
        <w:t>Diamantina,.......de.............................de..........</w:t>
      </w:r>
    </w:p>
    <w:p>
      <w:pPr>
        <w:pStyle w:val="Normal"/>
        <w:spacing w:lineRule="auto" w:line="240" w:before="0" w:after="0"/>
        <w:jc w:val="right"/>
        <w:rPr>
          <w:rFonts w:ascii="Arial" w:hAnsi="Arial" w:cs="Arial"/>
          <w:sz w:val="20"/>
          <w:szCs w:val="20"/>
        </w:rPr>
      </w:pPr>
      <w:r>
        <w:rPr>
          <w:rFonts w:cs="Arial" w:ascii="Arial" w:hAnsi="Arial"/>
          <w:sz w:val="20"/>
          <w:szCs w:val="20"/>
        </w:rPr>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r>
    </w:p>
    <w:p>
      <w:pPr>
        <w:pStyle w:val="Normal"/>
        <w:spacing w:lineRule="auto" w:line="240" w:before="360" w:after="360"/>
        <w:jc w:val="center"/>
        <w:rPr>
          <w:rFonts w:ascii="Arial" w:hAnsi="Arial" w:cs="Arial"/>
          <w:b/>
          <w:b/>
          <w:bCs/>
          <w:sz w:val="72"/>
          <w:szCs w:val="72"/>
        </w:rPr>
      </w:pPr>
      <w:r>
        <w:rPr>
          <w:rFonts w:cs="Arial" w:ascii="Arial" w:hAnsi="Arial"/>
          <w:b/>
          <w:bCs/>
          <w:sz w:val="72"/>
          <w:szCs w:val="72"/>
        </w:rPr>
      </w:r>
    </w:p>
    <w:p>
      <w:pPr>
        <w:pStyle w:val="Normal"/>
        <w:spacing w:lineRule="auto" w:line="360" w:before="0" w:after="0"/>
        <w:rPr>
          <w:rFonts w:ascii="Arial" w:hAnsi="Arial" w:cs="Arial"/>
          <w:b/>
          <w:b/>
          <w:bCs/>
          <w:sz w:val="72"/>
          <w:szCs w:val="72"/>
        </w:rPr>
      </w:pPr>
      <w:r>
        <w:rPr>
          <w:rFonts w:cs="Arial" w:ascii="Arial" w:hAnsi="Arial"/>
          <w:b/>
          <w:bCs/>
          <w:sz w:val="72"/>
          <w:szCs w:val="72"/>
        </w:rPr>
      </w:r>
    </w:p>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Arial" w:hAnsi="Arial" w:cs="Arial"/>
          <w:b/>
          <w:b/>
          <w:bCs/>
          <w:sz w:val="72"/>
          <w:szCs w:val="72"/>
        </w:rPr>
      </w:pPr>
      <w:r>
        <w:rPr>
          <w:rFonts w:cs="Arial" w:ascii="Arial" w:hAnsi="Arial"/>
          <w:b/>
          <w:bCs/>
          <w:sz w:val="72"/>
          <w:szCs w:val="72"/>
        </w:rPr>
        <w:t>ANEXO B</w:t>
      </w:r>
    </w:p>
    <w:p>
      <w:pPr>
        <w:pStyle w:val="Normal"/>
        <w:spacing w:lineRule="auto" w:line="360" w:before="0" w:after="0"/>
        <w:jc w:val="center"/>
        <w:rPr>
          <w:rFonts w:ascii="Arial" w:hAnsi="Arial" w:cs="Arial"/>
          <w:b/>
          <w:b/>
          <w:bCs/>
          <w:sz w:val="72"/>
          <w:szCs w:val="72"/>
        </w:rPr>
      </w:pPr>
      <w:r>
        <w:rPr>
          <w:rFonts w:cs="Arial" w:ascii="Arial" w:hAnsi="Arial"/>
          <w:b/>
          <w:bCs/>
          <w:sz w:val="72"/>
          <w:szCs w:val="72"/>
        </w:rPr>
      </w:r>
    </w:p>
    <w:p>
      <w:pPr>
        <w:pStyle w:val="Normal"/>
        <w:spacing w:lineRule="auto" w:line="360" w:before="0" w:after="0"/>
        <w:jc w:val="center"/>
        <w:rPr>
          <w:rFonts w:ascii="Arial" w:hAnsi="Arial" w:cs="Arial"/>
          <w:b/>
          <w:b/>
          <w:bCs/>
          <w:sz w:val="72"/>
          <w:szCs w:val="72"/>
        </w:rPr>
      </w:pPr>
      <w:r>
        <w:rPr>
          <w:rFonts w:cs="Arial" w:ascii="Arial" w:hAnsi="Arial"/>
          <w:b/>
          <w:bCs/>
          <w:sz w:val="72"/>
          <w:szCs w:val="72"/>
        </w:rPr>
      </w:r>
    </w:p>
    <w:p>
      <w:pPr>
        <w:pStyle w:val="Normal"/>
        <w:spacing w:lineRule="auto" w:line="360" w:before="0" w:after="0"/>
        <w:jc w:val="center"/>
        <w:rPr>
          <w:rFonts w:ascii="Arial" w:hAnsi="Arial" w:cs="Arial"/>
          <w:b/>
          <w:b/>
          <w:bCs/>
          <w:sz w:val="72"/>
          <w:szCs w:val="72"/>
        </w:rPr>
      </w:pPr>
      <w:r>
        <w:rPr>
          <w:rFonts w:cs="Arial" w:ascii="Arial" w:hAnsi="Arial"/>
          <w:b/>
          <w:bCs/>
          <w:sz w:val="72"/>
          <w:szCs w:val="72"/>
        </w:rPr>
      </w:r>
    </w:p>
    <w:p>
      <w:pPr>
        <w:pStyle w:val="Normal"/>
        <w:spacing w:lineRule="auto" w:line="360" w:before="0" w:after="0"/>
        <w:jc w:val="center"/>
        <w:rPr>
          <w:rFonts w:ascii="Arial" w:hAnsi="Arial" w:cs="Arial"/>
          <w:b/>
          <w:b/>
          <w:bCs/>
          <w:sz w:val="72"/>
          <w:szCs w:val="72"/>
        </w:rPr>
      </w:pPr>
      <w:r>
        <w:rPr>
          <w:rFonts w:cs="Arial" w:ascii="Arial" w:hAnsi="Arial"/>
          <w:b/>
          <w:bCs/>
          <w:sz w:val="72"/>
          <w:szCs w:val="72"/>
        </w:rPr>
      </w:r>
    </w:p>
    <w:p>
      <w:pPr>
        <w:pStyle w:val="Normal"/>
        <w:spacing w:lineRule="auto" w:line="360" w:before="0" w:after="0"/>
        <w:jc w:val="center"/>
        <w:rPr>
          <w:rFonts w:ascii="Arial" w:hAnsi="Arial" w:cs="Arial"/>
          <w:b/>
          <w:b/>
          <w:bCs/>
          <w:sz w:val="72"/>
          <w:szCs w:val="72"/>
        </w:rPr>
      </w:pPr>
      <w:r>
        <w:rPr>
          <w:rFonts w:cs="Arial" w:ascii="Arial" w:hAnsi="Arial"/>
          <w:b/>
          <w:bCs/>
          <w:sz w:val="72"/>
          <w:szCs w:val="72"/>
        </w:rPr>
      </w:r>
    </w:p>
    <w:p>
      <w:pPr>
        <w:pStyle w:val="Normal"/>
        <w:spacing w:lineRule="auto" w:line="360" w:before="0" w:after="0"/>
        <w:jc w:val="center"/>
        <w:rPr>
          <w:rFonts w:ascii="Arial" w:hAnsi="Arial" w:cs="Arial"/>
          <w:b/>
          <w:b/>
          <w:bCs/>
          <w:sz w:val="72"/>
          <w:szCs w:val="72"/>
        </w:rPr>
      </w:pPr>
      <w:r>
        <w:rPr>
          <w:rFonts w:cs="Arial" w:ascii="Arial" w:hAnsi="Arial"/>
          <w:b/>
          <w:bCs/>
          <w:sz w:val="72"/>
          <w:szCs w:val="72"/>
        </w:rPr>
      </w:r>
    </w:p>
    <w:p>
      <w:pPr>
        <w:pStyle w:val="Default"/>
        <w:jc w:val="center"/>
        <w:rPr>
          <w:b/>
          <w:b/>
        </w:rPr>
      </w:pPr>
      <w:r>
        <w:rPr>
          <w:b/>
        </w:rPr>
        <w:t xml:space="preserve">RESOLUÇÃO Nº1 – COLEGIADO DO CURSO DE LICENCIATURA EM HISTÓRIA, </w:t>
      </w:r>
      <w:r>
        <w:rPr>
          <w:b/>
          <w:bCs/>
        </w:rPr>
        <w:t>DE NOVEMBRO DE 2017</w:t>
      </w:r>
      <w:r>
        <w:rPr>
          <w:b/>
        </w:rPr>
        <w:t>.</w:t>
      </w:r>
    </w:p>
    <w:p>
      <w:pPr>
        <w:pStyle w:val="Default"/>
        <w:jc w:val="center"/>
        <w:rPr>
          <w:b/>
          <w:b/>
        </w:rPr>
      </w:pPr>
      <w:r>
        <w:rPr>
          <w:b/>
        </w:rPr>
      </w:r>
    </w:p>
    <w:p>
      <w:pPr>
        <w:pStyle w:val="Normal"/>
        <w:ind w:left="4956" w:hanging="0"/>
        <w:jc w:val="both"/>
        <w:rPr>
          <w:rFonts w:ascii="Times New Roman" w:hAnsi="Times New Roman" w:cs="Times New Roman"/>
        </w:rPr>
      </w:pPr>
      <w:r>
        <w:rPr>
          <w:rFonts w:cs="Times New Roman" w:ascii="Times New Roman" w:hAnsi="Times New Roman"/>
        </w:rPr>
        <w:t>Estabelece normas para o Trabalho de Conclusão do Curso de História da Universidade Federal dos Vales do Jequitinhonha e Mucuri – UFVJM.</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 xml:space="preserve">O Colegiado do Curso de História, em consonância com Artigo 65 da Lei de Diretrizes e Bases da Educação Nacional (LDBEN/96), a Resolução CNE/CES nº02, de 01 de julho de 2015 e com a </w:t>
      </w:r>
      <w:r>
        <w:rPr>
          <w:rFonts w:cs="Times New Roman" w:ascii="Times New Roman" w:hAnsi="Times New Roman"/>
        </w:rPr>
        <w:t>RESOLUÇÃO Nº 22 – CONSEPE, DE 16 DE MARÇO DE 2017</w:t>
      </w:r>
      <w:r>
        <w:rPr>
          <w:rFonts w:cs="Times New Roman" w:ascii="Times New Roman" w:hAnsi="Times New Roman"/>
          <w:sz w:val="24"/>
          <w:szCs w:val="24"/>
        </w:rPr>
        <w:t>, no uso de suas atribuições.</w:t>
      </w:r>
    </w:p>
    <w:p>
      <w:pPr>
        <w:pStyle w:val="Normal"/>
        <w:spacing w:lineRule="auto" w:line="240" w:before="0" w:after="0"/>
        <w:ind w:firstLine="708"/>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8"/>
        <w:jc w:val="both"/>
        <w:rPr>
          <w:rFonts w:ascii="Times New Roman" w:hAnsi="Times New Roman" w:cs="Times New Roman"/>
          <w:b/>
          <w:b/>
          <w:sz w:val="24"/>
          <w:szCs w:val="24"/>
        </w:rPr>
      </w:pPr>
      <w:r>
        <w:rPr>
          <w:rFonts w:cs="Times New Roman" w:ascii="Times New Roman" w:hAnsi="Times New Roman"/>
          <w:b/>
          <w:sz w:val="24"/>
          <w:szCs w:val="24"/>
        </w:rPr>
        <w:t>RESOLVE:</w:t>
      </w:r>
    </w:p>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CAPÍTULO I</w:t>
      </w:r>
    </w:p>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Da elaboração</w:t>
      </w:r>
    </w:p>
    <w:p>
      <w:pPr>
        <w:pStyle w:val="Normal"/>
        <w:spacing w:lineRule="auto" w:line="360" w:before="0" w:after="0"/>
        <w:jc w:val="both"/>
        <w:rPr>
          <w:rFonts w:ascii="Times New Roman" w:hAnsi="Times New Roman" w:cs="Times New Roman"/>
          <w:b/>
          <w:b/>
          <w:sz w:val="24"/>
          <w:szCs w:val="24"/>
        </w:rPr>
      </w:pPr>
      <w:r>
        <w:rPr>
          <w:rFonts w:cs="Times New Roman" w:ascii="Times New Roman" w:hAnsi="Times New Roman"/>
          <w:b/>
          <w:sz w:val="24"/>
          <w:szCs w:val="24"/>
        </w:rPr>
        <w:t xml:space="preserve">Art. 1º </w:t>
      </w:r>
      <w:r>
        <w:rPr>
          <w:rFonts w:cs="Times New Roman" w:ascii="Times New Roman" w:hAnsi="Times New Roman"/>
          <w:sz w:val="24"/>
          <w:szCs w:val="24"/>
        </w:rPr>
        <w:t xml:space="preserve">O Trabalho de Conclusão de Curso deverá ser desenvolvido individualmente. A apresentação do trabalho final ocorrerá quando o discente estiver matriculado na disciplina TCC.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CAPÍTULO II</w:t>
      </w:r>
    </w:p>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Do tema e orientação</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b/>
          <w:sz w:val="24"/>
          <w:szCs w:val="24"/>
        </w:rPr>
        <w:t xml:space="preserve">Art. 2º </w:t>
      </w:r>
      <w:r>
        <w:rPr>
          <w:rFonts w:cs="Times New Roman" w:ascii="Times New Roman" w:hAnsi="Times New Roman"/>
          <w:sz w:val="24"/>
          <w:szCs w:val="24"/>
        </w:rPr>
        <w:t>O tema do TCC deve, necessariamente, estar relacionado a alguma área do conhecimento histórico e/ou pedagógico. Deverá ser realizado sob a orientação de um professor da UFVJM, facultada a possibilidade de co-orientação.</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CAPÍTULO III</w:t>
      </w:r>
    </w:p>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Das orientações gerais</w:t>
      </w:r>
    </w:p>
    <w:p>
      <w:pPr>
        <w:pStyle w:val="Normal"/>
        <w:spacing w:lineRule="auto" w:line="360" w:before="0" w:after="0"/>
        <w:jc w:val="both"/>
        <w:rPr>
          <w:rFonts w:ascii="Times New Roman" w:hAnsi="Times New Roman" w:cs="Times New Roman"/>
          <w:b/>
          <w:b/>
          <w:sz w:val="24"/>
          <w:szCs w:val="24"/>
        </w:rPr>
      </w:pPr>
      <w:r>
        <w:rPr>
          <w:rFonts w:cs="Times New Roman" w:ascii="Times New Roman" w:hAnsi="Times New Roman"/>
          <w:b/>
          <w:sz w:val="24"/>
          <w:szCs w:val="24"/>
        </w:rPr>
        <w:t xml:space="preserve">Art. 3º </w:t>
      </w:r>
      <w:r>
        <w:rPr>
          <w:rFonts w:cs="Times New Roman" w:ascii="Times New Roman" w:hAnsi="Times New Roman"/>
          <w:sz w:val="24"/>
          <w:szCs w:val="24"/>
        </w:rPr>
        <w:t>De acordo com o artigo 2º da resolução do CONSEPE/15º/2010, o TCC do Curso de Licenciatura em História da UFVJM poderá ser apresentado nos seguintes formatos:</w:t>
      </w:r>
    </w:p>
    <w:p>
      <w:pPr>
        <w:pStyle w:val="Corpodetexto"/>
        <w:numPr>
          <w:ilvl w:val="0"/>
          <w:numId w:val="13"/>
        </w:numPr>
        <w:spacing w:lineRule="auto" w:line="360" w:before="0" w:after="0"/>
        <w:jc w:val="both"/>
        <w:rPr/>
      </w:pPr>
      <w:r>
        <w:rPr/>
        <w:t>Monografia;</w:t>
      </w:r>
    </w:p>
    <w:p>
      <w:pPr>
        <w:pStyle w:val="Corpodetexto"/>
        <w:numPr>
          <w:ilvl w:val="0"/>
          <w:numId w:val="13"/>
        </w:numPr>
        <w:spacing w:lineRule="auto" w:line="360" w:before="0" w:after="0"/>
        <w:jc w:val="both"/>
        <w:rPr/>
      </w:pPr>
      <w:r>
        <w:rPr/>
        <w:t>Artigo Científico;</w:t>
      </w:r>
    </w:p>
    <w:p>
      <w:pPr>
        <w:pStyle w:val="Corpodetexto"/>
        <w:numPr>
          <w:ilvl w:val="0"/>
          <w:numId w:val="13"/>
        </w:numPr>
        <w:spacing w:lineRule="auto" w:line="360" w:before="0" w:after="0"/>
        <w:jc w:val="both"/>
        <w:rPr/>
      </w:pPr>
      <w:r>
        <w:rPr/>
        <w:t>Livro ou Capítulo de Livro;</w:t>
      </w:r>
    </w:p>
    <w:p>
      <w:pPr>
        <w:pStyle w:val="Corpodetexto"/>
        <w:numPr>
          <w:ilvl w:val="0"/>
          <w:numId w:val="13"/>
        </w:numPr>
        <w:spacing w:lineRule="auto" w:line="360" w:before="0" w:after="0"/>
        <w:jc w:val="both"/>
        <w:rPr/>
      </w:pPr>
      <w:r>
        <w:rPr/>
        <w:t>Relatório Técnico Científico.</w:t>
      </w:r>
    </w:p>
    <w:p>
      <w:pPr>
        <w:pStyle w:val="Corpodetexto"/>
        <w:spacing w:lineRule="auto" w:line="360"/>
        <w:rPr/>
      </w:pPr>
      <w:r>
        <w:rPr/>
      </w:r>
    </w:p>
    <w:p>
      <w:pPr>
        <w:pStyle w:val="Corpodetexto"/>
        <w:spacing w:lineRule="auto" w:line="360"/>
        <w:rPr>
          <w:b/>
          <w:b/>
        </w:rPr>
      </w:pPr>
      <w:r>
        <w:rPr>
          <w:b/>
        </w:rPr>
        <w:t>Art. 4</w:t>
      </w:r>
      <w:r>
        <w:rPr>
          <w:b/>
          <w:bCs/>
        </w:rPr>
        <w:t>º</w:t>
      </w:r>
      <w:r>
        <w:rPr/>
        <w:t xml:space="preserve"> </w:t>
      </w:r>
      <w:r>
        <w:rPr>
          <w:b/>
        </w:rPr>
        <w:t>Monografia e Artigo:</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r>
    </w:p>
    <w:p>
      <w:pPr>
        <w:pStyle w:val="Corpodetexto"/>
        <w:spacing w:lineRule="auto" w:line="360"/>
        <w:rPr/>
      </w:pPr>
      <w:r>
        <w:rPr/>
        <w:t>A monografia deverá resultar de pesquisa desenvolvida ao longo da graduação, visando apresentar os resultados da mesma. O trabalho deve atender ao rigor científico, tanto na sua forma como no seu conteúdo, de maneira a atender à qualidade mínima estabelecida pela Resolução do CONSEPE/15º/2010.</w:t>
      </w:r>
    </w:p>
    <w:p>
      <w:pPr>
        <w:pStyle w:val="Corpodetexto"/>
        <w:spacing w:lineRule="auto" w:line="360"/>
        <w:rPr/>
      </w:pPr>
      <w:r>
        <w:rPr/>
        <w:t>O artigo deverá resultar de pesquisa desenvolvida ao longo da graduação, apresentando os principais resultados da mesma. Deverá possuir embasamento empírico, consistência teórica e rigor metodológico. No caso de se tratar de uma discussão bibliográfica, será fundamental apresentar consistência teórica e analítica. Caso o artigo tenha sido publicado em periódico indexado, basta apresentar a cópia.</w:t>
      </w:r>
    </w:p>
    <w:p>
      <w:pPr>
        <w:pStyle w:val="Normal"/>
        <w:spacing w:lineRule="auto" w:line="360" w:before="0" w:after="0"/>
        <w:jc w:val="both"/>
        <w:rPr>
          <w:rFonts w:ascii="Times New Roman" w:hAnsi="Times New Roman" w:cs="Times New Roman"/>
          <w:b/>
          <w:b/>
          <w:sz w:val="24"/>
          <w:szCs w:val="24"/>
        </w:rPr>
      </w:pPr>
      <w:r>
        <w:rPr>
          <w:rFonts w:cs="Times New Roman" w:ascii="Times New Roman" w:hAnsi="Times New Roman"/>
          <w:b/>
          <w:sz w:val="24"/>
          <w:szCs w:val="24"/>
        </w:rPr>
        <w:t xml:space="preserve">Parágrafo único - </w:t>
      </w:r>
      <w:r>
        <w:rPr>
          <w:rFonts w:cs="Times New Roman" w:ascii="Times New Roman" w:hAnsi="Times New Roman"/>
          <w:sz w:val="24"/>
          <w:szCs w:val="24"/>
        </w:rPr>
        <w:t xml:space="preserve">A Monografia e o Artigo podem se configurar como um desdobramento da pesquisa apresentada no TCC do Bacharelado Interdisciplinar em Humanidades, </w:t>
      </w:r>
      <w:r>
        <w:rPr>
          <w:rFonts w:cs="Times New Roman" w:ascii="Times New Roman" w:hAnsi="Times New Roman"/>
          <w:sz w:val="24"/>
          <w:szCs w:val="24"/>
          <w:lang w:eastAsia="pt-BR"/>
        </w:rPr>
        <w:t>o que difere de aproveitamento integral do trabalho já apresentado</w:t>
      </w:r>
      <w:r>
        <w:rPr>
          <w:rFonts w:cs="Times New Roman" w:ascii="Times New Roman" w:hAnsi="Times New Roman"/>
          <w:sz w:val="24"/>
          <w:szCs w:val="24"/>
        </w:rPr>
        <w:t xml:space="preserve">.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rFonts w:ascii="Times New Roman" w:hAnsi="Times New Roman" w:cs="Times New Roman"/>
          <w:b/>
          <w:b/>
          <w:sz w:val="24"/>
          <w:szCs w:val="24"/>
        </w:rPr>
      </w:pPr>
      <w:r>
        <w:rPr>
          <w:rFonts w:cs="Times New Roman" w:ascii="Times New Roman" w:hAnsi="Times New Roman"/>
          <w:b/>
          <w:sz w:val="24"/>
          <w:szCs w:val="24"/>
        </w:rPr>
        <w:t>Art. 5</w:t>
      </w:r>
      <w:r>
        <w:rPr>
          <w:rFonts w:cs="Times New Roman" w:ascii="Times New Roman" w:hAnsi="Times New Roman"/>
          <w:b/>
          <w:bCs/>
          <w:sz w:val="24"/>
          <w:szCs w:val="24"/>
        </w:rPr>
        <w:t>º</w:t>
      </w:r>
      <w:r>
        <w:rPr>
          <w:rFonts w:cs="Times New Roman" w:ascii="Times New Roman" w:hAnsi="Times New Roman"/>
          <w:sz w:val="24"/>
          <w:szCs w:val="24"/>
        </w:rPr>
        <w:t xml:space="preserve"> </w:t>
      </w:r>
      <w:r>
        <w:rPr>
          <w:rFonts w:cs="Times New Roman" w:ascii="Times New Roman" w:hAnsi="Times New Roman"/>
          <w:b/>
          <w:sz w:val="24"/>
          <w:szCs w:val="24"/>
        </w:rPr>
        <w:t>Livro ou Capítulo</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Nesse caso basta apresentar cópia da publicação, na qual deve constar o ISBN.</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rFonts w:ascii="Times New Roman" w:hAnsi="Times New Roman" w:cs="Times New Roman"/>
          <w:b/>
          <w:b/>
          <w:sz w:val="24"/>
          <w:szCs w:val="24"/>
        </w:rPr>
      </w:pPr>
      <w:r>
        <w:rPr>
          <w:rFonts w:cs="Times New Roman" w:ascii="Times New Roman" w:hAnsi="Times New Roman"/>
          <w:b/>
          <w:sz w:val="24"/>
          <w:szCs w:val="24"/>
        </w:rPr>
        <w:t>Art. 6</w:t>
      </w:r>
      <w:r>
        <w:rPr>
          <w:rFonts w:cs="Times New Roman" w:ascii="Times New Roman" w:hAnsi="Times New Roman"/>
          <w:b/>
          <w:bCs/>
          <w:sz w:val="24"/>
          <w:szCs w:val="24"/>
        </w:rPr>
        <w:t>º</w:t>
      </w:r>
      <w:r>
        <w:rPr>
          <w:rFonts w:cs="Times New Roman" w:ascii="Times New Roman" w:hAnsi="Times New Roman"/>
          <w:b/>
          <w:sz w:val="24"/>
          <w:szCs w:val="24"/>
        </w:rPr>
        <w:t xml:space="preserve"> Relatório Técnico Científico</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Define-se como relatório técnico-científico: o relatório final do estágio e o relatório do projeto de intervenção pedagógica.</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b/>
          <w:bCs/>
          <w:sz w:val="24"/>
          <w:szCs w:val="24"/>
        </w:rPr>
        <w:t>§ 1º</w:t>
      </w:r>
      <w:r>
        <w:rPr>
          <w:rFonts w:cs="Times New Roman" w:ascii="Times New Roman" w:hAnsi="Times New Roman"/>
          <w:sz w:val="24"/>
          <w:szCs w:val="24"/>
        </w:rPr>
        <w:t xml:space="preserve"> </w:t>
      </w:r>
      <w:r>
        <w:rPr>
          <w:rFonts w:cs="Times New Roman" w:ascii="Times New Roman" w:hAnsi="Times New Roman"/>
          <w:b/>
          <w:sz w:val="24"/>
          <w:szCs w:val="24"/>
        </w:rPr>
        <w:t>Relatório Final do Estágio -</w:t>
      </w:r>
      <w:r>
        <w:rPr>
          <w:rFonts w:cs="Times New Roman" w:ascii="Times New Roman" w:hAnsi="Times New Roman"/>
          <w:sz w:val="24"/>
          <w:szCs w:val="24"/>
        </w:rPr>
        <w:t xml:space="preserve"> O relatório final de estágio, produto das atividades desenvolvidas como prática de ensino e pesquisa, a ser apresentado individualmente como trabalho final de curso, deve considerar:</w:t>
      </w:r>
    </w:p>
    <w:p>
      <w:pPr>
        <w:pStyle w:val="Normal"/>
        <w:spacing w:lineRule="auto" w:line="360" w:before="40" w:after="0"/>
        <w:ind w:firstLine="360"/>
        <w:jc w:val="both"/>
        <w:rPr>
          <w:rFonts w:ascii="Times New Roman" w:hAnsi="Times New Roman" w:cs="Times New Roman"/>
          <w:sz w:val="24"/>
          <w:szCs w:val="24"/>
        </w:rPr>
      </w:pPr>
      <w:r>
        <w:rPr>
          <w:rFonts w:cs="Times New Roman" w:ascii="Times New Roman" w:hAnsi="Times New Roman"/>
          <w:bCs/>
          <w:sz w:val="24"/>
          <w:szCs w:val="24"/>
        </w:rPr>
        <w:t>1)</w:t>
      </w:r>
      <w:r>
        <w:rPr>
          <w:rFonts w:cs="Times New Roman" w:ascii="Times New Roman" w:hAnsi="Times New Roman"/>
          <w:sz w:val="24"/>
          <w:szCs w:val="24"/>
        </w:rPr>
        <w:t xml:space="preserve"> Relato das diferentes experiências de formação ao longo do percurso educativo (memorial de formação).</w:t>
      </w:r>
    </w:p>
    <w:p>
      <w:pPr>
        <w:pStyle w:val="Normal"/>
        <w:spacing w:lineRule="auto" w:line="360" w:before="40" w:after="0"/>
        <w:ind w:firstLine="360"/>
        <w:jc w:val="both"/>
        <w:rPr>
          <w:rFonts w:ascii="Times New Roman" w:hAnsi="Times New Roman" w:cs="Times New Roman"/>
          <w:sz w:val="24"/>
          <w:szCs w:val="24"/>
        </w:rPr>
      </w:pPr>
      <w:r>
        <w:rPr>
          <w:rFonts w:cs="Times New Roman" w:ascii="Times New Roman" w:hAnsi="Times New Roman"/>
          <w:bCs/>
          <w:sz w:val="24"/>
          <w:szCs w:val="24"/>
        </w:rPr>
        <w:t>2)</w:t>
      </w:r>
      <w:r>
        <w:rPr>
          <w:rFonts w:cs="Times New Roman" w:ascii="Times New Roman" w:hAnsi="Times New Roman"/>
          <w:sz w:val="24"/>
          <w:szCs w:val="24"/>
        </w:rPr>
        <w:t xml:space="preserve"> Explicitação das estratégias desenvolvidas para caracterizar, problematizar e analisar as práticas de sala de aula</w:t>
      </w:r>
      <w:r>
        <w:rPr>
          <w:rFonts w:ascii="Arial" w:hAnsi="Arial"/>
          <w:sz w:val="24"/>
          <w:szCs w:val="24"/>
        </w:rPr>
        <w:t xml:space="preserve">.  </w:t>
      </w:r>
    </w:p>
    <w:p>
      <w:pPr>
        <w:pStyle w:val="Normal"/>
        <w:spacing w:lineRule="auto" w:line="360" w:before="40" w:after="0"/>
        <w:ind w:firstLine="360"/>
        <w:jc w:val="both"/>
        <w:rPr>
          <w:rFonts w:ascii="Times New Roman" w:hAnsi="Times New Roman" w:cs="Times New Roman"/>
          <w:sz w:val="24"/>
          <w:szCs w:val="24"/>
        </w:rPr>
      </w:pPr>
      <w:r>
        <w:rPr>
          <w:rFonts w:cs="Times New Roman" w:ascii="Times New Roman" w:hAnsi="Times New Roman"/>
          <w:bCs/>
          <w:sz w:val="24"/>
          <w:szCs w:val="24"/>
        </w:rPr>
        <w:t>3)</w:t>
      </w:r>
      <w:r>
        <w:rPr>
          <w:rFonts w:cs="Times New Roman" w:ascii="Times New Roman" w:hAnsi="Times New Roman"/>
          <w:sz w:val="24"/>
          <w:szCs w:val="24"/>
        </w:rPr>
        <w:t xml:space="preserve"> Projeto de intervenção elaborado e desenvolvido ao longo dos Estágios I e II (tema/problema, ambientação/caracterização da escola, caracterização da sala de aula); Problematização (a partir da realidade escolar); Justificativa; Objetivos; Metodologia de ensino (estratégias pedagógicas); Recursos Pedagógicos (textos, materiais audiovisuais, reproduções, roteiros de aulas, visitas etc., elaborados pelo estagiário); Avaliação (critérios e instrumentos) e demais anexos propostos no Manual de Estágio.</w:t>
      </w:r>
    </w:p>
    <w:p>
      <w:pPr>
        <w:pStyle w:val="Normal"/>
        <w:spacing w:lineRule="auto" w:line="360" w:before="40" w:after="0"/>
        <w:ind w:firstLine="360"/>
        <w:jc w:val="both"/>
        <w:rPr>
          <w:rFonts w:ascii="Times New Roman" w:hAnsi="Times New Roman" w:cs="Times New Roman"/>
          <w:sz w:val="24"/>
          <w:szCs w:val="24"/>
        </w:rPr>
      </w:pPr>
      <w:r>
        <w:rPr>
          <w:rFonts w:cs="Times New Roman" w:ascii="Times New Roman" w:hAnsi="Times New Roman"/>
          <w:bCs/>
          <w:sz w:val="24"/>
          <w:szCs w:val="24"/>
        </w:rPr>
        <w:t>4)</w:t>
      </w:r>
      <w:r>
        <w:rPr>
          <w:rFonts w:cs="Times New Roman" w:ascii="Times New Roman" w:hAnsi="Times New Roman"/>
          <w:sz w:val="24"/>
          <w:szCs w:val="24"/>
        </w:rPr>
        <w:t xml:space="preserve"> Ser orientado pelo professor supervisor de estágios e professor orientador da escola de educação básica conveniada.</w:t>
      </w:r>
    </w:p>
    <w:p>
      <w:pPr>
        <w:pStyle w:val="Normal"/>
        <w:spacing w:lineRule="auto" w:line="360" w:before="40" w:after="0"/>
        <w:ind w:left="360" w:hanging="0"/>
        <w:jc w:val="both"/>
        <w:rPr>
          <w:rFonts w:ascii="Times New Roman" w:hAnsi="Times New Roman" w:cs="Times New Roman"/>
          <w:sz w:val="24"/>
          <w:szCs w:val="24"/>
        </w:rPr>
      </w:pPr>
      <w:r>
        <w:rPr>
          <w:rFonts w:cs="Times New Roman" w:ascii="Times New Roman" w:hAnsi="Times New Roman"/>
          <w:bCs/>
          <w:sz w:val="24"/>
          <w:szCs w:val="24"/>
        </w:rPr>
        <w:t>5)</w:t>
      </w:r>
      <w:r>
        <w:rPr>
          <w:rFonts w:cs="Times New Roman" w:ascii="Times New Roman" w:hAnsi="Times New Roman"/>
          <w:sz w:val="24"/>
          <w:szCs w:val="24"/>
        </w:rPr>
        <w:t xml:space="preserve"> Ser apresentado no Estágio Supervisionado III.</w:t>
      </w:r>
    </w:p>
    <w:p>
      <w:pPr>
        <w:pStyle w:val="Normal"/>
        <w:spacing w:lineRule="auto" w:line="360" w:before="40" w:after="0"/>
        <w:ind w:firstLine="360"/>
        <w:jc w:val="both"/>
        <w:rPr>
          <w:rFonts w:ascii="Times New Roman" w:hAnsi="Times New Roman" w:cs="Times New Roman"/>
          <w:sz w:val="24"/>
          <w:szCs w:val="24"/>
        </w:rPr>
      </w:pPr>
      <w:r>
        <w:rPr>
          <w:rFonts w:cs="Times New Roman" w:ascii="Times New Roman" w:hAnsi="Times New Roman"/>
          <w:bCs/>
          <w:sz w:val="24"/>
          <w:szCs w:val="24"/>
        </w:rPr>
        <w:t>6)</w:t>
      </w:r>
      <w:r>
        <w:rPr>
          <w:rFonts w:cs="Times New Roman" w:ascii="Times New Roman" w:hAnsi="Times New Roman"/>
          <w:sz w:val="24"/>
          <w:szCs w:val="24"/>
        </w:rPr>
        <w:t xml:space="preserve"> Obedecer às normas gerais de apresentação/formatação das demais modalidades de TCC.</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b/>
          <w:bCs/>
          <w:sz w:val="24"/>
          <w:szCs w:val="24"/>
        </w:rPr>
        <w:t>§ 2º</w:t>
      </w:r>
      <w:r>
        <w:rPr>
          <w:rFonts w:cs="Times New Roman" w:ascii="Times New Roman" w:hAnsi="Times New Roman"/>
          <w:b/>
          <w:sz w:val="24"/>
          <w:szCs w:val="24"/>
        </w:rPr>
        <w:t xml:space="preserve"> Projeto de Intervenção - </w:t>
      </w:r>
      <w:r>
        <w:rPr>
          <w:rFonts w:cs="Times New Roman" w:ascii="Times New Roman" w:hAnsi="Times New Roman"/>
          <w:sz w:val="24"/>
          <w:szCs w:val="24"/>
        </w:rPr>
        <w:t xml:space="preserve">O Projeto de Intervenção consiste em uma pesquisa original produzida pelo discente que resulte em sugestão de material didático-pedagógico a ser utilizado em sala de aula. Ele pode ser uma revista, cartilha ou </w:t>
      </w:r>
      <w:r>
        <w:rPr>
          <w:rFonts w:cs="Times New Roman" w:ascii="Times New Roman" w:hAnsi="Times New Roman"/>
          <w:i/>
          <w:sz w:val="24"/>
          <w:szCs w:val="24"/>
        </w:rPr>
        <w:t>software</w:t>
      </w:r>
      <w:r>
        <w:rPr>
          <w:rFonts w:cs="Times New Roman" w:ascii="Times New Roman" w:hAnsi="Times New Roman"/>
          <w:sz w:val="24"/>
          <w:szCs w:val="24"/>
        </w:rPr>
        <w:t xml:space="preserve"> adaptado à faixa etária e nível escolar com resultados já pesquisados pelo proponente com a supervisão de seu orientador. Os projetos de intervenção permitem ao discente refletir teoricamente e produzir conhecimentos históricos sobre suas práticas, levando em conta as condições institucionais, sociais e seu posicionamento pessoal</w:t>
      </w:r>
      <w:r>
        <w:rPr>
          <w:rFonts w:ascii="Arial" w:hAnsi="Arial"/>
        </w:rPr>
        <w:t>.</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O relatório final dos projetos de intervenção deve considerar:</w:t>
      </w:r>
    </w:p>
    <w:p>
      <w:pPr>
        <w:pStyle w:val="Normal"/>
        <w:spacing w:lineRule="auto" w:line="360" w:before="0" w:after="0"/>
        <w:ind w:firstLine="357"/>
        <w:jc w:val="both"/>
        <w:rPr>
          <w:rFonts w:ascii="Times New Roman" w:hAnsi="Times New Roman" w:cs="Times New Roman"/>
          <w:sz w:val="24"/>
          <w:szCs w:val="24"/>
        </w:rPr>
      </w:pPr>
      <w:r>
        <w:rPr>
          <w:rFonts w:cs="Times New Roman" w:ascii="Times New Roman" w:hAnsi="Times New Roman"/>
          <w:sz w:val="24"/>
          <w:szCs w:val="24"/>
        </w:rPr>
        <w:t>1)Projetos de intervenção desenvolvidos nas atividades de ensino (estágio supervisionado, práticas e demais unidades curriculares); pesquisa (PIBIC, IC E PIBID) e extensão (Pibex), sob orientação de docente da UFVJM.</w:t>
      </w:r>
    </w:p>
    <w:p>
      <w:pPr>
        <w:pStyle w:val="Normal"/>
        <w:spacing w:lineRule="auto" w:line="360" w:before="0" w:after="0"/>
        <w:ind w:firstLine="357"/>
        <w:jc w:val="both"/>
        <w:rPr>
          <w:rFonts w:ascii="Times New Roman" w:hAnsi="Times New Roman" w:cs="Times New Roman"/>
          <w:sz w:val="24"/>
          <w:szCs w:val="24"/>
        </w:rPr>
      </w:pPr>
      <w:r>
        <w:rPr>
          <w:rFonts w:cs="Times New Roman" w:ascii="Times New Roman" w:hAnsi="Times New Roman"/>
          <w:sz w:val="24"/>
          <w:szCs w:val="24"/>
        </w:rPr>
        <w:t>2)Relato e análise de todo o percurso da investigação/ intervenção.</w:t>
      </w:r>
    </w:p>
    <w:p>
      <w:pPr>
        <w:pStyle w:val="Normal"/>
        <w:spacing w:lineRule="auto" w:line="360" w:before="0" w:after="0"/>
        <w:ind w:firstLine="357"/>
        <w:jc w:val="both"/>
        <w:rPr>
          <w:rFonts w:ascii="Times New Roman" w:hAnsi="Times New Roman" w:cs="Times New Roman"/>
          <w:sz w:val="24"/>
          <w:szCs w:val="24"/>
        </w:rPr>
      </w:pPr>
      <w:r>
        <w:rPr>
          <w:rFonts w:cs="Times New Roman" w:ascii="Times New Roman" w:hAnsi="Times New Roman"/>
          <w:sz w:val="24"/>
          <w:szCs w:val="24"/>
        </w:rPr>
        <w:t>3)Apresentação do produto da intervenção e avaliação da sua pertinência para a área de história.</w:t>
      </w:r>
    </w:p>
    <w:p>
      <w:pPr>
        <w:pStyle w:val="Normal"/>
        <w:spacing w:lineRule="auto" w:line="360" w:before="0" w:after="0"/>
        <w:ind w:firstLine="357"/>
        <w:jc w:val="both"/>
        <w:rPr>
          <w:rFonts w:ascii="Times New Roman" w:hAnsi="Times New Roman" w:cs="Times New Roman"/>
          <w:sz w:val="24"/>
          <w:szCs w:val="24"/>
        </w:rPr>
      </w:pPr>
      <w:r>
        <w:rPr>
          <w:rFonts w:cs="Times New Roman" w:ascii="Times New Roman" w:hAnsi="Times New Roman"/>
          <w:sz w:val="24"/>
          <w:szCs w:val="24"/>
        </w:rPr>
        <w:t>4)Obedecer às normas gerais de apresentação/formatação das demais modalidades de TCC.</w:t>
      </w:r>
    </w:p>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CAPÍTULO IV</w:t>
      </w:r>
    </w:p>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Da Avaliação</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b/>
          <w:sz w:val="24"/>
          <w:szCs w:val="24"/>
        </w:rPr>
        <w:t>Art. 7</w:t>
      </w:r>
      <w:r>
        <w:rPr>
          <w:rFonts w:cs="Times New Roman" w:ascii="Times New Roman" w:hAnsi="Times New Roman"/>
          <w:b/>
          <w:bCs/>
          <w:sz w:val="24"/>
          <w:szCs w:val="24"/>
        </w:rPr>
        <w:t>º</w:t>
      </w:r>
      <w:r>
        <w:rPr>
          <w:rFonts w:cs="Times New Roman" w:ascii="Times New Roman" w:hAnsi="Times New Roman"/>
          <w:b/>
          <w:sz w:val="24"/>
          <w:szCs w:val="24"/>
        </w:rPr>
        <w:t xml:space="preserve"> </w:t>
      </w:r>
      <w:r>
        <w:rPr>
          <w:rFonts w:cs="Times New Roman" w:ascii="Times New Roman" w:hAnsi="Times New Roman"/>
          <w:sz w:val="24"/>
          <w:szCs w:val="24"/>
        </w:rPr>
        <w:t>Haverá apresentação final do TCC a uma banca, composta pelo professor orientador e outros dois professores convidados. Conforme anexo I.</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CAPÍTULO V</w:t>
      </w:r>
    </w:p>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Do Formato do Texto Escrito</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b/>
          <w:sz w:val="24"/>
          <w:szCs w:val="24"/>
        </w:rPr>
        <w:t>Art. 8</w:t>
      </w:r>
      <w:r>
        <w:rPr>
          <w:rFonts w:cs="Times New Roman" w:ascii="Times New Roman" w:hAnsi="Times New Roman"/>
          <w:b/>
          <w:bCs/>
          <w:sz w:val="24"/>
          <w:szCs w:val="24"/>
        </w:rPr>
        <w:t>º</w:t>
      </w:r>
      <w:r>
        <w:rPr>
          <w:rFonts w:cs="Times New Roman" w:ascii="Times New Roman" w:hAnsi="Times New Roman"/>
          <w:b/>
          <w:sz w:val="24"/>
          <w:szCs w:val="24"/>
        </w:rPr>
        <w:t xml:space="preserve"> </w:t>
      </w:r>
      <w:r>
        <w:rPr>
          <w:rFonts w:cs="Times New Roman" w:ascii="Times New Roman" w:hAnsi="Times New Roman"/>
          <w:sz w:val="24"/>
          <w:szCs w:val="24"/>
        </w:rPr>
        <w:t>O TCC deve atender às regras estabelecidas pela Resolução do CONSEPE/22/2016.</w:t>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Arial" w:hAnsi="Arial" w:cs="Arial"/>
          <w:b/>
          <w:b/>
          <w:bCs/>
          <w:sz w:val="72"/>
          <w:szCs w:val="72"/>
        </w:rPr>
      </w:pPr>
      <w:r>
        <w:rPr>
          <w:rFonts w:cs="Arial" w:ascii="Arial" w:hAnsi="Arial"/>
          <w:b/>
          <w:bCs/>
          <w:sz w:val="72"/>
          <w:szCs w:val="72"/>
        </w:rPr>
      </w:r>
    </w:p>
    <w:p>
      <w:pPr>
        <w:pStyle w:val="Normal"/>
        <w:spacing w:lineRule="auto" w:line="360" w:before="0" w:after="0"/>
        <w:jc w:val="center"/>
        <w:rPr>
          <w:rFonts w:ascii="Arial" w:hAnsi="Arial" w:cs="Arial"/>
          <w:b/>
          <w:b/>
          <w:bCs/>
          <w:sz w:val="72"/>
          <w:szCs w:val="72"/>
        </w:rPr>
      </w:pPr>
      <w:r>
        <w:rPr>
          <w:rFonts w:cs="Arial" w:ascii="Arial" w:hAnsi="Arial"/>
          <w:b/>
          <w:bCs/>
          <w:sz w:val="72"/>
          <w:szCs w:val="72"/>
        </w:rPr>
      </w:r>
    </w:p>
    <w:p>
      <w:pPr>
        <w:pStyle w:val="Normal"/>
        <w:spacing w:lineRule="auto" w:line="360" w:before="0" w:after="0"/>
        <w:jc w:val="center"/>
        <w:rPr>
          <w:rFonts w:ascii="Arial" w:hAnsi="Arial" w:cs="Arial"/>
          <w:b/>
          <w:b/>
          <w:bCs/>
          <w:sz w:val="72"/>
          <w:szCs w:val="72"/>
        </w:rPr>
      </w:pPr>
      <w:r>
        <w:rPr>
          <w:rFonts w:cs="Arial" w:ascii="Arial" w:hAnsi="Arial"/>
          <w:b/>
          <w:bCs/>
          <w:sz w:val="72"/>
          <w:szCs w:val="72"/>
        </w:rPr>
      </w:r>
    </w:p>
    <w:p>
      <w:pPr>
        <w:pStyle w:val="Normal"/>
        <w:spacing w:lineRule="auto" w:line="360" w:before="0" w:after="0"/>
        <w:jc w:val="center"/>
        <w:rPr>
          <w:rFonts w:ascii="Arial" w:hAnsi="Arial" w:cs="Arial"/>
          <w:b/>
          <w:b/>
          <w:bCs/>
          <w:sz w:val="72"/>
          <w:szCs w:val="72"/>
        </w:rPr>
      </w:pPr>
      <w:r>
        <w:rPr>
          <w:rFonts w:cs="Arial" w:ascii="Arial" w:hAnsi="Arial"/>
          <w:b/>
          <w:bCs/>
          <w:sz w:val="72"/>
          <w:szCs w:val="72"/>
        </w:rPr>
      </w:r>
    </w:p>
    <w:p>
      <w:pPr>
        <w:pStyle w:val="Normal"/>
        <w:spacing w:lineRule="auto" w:line="360" w:before="0" w:after="0"/>
        <w:jc w:val="center"/>
        <w:rPr>
          <w:rFonts w:ascii="Arial" w:hAnsi="Arial" w:cs="Arial"/>
          <w:b/>
          <w:b/>
          <w:bCs/>
          <w:sz w:val="72"/>
          <w:szCs w:val="72"/>
        </w:rPr>
      </w:pPr>
      <w:r>
        <w:rPr>
          <w:rFonts w:cs="Arial" w:ascii="Arial" w:hAnsi="Arial"/>
          <w:b/>
          <w:bCs/>
          <w:sz w:val="72"/>
          <w:szCs w:val="72"/>
        </w:rPr>
        <w:t>ANEXO C</w:t>
      </w:r>
    </w:p>
    <w:p>
      <w:pPr>
        <w:pStyle w:val="Normal"/>
        <w:spacing w:lineRule="auto" w:line="360" w:before="0" w:after="0"/>
        <w:jc w:val="center"/>
        <w:rPr>
          <w:rFonts w:ascii="Arial" w:hAnsi="Arial" w:cs="Arial"/>
          <w:b/>
          <w:b/>
          <w:bCs/>
          <w:sz w:val="72"/>
          <w:szCs w:val="72"/>
        </w:rPr>
      </w:pPr>
      <w:r>
        <w:rPr>
          <w:rFonts w:cs="Arial" w:ascii="Arial" w:hAnsi="Arial"/>
          <w:b/>
          <w:bCs/>
          <w:sz w:val="72"/>
          <w:szCs w:val="72"/>
        </w:rPr>
      </w:r>
    </w:p>
    <w:p>
      <w:pPr>
        <w:pStyle w:val="Normal"/>
        <w:spacing w:lineRule="auto" w:line="360" w:before="0" w:after="0"/>
        <w:jc w:val="center"/>
        <w:rPr>
          <w:rFonts w:ascii="Arial" w:hAnsi="Arial" w:cs="Arial"/>
          <w:b/>
          <w:b/>
          <w:bCs/>
          <w:sz w:val="72"/>
          <w:szCs w:val="72"/>
        </w:rPr>
      </w:pPr>
      <w:r>
        <w:rPr>
          <w:rFonts w:cs="Arial" w:ascii="Arial" w:hAnsi="Arial"/>
          <w:b/>
          <w:bCs/>
          <w:sz w:val="72"/>
          <w:szCs w:val="72"/>
        </w:rPr>
      </w:r>
    </w:p>
    <w:p>
      <w:pPr>
        <w:pStyle w:val="Normal"/>
        <w:spacing w:lineRule="auto" w:line="360" w:before="0" w:after="0"/>
        <w:jc w:val="center"/>
        <w:rPr>
          <w:rFonts w:ascii="Arial" w:hAnsi="Arial" w:cs="Arial"/>
          <w:b/>
          <w:b/>
          <w:bCs/>
          <w:sz w:val="72"/>
          <w:szCs w:val="72"/>
        </w:rPr>
      </w:pPr>
      <w:r>
        <w:rPr>
          <w:rFonts w:cs="Arial" w:ascii="Arial" w:hAnsi="Arial"/>
          <w:b/>
          <w:bCs/>
          <w:sz w:val="72"/>
          <w:szCs w:val="72"/>
        </w:rPr>
      </w:r>
    </w:p>
    <w:p>
      <w:pPr>
        <w:pStyle w:val="Normal"/>
        <w:spacing w:lineRule="auto" w:line="360" w:before="0" w:after="0"/>
        <w:rPr>
          <w:rFonts w:ascii="Arial" w:hAnsi="Arial" w:cs="Arial"/>
          <w:b/>
          <w:b/>
          <w:bCs/>
          <w:sz w:val="72"/>
          <w:szCs w:val="72"/>
        </w:rPr>
      </w:pPr>
      <w:r>
        <w:rPr>
          <w:rFonts w:cs="Arial" w:ascii="Arial" w:hAnsi="Arial"/>
          <w:b/>
          <w:bCs/>
          <w:sz w:val="72"/>
          <w:szCs w:val="72"/>
        </w:rPr>
      </w:r>
    </w:p>
    <w:p>
      <w:pPr>
        <w:pStyle w:val="Normal"/>
        <w:spacing w:lineRule="auto" w:line="360" w:before="0" w:after="0"/>
        <w:jc w:val="center"/>
        <w:rPr>
          <w:rFonts w:ascii="Arial" w:hAnsi="Arial" w:cs="Arial"/>
          <w:b/>
          <w:b/>
          <w:bCs/>
          <w:sz w:val="72"/>
          <w:szCs w:val="72"/>
        </w:rPr>
      </w:pPr>
      <w:r>
        <w:rPr/>
        <w:drawing>
          <wp:inline distT="0" distB="8255" distL="0" distR="0">
            <wp:extent cx="5400040" cy="8012430"/>
            <wp:effectExtent l="0" t="0" r="0" b="0"/>
            <wp:docPr id="24" name="Imagem 4" descr="C:\Users\User\Documents\COORDENAÇÃO HISTÓRIA\PPC Dezembro 2017\Novo acord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m 4" descr="C:\Users\User\Documents\COORDENAÇÃO HISTÓRIA\PPC Dezembro 2017\Novo acordo 1.jpeg"/>
                    <pic:cNvPicPr>
                      <a:picLocks noChangeAspect="1" noChangeArrowheads="1"/>
                    </pic:cNvPicPr>
                  </pic:nvPicPr>
                  <pic:blipFill>
                    <a:blip r:embed="rId18"/>
                    <a:stretch>
                      <a:fillRect/>
                    </a:stretch>
                  </pic:blipFill>
                  <pic:spPr bwMode="auto">
                    <a:xfrm>
                      <a:off x="0" y="0"/>
                      <a:ext cx="5400040" cy="8012430"/>
                    </a:xfrm>
                    <a:prstGeom prst="rect">
                      <a:avLst/>
                    </a:prstGeom>
                  </pic:spPr>
                </pic:pic>
              </a:graphicData>
            </a:graphic>
          </wp:inline>
        </w:drawing>
      </w:r>
    </w:p>
    <w:p>
      <w:pPr>
        <w:pStyle w:val="Normal"/>
        <w:spacing w:lineRule="auto" w:line="360" w:before="0" w:after="0"/>
        <w:jc w:val="center"/>
        <w:rPr>
          <w:rFonts w:ascii="Arial" w:hAnsi="Arial" w:cs="Arial"/>
          <w:b/>
          <w:b/>
          <w:bCs/>
          <w:sz w:val="72"/>
          <w:szCs w:val="72"/>
        </w:rPr>
      </w:pPr>
      <w:r>
        <w:rPr/>
        <w:drawing>
          <wp:inline distT="0" distB="6350" distL="0" distR="0">
            <wp:extent cx="5400040" cy="7537450"/>
            <wp:effectExtent l="0" t="0" r="0" b="0"/>
            <wp:docPr id="25" name="Imagem 14" descr="C:\Users\User\Documents\COORDENAÇÃO HISTÓRIA\PPC Dezembro 2017\Novo acordo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m 14" descr="C:\Users\User\Documents\COORDENAÇÃO HISTÓRIA\PPC Dezembro 2017\Novo acordo 2.jpeg"/>
                    <pic:cNvPicPr>
                      <a:picLocks noChangeAspect="1" noChangeArrowheads="1"/>
                    </pic:cNvPicPr>
                  </pic:nvPicPr>
                  <pic:blipFill>
                    <a:blip r:embed="rId19"/>
                    <a:stretch>
                      <a:fillRect/>
                    </a:stretch>
                  </pic:blipFill>
                  <pic:spPr bwMode="auto">
                    <a:xfrm>
                      <a:off x="0" y="0"/>
                      <a:ext cx="5400040" cy="7537450"/>
                    </a:xfrm>
                    <a:prstGeom prst="rect">
                      <a:avLst/>
                    </a:prstGeom>
                  </pic:spPr>
                </pic:pic>
              </a:graphicData>
            </a:graphic>
          </wp:inline>
        </w:drawing>
      </w:r>
    </w:p>
    <w:p>
      <w:pPr>
        <w:pStyle w:val="Normal"/>
        <w:spacing w:lineRule="auto" w:line="360" w:before="0" w:after="0"/>
        <w:jc w:val="center"/>
        <w:rPr>
          <w:rFonts w:ascii="Arial" w:hAnsi="Arial" w:cs="Arial"/>
          <w:b/>
          <w:b/>
          <w:bCs/>
          <w:sz w:val="72"/>
          <w:szCs w:val="72"/>
        </w:rPr>
      </w:pPr>
      <w:r>
        <w:rPr/>
        <w:drawing>
          <wp:inline distT="0" distB="6350" distL="0" distR="0">
            <wp:extent cx="5400040" cy="7461885"/>
            <wp:effectExtent l="0" t="0" r="0" b="0"/>
            <wp:docPr id="26" name="Imagem 15" descr="C:\Users\User\Documents\COORDENAÇÃO HISTÓRIA\PPC Dezembro 2017\Novo acordo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m 15" descr="C:\Users\User\Documents\COORDENAÇÃO HISTÓRIA\PPC Dezembro 2017\Novo acordo 3.jpeg"/>
                    <pic:cNvPicPr>
                      <a:picLocks noChangeAspect="1" noChangeArrowheads="1"/>
                    </pic:cNvPicPr>
                  </pic:nvPicPr>
                  <pic:blipFill>
                    <a:blip r:embed="rId20"/>
                    <a:stretch>
                      <a:fillRect/>
                    </a:stretch>
                  </pic:blipFill>
                  <pic:spPr bwMode="auto">
                    <a:xfrm>
                      <a:off x="0" y="0"/>
                      <a:ext cx="5400040" cy="7461885"/>
                    </a:xfrm>
                    <a:prstGeom prst="rect">
                      <a:avLst/>
                    </a:prstGeom>
                  </pic:spPr>
                </pic:pic>
              </a:graphicData>
            </a:graphic>
          </wp:inline>
        </w:drawing>
      </w:r>
    </w:p>
    <w:p>
      <w:pPr>
        <w:pStyle w:val="Normal"/>
        <w:spacing w:lineRule="auto" w:line="360" w:before="0" w:after="0"/>
        <w:rPr>
          <w:rFonts w:ascii="Arial" w:hAnsi="Arial" w:cs="Arial"/>
          <w:b/>
          <w:b/>
          <w:bCs/>
          <w:sz w:val="72"/>
          <w:szCs w:val="72"/>
        </w:rPr>
      </w:pPr>
      <w:r>
        <w:rPr>
          <w:rFonts w:cs="Arial" w:ascii="Arial" w:hAnsi="Arial"/>
          <w:b/>
          <w:bCs/>
          <w:sz w:val="72"/>
          <w:szCs w:val="72"/>
        </w:rPr>
      </w:r>
    </w:p>
    <w:p>
      <w:pPr>
        <w:pStyle w:val="Normal"/>
        <w:spacing w:lineRule="auto" w:line="360" w:before="0" w:after="0"/>
        <w:rPr>
          <w:rFonts w:ascii="Arial" w:hAnsi="Arial" w:cs="Arial"/>
          <w:b/>
          <w:b/>
          <w:bCs/>
          <w:sz w:val="72"/>
          <w:szCs w:val="72"/>
        </w:rPr>
      </w:pPr>
      <w:r>
        <w:rPr>
          <w:rFonts w:cs="Arial" w:ascii="Arial" w:hAnsi="Arial"/>
          <w:b/>
          <w:bCs/>
          <w:sz w:val="72"/>
          <w:szCs w:val="72"/>
        </w:rPr>
      </w:r>
    </w:p>
    <w:p>
      <w:pPr>
        <w:pStyle w:val="Normal"/>
        <w:spacing w:lineRule="auto" w:line="360" w:before="0" w:after="0"/>
        <w:rPr>
          <w:rFonts w:ascii="Arial" w:hAnsi="Arial" w:cs="Arial"/>
          <w:b/>
          <w:b/>
          <w:bCs/>
          <w:sz w:val="72"/>
          <w:szCs w:val="72"/>
        </w:rPr>
      </w:pPr>
      <w:r>
        <w:rPr>
          <w:rFonts w:cs="Arial" w:ascii="Arial" w:hAnsi="Arial"/>
          <w:b/>
          <w:bCs/>
          <w:sz w:val="72"/>
          <w:szCs w:val="72"/>
        </w:rPr>
      </w:r>
    </w:p>
    <w:p>
      <w:pPr>
        <w:pStyle w:val="Normal"/>
        <w:spacing w:lineRule="auto" w:line="360" w:before="0" w:after="0"/>
        <w:rPr>
          <w:rFonts w:ascii="Arial" w:hAnsi="Arial" w:cs="Arial"/>
          <w:b/>
          <w:b/>
          <w:bCs/>
          <w:sz w:val="72"/>
          <w:szCs w:val="72"/>
        </w:rPr>
      </w:pPr>
      <w:r>
        <w:rPr>
          <w:rFonts w:cs="Arial" w:ascii="Arial" w:hAnsi="Arial"/>
          <w:b/>
          <w:bCs/>
          <w:sz w:val="72"/>
          <w:szCs w:val="72"/>
        </w:rPr>
      </w:r>
    </w:p>
    <w:p>
      <w:pPr>
        <w:pStyle w:val="Normal"/>
        <w:spacing w:lineRule="auto" w:line="360" w:before="0" w:after="0"/>
        <w:jc w:val="center"/>
        <w:rPr>
          <w:rFonts w:ascii="Arial" w:hAnsi="Arial" w:cs="Arial"/>
          <w:b/>
          <w:b/>
          <w:bCs/>
          <w:sz w:val="72"/>
          <w:szCs w:val="72"/>
        </w:rPr>
      </w:pPr>
      <w:r>
        <w:rPr>
          <w:rFonts w:cs="Arial" w:ascii="Arial" w:hAnsi="Arial"/>
          <w:b/>
          <w:bCs/>
          <w:sz w:val="72"/>
          <w:szCs w:val="72"/>
        </w:rPr>
        <w:t>Anexo D</w:t>
      </w:r>
    </w:p>
    <w:p>
      <w:pPr>
        <w:pStyle w:val="Normal"/>
        <w:spacing w:lineRule="auto" w:line="360" w:before="0" w:after="0"/>
        <w:jc w:val="center"/>
        <w:rPr>
          <w:rFonts w:ascii="Arial" w:hAnsi="Arial" w:cs="Arial"/>
          <w:b/>
          <w:b/>
          <w:bCs/>
          <w:sz w:val="72"/>
          <w:szCs w:val="72"/>
        </w:rPr>
      </w:pPr>
      <w:r>
        <w:rPr>
          <w:rFonts w:cs="Arial" w:ascii="Arial" w:hAnsi="Arial"/>
          <w:b/>
          <w:bCs/>
          <w:sz w:val="72"/>
          <w:szCs w:val="72"/>
        </w:rPr>
      </w:r>
    </w:p>
    <w:p>
      <w:pPr>
        <w:pStyle w:val="Normal"/>
        <w:spacing w:lineRule="auto" w:line="360" w:before="0" w:after="0"/>
        <w:jc w:val="center"/>
        <w:rPr>
          <w:rFonts w:ascii="Arial" w:hAnsi="Arial" w:cs="Arial"/>
          <w:b/>
          <w:b/>
          <w:bCs/>
          <w:sz w:val="72"/>
          <w:szCs w:val="72"/>
        </w:rPr>
      </w:pPr>
      <w:r>
        <w:rPr>
          <w:rFonts w:cs="Arial" w:ascii="Arial" w:hAnsi="Arial"/>
          <w:b/>
          <w:bCs/>
          <w:sz w:val="72"/>
          <w:szCs w:val="72"/>
        </w:rPr>
      </w:r>
    </w:p>
    <w:p>
      <w:pPr>
        <w:pStyle w:val="Normal"/>
        <w:spacing w:lineRule="auto" w:line="360" w:before="0" w:after="0"/>
        <w:jc w:val="center"/>
        <w:rPr>
          <w:rFonts w:ascii="Arial" w:hAnsi="Arial" w:cs="Arial"/>
          <w:b/>
          <w:b/>
          <w:bCs/>
          <w:sz w:val="72"/>
          <w:szCs w:val="72"/>
        </w:rPr>
      </w:pPr>
      <w:r>
        <w:rPr>
          <w:rFonts w:cs="Arial" w:ascii="Arial" w:hAnsi="Arial"/>
          <w:b/>
          <w:bCs/>
          <w:sz w:val="72"/>
          <w:szCs w:val="72"/>
        </w:rPr>
      </w:r>
    </w:p>
    <w:p>
      <w:pPr>
        <w:pStyle w:val="Normal"/>
        <w:spacing w:lineRule="auto" w:line="360" w:before="0" w:after="0"/>
        <w:jc w:val="center"/>
        <w:rPr>
          <w:rFonts w:ascii="Arial" w:hAnsi="Arial" w:cs="Arial"/>
          <w:b/>
          <w:b/>
          <w:bCs/>
          <w:sz w:val="72"/>
          <w:szCs w:val="72"/>
        </w:rPr>
      </w:pPr>
      <w:r>
        <w:rPr>
          <w:rFonts w:cs="Arial" w:ascii="Arial" w:hAnsi="Arial"/>
          <w:b/>
          <w:bCs/>
          <w:sz w:val="72"/>
          <w:szCs w:val="72"/>
        </w:rPr>
      </w:r>
    </w:p>
    <w:p>
      <w:pPr>
        <w:pStyle w:val="Normal"/>
        <w:spacing w:lineRule="auto" w:line="360" w:before="0" w:after="0"/>
        <w:jc w:val="center"/>
        <w:rPr>
          <w:rFonts w:ascii="Arial" w:hAnsi="Arial" w:cs="Arial"/>
          <w:b/>
          <w:b/>
          <w:bCs/>
          <w:sz w:val="72"/>
          <w:szCs w:val="72"/>
        </w:rPr>
      </w:pPr>
      <w:r>
        <w:rPr>
          <w:rFonts w:cs="Arial" w:ascii="Arial" w:hAnsi="Arial"/>
          <w:b/>
          <w:bCs/>
          <w:sz w:val="72"/>
          <w:szCs w:val="72"/>
        </w:rPr>
      </w:r>
    </w:p>
    <w:p>
      <w:pPr>
        <w:pStyle w:val="Normal"/>
        <w:spacing w:lineRule="auto" w:line="360" w:before="0" w:after="0"/>
        <w:jc w:val="center"/>
        <w:rPr>
          <w:rFonts w:ascii="Arial" w:hAnsi="Arial" w:cs="Arial"/>
          <w:b/>
          <w:b/>
          <w:bCs/>
          <w:sz w:val="72"/>
          <w:szCs w:val="72"/>
        </w:rPr>
      </w:pPr>
      <w:r>
        <w:rPr>
          <w:rFonts w:cs="Arial" w:ascii="Arial" w:hAnsi="Arial"/>
          <w:b/>
          <w:bCs/>
          <w:sz w:val="72"/>
          <w:szCs w:val="72"/>
        </w:rPr>
      </w:r>
    </w:p>
    <w:p>
      <w:pPr>
        <w:pStyle w:val="Default"/>
        <w:widowControl w:val="false"/>
        <w:ind w:firstLine="357"/>
        <w:jc w:val="center"/>
        <w:rPr>
          <w:b/>
          <w:b/>
        </w:rPr>
      </w:pPr>
      <w:r>
        <w:rPr>
          <w:b/>
        </w:rPr>
        <w:t>RESOLUÇÃO Nº3 – COLEGIADO DO CURSO DE LICENCIATURA EM</w:t>
      </w:r>
    </w:p>
    <w:p>
      <w:pPr>
        <w:pStyle w:val="Default"/>
        <w:jc w:val="center"/>
        <w:rPr>
          <w:b/>
          <w:b/>
        </w:rPr>
      </w:pPr>
      <w:r>
        <w:rPr>
          <w:b/>
        </w:rPr>
        <w:t>HISTÓRIA, DE NOVEMBRO DE 2017.</w:t>
      </w:r>
    </w:p>
    <w:p>
      <w:pPr>
        <w:pStyle w:val="Default"/>
        <w:jc w:val="center"/>
        <w:rPr>
          <w:b/>
          <w:b/>
        </w:rPr>
      </w:pPr>
      <w:r>
        <w:rPr>
          <w:b/>
        </w:rPr>
      </w:r>
    </w:p>
    <w:p>
      <w:pPr>
        <w:pStyle w:val="Normal"/>
        <w:ind w:left="4956" w:hanging="0"/>
        <w:jc w:val="both"/>
        <w:rPr/>
      </w:pPr>
      <w:r>
        <w:rPr/>
        <w:t>Estabelece normas para as Atividades Acadêmico Científico Culturais – AACC do Curso de História da Universidade Federal dos Vales do Jequitinhonha e Mucuri – UFVJM.</w:t>
      </w:r>
    </w:p>
    <w:p>
      <w:pPr>
        <w:pStyle w:val="Normal"/>
        <w:jc w:val="both"/>
        <w:rPr>
          <w:b/>
          <w:b/>
        </w:rPr>
      </w:pPr>
      <w:r>
        <w:rPr>
          <w:b/>
        </w:rPr>
      </w:r>
    </w:p>
    <w:p>
      <w:pPr>
        <w:pStyle w:val="Normal"/>
        <w:spacing w:lineRule="auto" w:line="259" w:before="0" w:after="160"/>
        <w:jc w:val="both"/>
        <w:rPr/>
      </w:pPr>
      <w:r>
        <w:rPr/>
        <w:t>O Colegiado do Curso de História, em consonância com a Resolução Nº 21- CONSEPE de 25 de julho de 2014, no uso de suas atribuições</w:t>
      </w:r>
    </w:p>
    <w:p>
      <w:pPr>
        <w:pStyle w:val="Normal"/>
        <w:spacing w:lineRule="auto" w:line="259" w:before="0" w:after="160"/>
        <w:ind w:firstLine="708"/>
        <w:jc w:val="both"/>
        <w:rPr>
          <w:b/>
          <w:b/>
        </w:rPr>
      </w:pPr>
      <w:r>
        <w:rPr>
          <w:b/>
        </w:rPr>
        <w:t>RESOLVE:</w:t>
      </w:r>
    </w:p>
    <w:p>
      <w:pPr>
        <w:pStyle w:val="Normal"/>
        <w:jc w:val="center"/>
        <w:rPr>
          <w:b/>
          <w:b/>
        </w:rPr>
      </w:pPr>
      <w:r>
        <w:rPr>
          <w:b/>
        </w:rPr>
        <w:t xml:space="preserve">Da Tabela de Equivalência </w:t>
      </w:r>
    </w:p>
    <w:p>
      <w:pPr>
        <w:pStyle w:val="Normal"/>
        <w:spacing w:lineRule="auto" w:line="360"/>
        <w:jc w:val="center"/>
        <w:rPr>
          <w:b/>
          <w:b/>
        </w:rPr>
      </w:pPr>
      <w:r>
        <w:rPr>
          <w:b/>
        </w:rPr>
      </w:r>
    </w:p>
    <w:p>
      <w:pPr>
        <w:pStyle w:val="Normal"/>
        <w:rPr/>
      </w:pPr>
      <w:r>
        <w:rPr>
          <w:b/>
        </w:rPr>
        <w:t xml:space="preserve">Art 1º </w:t>
      </w:r>
      <w:r>
        <w:rPr/>
        <w:t xml:space="preserve">A validação do requerimento do aluno para a integralização das AACC será realizada pelo professor responsável pela oferta semestral da disciplina AACC, conforme ANEXO I. </w:t>
      </w:r>
    </w:p>
    <w:p>
      <w:pPr>
        <w:pStyle w:val="Normal"/>
        <w:rPr/>
      </w:pPr>
      <w:r>
        <w:rPr>
          <w:b/>
          <w:color w:val="000000"/>
        </w:rPr>
        <w:t>Parágrafo único -</w:t>
      </w:r>
      <w:r>
        <w:rPr>
          <w:color w:val="000000"/>
        </w:rPr>
        <w:t xml:space="preserve"> </w:t>
      </w:r>
      <w:r>
        <w:rPr/>
        <w:t>O formulário deverá ser entregue pelo aluno matriculado na disciplina AACC.</w:t>
      </w:r>
    </w:p>
    <w:p>
      <w:pPr>
        <w:pStyle w:val="Normal"/>
        <w:rPr/>
      </w:pPr>
      <w:r>
        <w:rPr>
          <w:b/>
        </w:rPr>
        <w:t>Art 2º</w:t>
      </w:r>
      <w:r>
        <w:rPr/>
        <w:t xml:space="preserve"> Cada aluno poderá acumular no máximo 100 horas de AACC por grupo.</w:t>
      </w:r>
    </w:p>
    <w:p>
      <w:pPr>
        <w:pStyle w:val="Normal"/>
        <w:jc w:val="center"/>
        <w:rPr>
          <w:b/>
          <w:b/>
        </w:rPr>
      </w:pPr>
      <w:r>
        <w:rPr>
          <w:b/>
        </w:rPr>
      </w:r>
    </w:p>
    <w:p>
      <w:pPr>
        <w:pStyle w:val="Normal"/>
        <w:jc w:val="center"/>
        <w:rPr>
          <w:b/>
          <w:b/>
        </w:rPr>
      </w:pPr>
      <w:r>
        <w:rPr>
          <w:b/>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sectPr>
          <w:headerReference w:type="default" r:id="rId21"/>
          <w:footerReference w:type="default" r:id="rId22"/>
          <w:footnotePr>
            <w:numFmt w:val="decimal"/>
          </w:footnotePr>
          <w:type w:val="nextPage"/>
          <w:pgSz w:w="11906" w:h="16838"/>
          <w:pgMar w:left="1701" w:right="1701" w:header="709" w:top="1418" w:footer="709" w:bottom="1418" w:gutter="0"/>
          <w:pgNumType w:fmt="decimal"/>
          <w:formProt w:val="false"/>
          <w:textDirection w:val="lrTb"/>
          <w:docGrid w:type="default" w:linePitch="360" w:charSpace="4294965247"/>
        </w:sect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b/>
          <w:b/>
        </w:rPr>
      </w:pPr>
      <w:r>
        <w:rPr>
          <w:b/>
        </w:rPr>
        <w:t>ANEXO I</w:t>
      </w:r>
    </w:p>
    <w:tbl>
      <w:tblPr>
        <w:tblW w:w="14742" w:type="dxa"/>
        <w:jc w:val="left"/>
        <w:tblInd w:w="-176" w:type="dxa"/>
        <w:tblBorders>
          <w:top w:val="double" w:sz="24" w:space="0" w:color="00000A"/>
          <w:left w:val="double" w:sz="24" w:space="0" w:color="00000A"/>
          <w:bottom w:val="double" w:sz="24" w:space="0" w:color="00000A"/>
          <w:right w:val="single" w:sz="12" w:space="0" w:color="00000A"/>
          <w:insideH w:val="double" w:sz="24" w:space="0" w:color="00000A"/>
          <w:insideV w:val="single" w:sz="12" w:space="0" w:color="00000A"/>
        </w:tblBorders>
        <w:tblCellMar>
          <w:top w:w="0" w:type="dxa"/>
          <w:left w:w="23" w:type="dxa"/>
          <w:bottom w:w="0" w:type="dxa"/>
          <w:right w:w="108" w:type="dxa"/>
        </w:tblCellMar>
        <w:tblLook w:firstRow="0" w:noVBand="0" w:lastRow="0" w:firstColumn="0" w:lastColumn="0" w:noHBand="0" w:val="0000"/>
      </w:tblPr>
      <w:tblGrid>
        <w:gridCol w:w="1124"/>
        <w:gridCol w:w="1320"/>
        <w:gridCol w:w="3479"/>
        <w:gridCol w:w="2760"/>
        <w:gridCol w:w="1679"/>
        <w:gridCol w:w="1559"/>
        <w:gridCol w:w="2820"/>
      </w:tblGrid>
      <w:tr>
        <w:trPr>
          <w:trHeight w:val="255" w:hRule="atLeast"/>
        </w:trPr>
        <w:tc>
          <w:tcPr>
            <w:tcW w:w="1124" w:type="dxa"/>
            <w:tcBorders>
              <w:top w:val="double" w:sz="24" w:space="0" w:color="00000A"/>
              <w:left w:val="double" w:sz="24" w:space="0" w:color="00000A"/>
              <w:bottom w:val="double" w:sz="24" w:space="0" w:color="00000A"/>
              <w:right w:val="single" w:sz="12" w:space="0" w:color="00000A"/>
              <w:insideH w:val="double" w:sz="24" w:space="0" w:color="00000A"/>
              <w:insideV w:val="single" w:sz="12" w:space="0" w:color="00000A"/>
            </w:tcBorders>
            <w:shd w:color="auto" w:fill="C0C0C0" w:val="clear"/>
            <w:tcMar>
              <w:left w:w="23" w:type="dxa"/>
            </w:tcMar>
            <w:vAlign w:val="center"/>
          </w:tcPr>
          <w:p>
            <w:pPr>
              <w:pStyle w:val="Normal"/>
              <w:spacing w:before="0" w:after="200"/>
              <w:jc w:val="center"/>
              <w:rPr>
                <w:b/>
                <w:b/>
              </w:rPr>
            </w:pPr>
            <w:r>
              <w:rPr>
                <w:b/>
              </w:rPr>
              <w:t>MODALI-DADE</w:t>
            </w:r>
          </w:p>
        </w:tc>
        <w:tc>
          <w:tcPr>
            <w:tcW w:w="1320" w:type="dxa"/>
            <w:tcBorders>
              <w:top w:val="double" w:sz="24" w:space="0" w:color="00000A"/>
              <w:left w:val="single" w:sz="12" w:space="0" w:color="00000A"/>
              <w:bottom w:val="double" w:sz="24" w:space="0" w:color="00000A"/>
              <w:right w:val="single" w:sz="12" w:space="0" w:color="00000A"/>
              <w:insideH w:val="double" w:sz="24" w:space="0" w:color="00000A"/>
              <w:insideV w:val="single" w:sz="12" w:space="0" w:color="00000A"/>
            </w:tcBorders>
            <w:shd w:color="auto" w:fill="C0C0C0" w:val="clear"/>
            <w:tcMar>
              <w:left w:w="98" w:type="dxa"/>
            </w:tcMar>
            <w:vAlign w:val="center"/>
          </w:tcPr>
          <w:p>
            <w:pPr>
              <w:pStyle w:val="Normal"/>
              <w:spacing w:before="0" w:after="200"/>
              <w:jc w:val="center"/>
              <w:rPr>
                <w:b/>
                <w:b/>
              </w:rPr>
            </w:pPr>
            <w:r>
              <w:rPr>
                <w:b/>
              </w:rPr>
              <w:t>MÁXIMO DE HORAS</w:t>
            </w:r>
          </w:p>
        </w:tc>
        <w:tc>
          <w:tcPr>
            <w:tcW w:w="3479" w:type="dxa"/>
            <w:tcBorders>
              <w:top w:val="double" w:sz="24" w:space="0" w:color="00000A"/>
              <w:left w:val="single" w:sz="12" w:space="0" w:color="00000A"/>
              <w:bottom w:val="double" w:sz="24" w:space="0" w:color="00000A"/>
              <w:right w:val="single" w:sz="12" w:space="0" w:color="00000A"/>
              <w:insideH w:val="double" w:sz="24" w:space="0" w:color="00000A"/>
              <w:insideV w:val="single" w:sz="12" w:space="0" w:color="00000A"/>
            </w:tcBorders>
            <w:shd w:color="auto" w:fill="C0C0C0" w:val="clear"/>
            <w:tcMar>
              <w:left w:w="98" w:type="dxa"/>
            </w:tcMar>
            <w:vAlign w:val="bottom"/>
          </w:tcPr>
          <w:p>
            <w:pPr>
              <w:pStyle w:val="Normal"/>
              <w:spacing w:before="0" w:after="200"/>
              <w:jc w:val="center"/>
              <w:rPr>
                <w:b/>
                <w:b/>
              </w:rPr>
            </w:pPr>
            <w:r>
              <w:rPr>
                <w:b/>
              </w:rPr>
              <w:t>ATIVIDADES</w:t>
            </w:r>
          </w:p>
        </w:tc>
        <w:tc>
          <w:tcPr>
            <w:tcW w:w="2760" w:type="dxa"/>
            <w:tcBorders>
              <w:top w:val="double" w:sz="24" w:space="0" w:color="00000A"/>
              <w:left w:val="single" w:sz="12" w:space="0" w:color="00000A"/>
              <w:bottom w:val="double" w:sz="24" w:space="0" w:color="00000A"/>
              <w:right w:val="single" w:sz="12" w:space="0" w:color="00000A"/>
              <w:insideH w:val="double" w:sz="24" w:space="0" w:color="00000A"/>
              <w:insideV w:val="single" w:sz="12" w:space="0" w:color="00000A"/>
            </w:tcBorders>
            <w:shd w:color="auto" w:fill="C0C0C0" w:val="clear"/>
            <w:tcMar>
              <w:left w:w="98" w:type="dxa"/>
            </w:tcMar>
            <w:vAlign w:val="center"/>
          </w:tcPr>
          <w:p>
            <w:pPr>
              <w:pStyle w:val="Normal"/>
              <w:spacing w:before="0" w:after="200"/>
              <w:jc w:val="center"/>
              <w:rPr>
                <w:b/>
                <w:b/>
              </w:rPr>
            </w:pPr>
            <w:r>
              <w:rPr>
                <w:b/>
              </w:rPr>
              <w:t>NÍVEIS DE PARTICIPAÇÃO</w:t>
            </w:r>
          </w:p>
        </w:tc>
        <w:tc>
          <w:tcPr>
            <w:tcW w:w="1679" w:type="dxa"/>
            <w:tcBorders>
              <w:top w:val="double" w:sz="24" w:space="0" w:color="00000A"/>
              <w:left w:val="single" w:sz="12" w:space="0" w:color="00000A"/>
              <w:bottom w:val="double" w:sz="24" w:space="0" w:color="00000A"/>
              <w:right w:val="single" w:sz="12" w:space="0" w:color="00000A"/>
              <w:insideH w:val="double" w:sz="24" w:space="0" w:color="00000A"/>
              <w:insideV w:val="single" w:sz="12" w:space="0" w:color="00000A"/>
            </w:tcBorders>
            <w:shd w:color="auto" w:fill="C0C0C0" w:val="clear"/>
            <w:tcMar>
              <w:left w:w="98" w:type="dxa"/>
            </w:tcMar>
            <w:vAlign w:val="center"/>
          </w:tcPr>
          <w:p>
            <w:pPr>
              <w:pStyle w:val="Normal"/>
              <w:spacing w:before="0" w:after="200"/>
              <w:jc w:val="center"/>
              <w:rPr>
                <w:b/>
                <w:b/>
              </w:rPr>
            </w:pPr>
            <w:r>
              <w:rPr>
                <w:b/>
              </w:rPr>
              <w:t>HORA ATIVIDADE</w:t>
            </w:r>
          </w:p>
        </w:tc>
        <w:tc>
          <w:tcPr>
            <w:tcW w:w="1559" w:type="dxa"/>
            <w:tcBorders>
              <w:top w:val="double" w:sz="24" w:space="0" w:color="00000A"/>
              <w:left w:val="single" w:sz="12" w:space="0" w:color="00000A"/>
              <w:bottom w:val="double" w:sz="24" w:space="0" w:color="00000A"/>
              <w:right w:val="single" w:sz="12" w:space="0" w:color="00000A"/>
              <w:insideH w:val="double" w:sz="24" w:space="0" w:color="00000A"/>
              <w:insideV w:val="single" w:sz="12" w:space="0" w:color="00000A"/>
            </w:tcBorders>
            <w:shd w:color="auto" w:fill="C0C0C0" w:val="clear"/>
            <w:tcMar>
              <w:left w:w="98" w:type="dxa"/>
            </w:tcMar>
            <w:vAlign w:val="center"/>
          </w:tcPr>
          <w:p>
            <w:pPr>
              <w:pStyle w:val="Normal"/>
              <w:spacing w:before="0" w:after="200"/>
              <w:jc w:val="center"/>
              <w:rPr>
                <w:b/>
                <w:b/>
              </w:rPr>
            </w:pPr>
            <w:r>
              <w:rPr>
                <w:b/>
              </w:rPr>
              <w:t>HORA AACC</w:t>
            </w:r>
          </w:p>
        </w:tc>
        <w:tc>
          <w:tcPr>
            <w:tcW w:w="2820" w:type="dxa"/>
            <w:tcBorders>
              <w:top w:val="double" w:sz="24" w:space="0" w:color="00000A"/>
              <w:left w:val="single" w:sz="12" w:space="0" w:color="00000A"/>
              <w:bottom w:val="double" w:sz="24" w:space="0" w:color="00000A"/>
              <w:right w:val="double" w:sz="24" w:space="0" w:color="00000A"/>
              <w:insideH w:val="double" w:sz="24" w:space="0" w:color="00000A"/>
              <w:insideV w:val="double" w:sz="24" w:space="0" w:color="00000A"/>
            </w:tcBorders>
            <w:shd w:color="auto" w:fill="C0C0C0" w:val="clear"/>
            <w:tcMar>
              <w:left w:w="98" w:type="dxa"/>
            </w:tcMar>
            <w:vAlign w:val="center"/>
          </w:tcPr>
          <w:p>
            <w:pPr>
              <w:pStyle w:val="Normal"/>
              <w:tabs>
                <w:tab w:val="left" w:pos="2972" w:leader="none"/>
              </w:tabs>
              <w:spacing w:before="0" w:after="200"/>
              <w:ind w:right="-108" w:hanging="0"/>
              <w:jc w:val="center"/>
              <w:rPr>
                <w:b/>
                <w:b/>
                <w:lang w:val="en-US"/>
              </w:rPr>
            </w:pPr>
            <w:r>
              <w:rPr>
                <w:b/>
                <w:lang w:val="en-US"/>
              </w:rPr>
              <w:t>DOCUMENTAÇÃO COMPROBATÓRIA</w:t>
            </w:r>
          </w:p>
        </w:tc>
      </w:tr>
      <w:tr>
        <w:trPr>
          <w:trHeight w:val="418" w:hRule="atLeast"/>
        </w:trPr>
        <w:tc>
          <w:tcPr>
            <w:tcW w:w="1124" w:type="dxa"/>
            <w:vMerge w:val="restart"/>
            <w:tcBorders>
              <w:top w:val="double" w:sz="2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E0E0E0" w:val="clear"/>
            <w:tcMar>
              <w:left w:w="23" w:type="dxa"/>
            </w:tcMar>
            <w:textDirection w:val="btLr"/>
            <w:vAlign w:val="center"/>
          </w:tcPr>
          <w:p>
            <w:pPr>
              <w:pStyle w:val="Normal"/>
              <w:ind w:left="113" w:right="113" w:hanging="0"/>
              <w:jc w:val="center"/>
              <w:rPr>
                <w:rFonts w:ascii="Arial" w:hAnsi="Arial" w:cs="Arial"/>
                <w:sz w:val="20"/>
                <w:szCs w:val="20"/>
              </w:rPr>
            </w:pPr>
            <w:r>
              <w:rPr>
                <w:rFonts w:cs="Arial" w:ascii="Arial" w:hAnsi="Arial"/>
                <w:sz w:val="20"/>
                <w:szCs w:val="20"/>
              </w:rPr>
              <w:t>GRUPO I</w:t>
            </w:r>
          </w:p>
          <w:p>
            <w:pPr>
              <w:pStyle w:val="Normal"/>
              <w:spacing w:before="0" w:after="200"/>
              <w:ind w:left="113" w:right="113" w:hanging="0"/>
              <w:jc w:val="center"/>
              <w:rPr>
                <w:rFonts w:ascii="Arial" w:hAnsi="Arial" w:cs="Arial"/>
                <w:sz w:val="20"/>
                <w:szCs w:val="20"/>
              </w:rPr>
            </w:pPr>
            <w:r>
              <w:rPr>
                <w:rFonts w:cs="Arial" w:ascii="Arial" w:hAnsi="Arial"/>
                <w:sz w:val="20"/>
                <w:szCs w:val="20"/>
              </w:rPr>
              <w:t>PESQUISA</w:t>
            </w:r>
          </w:p>
        </w:tc>
        <w:tc>
          <w:tcPr>
            <w:tcW w:w="1320" w:type="dxa"/>
            <w:vMerge w:val="restart"/>
            <w:tcBorders>
              <w:top w:val="double" w:sz="2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100 horas</w:t>
            </w:r>
          </w:p>
        </w:tc>
        <w:tc>
          <w:tcPr>
            <w:tcW w:w="3479" w:type="dxa"/>
            <w:vMerge w:val="restart"/>
            <w:tcBorders>
              <w:top w:val="double" w:sz="2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Iniciação científica, Bolsa Atividade, PET, PIBID, PRODOCÊNCIA e demais Projetos Institucionais.</w:t>
            </w:r>
          </w:p>
        </w:tc>
        <w:tc>
          <w:tcPr>
            <w:tcW w:w="2760" w:type="dxa"/>
            <w:tcBorders>
              <w:top w:val="double" w:sz="24"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Pesquisador Bolsista</w:t>
            </w:r>
          </w:p>
        </w:tc>
        <w:tc>
          <w:tcPr>
            <w:tcW w:w="1679" w:type="dxa"/>
            <w:tcBorders>
              <w:top w:val="double" w:sz="24"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4 horas</w:t>
            </w:r>
          </w:p>
        </w:tc>
        <w:tc>
          <w:tcPr>
            <w:tcW w:w="1559" w:type="dxa"/>
            <w:tcBorders>
              <w:top w:val="double" w:sz="24"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hora</w:t>
            </w:r>
          </w:p>
        </w:tc>
        <w:tc>
          <w:tcPr>
            <w:tcW w:w="2820" w:type="dxa"/>
            <w:vMerge w:val="restart"/>
            <w:tcBorders>
              <w:top w:val="double" w:sz="24" w:space="0" w:color="00000A"/>
              <w:left w:val="single" w:sz="12" w:space="0" w:color="00000A"/>
              <w:bottom w:val="single" w:sz="4" w:space="0" w:color="00000A"/>
              <w:right w:val="double" w:sz="24" w:space="0" w:color="00000A"/>
              <w:insideH w:val="single" w:sz="4" w:space="0" w:color="00000A"/>
              <w:insideV w:val="double" w:sz="24"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 xml:space="preserve">Certificado de Participação no Projeto </w:t>
            </w:r>
          </w:p>
        </w:tc>
      </w:tr>
      <w:tr>
        <w:trPr>
          <w:trHeight w:val="255"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E0E0E0"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E0E0E0"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continue"/>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2760"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Pesquisador Voluntário</w:t>
            </w:r>
          </w:p>
        </w:tc>
        <w:tc>
          <w:tcPr>
            <w:tcW w:w="1679"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4 horas</w:t>
            </w:r>
          </w:p>
        </w:tc>
        <w:tc>
          <w:tcPr>
            <w:tcW w:w="1559"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2 horas</w:t>
            </w:r>
          </w:p>
        </w:tc>
        <w:tc>
          <w:tcPr>
            <w:tcW w:w="2820" w:type="dxa"/>
            <w:vMerge w:val="continue"/>
            <w:tcBorders>
              <w:top w:val="single" w:sz="4"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r>
      <w:tr>
        <w:trPr>
          <w:trHeight w:val="424"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E0E0E0"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E0E0E0"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 xml:space="preserve">Participação em grupos de Pesquisa/Ensino sob orientação docente </w:t>
            </w:r>
          </w:p>
        </w:tc>
        <w:tc>
          <w:tcPr>
            <w:tcW w:w="2760"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 xml:space="preserve">Participante </w:t>
            </w:r>
          </w:p>
        </w:tc>
        <w:tc>
          <w:tcPr>
            <w:tcW w:w="16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4 horas</w:t>
            </w:r>
          </w:p>
        </w:tc>
        <w:tc>
          <w:tcPr>
            <w:tcW w:w="155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hora</w:t>
            </w:r>
          </w:p>
        </w:tc>
        <w:tc>
          <w:tcPr>
            <w:tcW w:w="2820" w:type="dxa"/>
            <w:tcBorders>
              <w:top w:val="single" w:sz="12"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Declaração do docente responsável pelo grupo de pesquisa</w:t>
            </w:r>
          </w:p>
        </w:tc>
      </w:tr>
      <w:tr>
        <w:trPr>
          <w:trHeight w:val="557"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E0E0E0"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E0E0E0"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restart"/>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Publicação de artigo científico em periódicos, eventos de natureza científica, livro ou capítulo de livro</w:t>
            </w:r>
          </w:p>
        </w:tc>
        <w:tc>
          <w:tcPr>
            <w:tcW w:w="2760"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Autor - livro</w:t>
            </w:r>
          </w:p>
        </w:tc>
        <w:tc>
          <w:tcPr>
            <w:tcW w:w="1679"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publicação</w:t>
            </w:r>
          </w:p>
        </w:tc>
        <w:tc>
          <w:tcPr>
            <w:tcW w:w="1559"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20 horas</w:t>
            </w:r>
          </w:p>
        </w:tc>
        <w:tc>
          <w:tcPr>
            <w:tcW w:w="2820" w:type="dxa"/>
            <w:vMerge w:val="restart"/>
            <w:tcBorders>
              <w:top w:val="single" w:sz="12" w:space="0" w:color="00000A"/>
              <w:left w:val="single" w:sz="12" w:space="0" w:color="00000A"/>
              <w:bottom w:val="single" w:sz="4" w:space="0" w:color="00000A"/>
              <w:right w:val="double" w:sz="24" w:space="0" w:color="00000A"/>
              <w:insideH w:val="single" w:sz="4" w:space="0" w:color="00000A"/>
              <w:insideV w:val="double" w:sz="24"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Certificado de Publicação ou cópia do editorial e da página que consta o nome dos autores</w:t>
            </w:r>
          </w:p>
        </w:tc>
      </w:tr>
      <w:tr>
        <w:trPr>
          <w:trHeight w:val="436"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E0E0E0"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E0E0E0"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continue"/>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2760"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Co-autor - capítulo</w:t>
            </w:r>
          </w:p>
        </w:tc>
        <w:tc>
          <w:tcPr>
            <w:tcW w:w="1679"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publicação</w:t>
            </w:r>
          </w:p>
        </w:tc>
        <w:tc>
          <w:tcPr>
            <w:tcW w:w="1559"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15 horas</w:t>
            </w:r>
          </w:p>
        </w:tc>
        <w:tc>
          <w:tcPr>
            <w:tcW w:w="2820" w:type="dxa"/>
            <w:vMerge w:val="continue"/>
            <w:tcBorders>
              <w:top w:val="single" w:sz="4"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r>
      <w:tr>
        <w:trPr>
          <w:trHeight w:val="13"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E0E0E0"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E0E0E0"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 xml:space="preserve">Apresentação de trabalho em eventos de natureza científica </w:t>
            </w:r>
          </w:p>
        </w:tc>
        <w:tc>
          <w:tcPr>
            <w:tcW w:w="2760"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Apresentador</w:t>
            </w:r>
          </w:p>
        </w:tc>
        <w:tc>
          <w:tcPr>
            <w:tcW w:w="16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apresentação</w:t>
            </w:r>
          </w:p>
        </w:tc>
        <w:tc>
          <w:tcPr>
            <w:tcW w:w="155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2 horas</w:t>
            </w:r>
          </w:p>
        </w:tc>
        <w:tc>
          <w:tcPr>
            <w:tcW w:w="2820" w:type="dxa"/>
            <w:tcBorders>
              <w:top w:val="single" w:sz="12"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Certificado de Apresentação</w:t>
            </w:r>
          </w:p>
        </w:tc>
      </w:tr>
      <w:tr>
        <w:trPr>
          <w:trHeight w:val="270"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E0E0E0"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E0E0E0"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restart"/>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eastAsia="Calibri" w:cs="Arial" w:ascii="Arial" w:hAnsi="Arial"/>
                <w:sz w:val="20"/>
                <w:szCs w:val="20"/>
              </w:rPr>
              <w:t>Congressos, seminários, conferências, palestras, mostras e outras atividades assistidas de caráter científico</w:t>
            </w:r>
          </w:p>
        </w:tc>
        <w:tc>
          <w:tcPr>
            <w:tcW w:w="2760"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E0E0E0" w:val="clear"/>
            <w:tcMar>
              <w:left w:w="98" w:type="dxa"/>
            </w:tcMar>
            <w:vAlign w:val="center"/>
          </w:tcPr>
          <w:p>
            <w:pPr>
              <w:pStyle w:val="Normal"/>
              <w:jc w:val="center"/>
              <w:rPr>
                <w:rFonts w:ascii="Arial" w:hAnsi="Arial" w:cs="Arial"/>
                <w:sz w:val="20"/>
                <w:szCs w:val="20"/>
              </w:rPr>
            </w:pPr>
            <w:r>
              <w:rPr>
                <w:rFonts w:cs="Arial" w:ascii="Arial" w:hAnsi="Arial"/>
                <w:sz w:val="20"/>
                <w:szCs w:val="20"/>
              </w:rPr>
              <w:t>Colaborador</w:t>
            </w:r>
          </w:p>
          <w:p>
            <w:pPr>
              <w:pStyle w:val="Normal"/>
              <w:spacing w:before="0" w:after="200"/>
              <w:jc w:val="center"/>
              <w:rPr>
                <w:rFonts w:ascii="Arial" w:hAnsi="Arial" w:cs="Arial"/>
                <w:sz w:val="20"/>
                <w:szCs w:val="20"/>
              </w:rPr>
            </w:pPr>
            <w:r>
              <w:rPr>
                <w:rFonts w:cs="Arial" w:ascii="Arial" w:hAnsi="Arial"/>
                <w:sz w:val="20"/>
                <w:szCs w:val="20"/>
              </w:rPr>
            </w:r>
          </w:p>
        </w:tc>
        <w:tc>
          <w:tcPr>
            <w:tcW w:w="1679"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Cada dia</w:t>
            </w:r>
          </w:p>
        </w:tc>
        <w:tc>
          <w:tcPr>
            <w:tcW w:w="1559"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hora</w:t>
            </w:r>
          </w:p>
        </w:tc>
        <w:tc>
          <w:tcPr>
            <w:tcW w:w="2820" w:type="dxa"/>
            <w:vMerge w:val="restart"/>
            <w:tcBorders>
              <w:top w:val="single" w:sz="12" w:space="0" w:color="00000A"/>
              <w:left w:val="single" w:sz="12" w:space="0" w:color="00000A"/>
              <w:bottom w:val="single" w:sz="4" w:space="0" w:color="00000A"/>
              <w:right w:val="double" w:sz="24" w:space="0" w:color="00000A"/>
              <w:insideH w:val="single" w:sz="4" w:space="0" w:color="00000A"/>
              <w:insideV w:val="double" w:sz="24"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Declaração ou Certificado de Colaboração ou Participação</w:t>
            </w:r>
          </w:p>
        </w:tc>
      </w:tr>
      <w:tr>
        <w:trPr>
          <w:trHeight w:val="225"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FF99CC"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99CC"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99CC" w:val="clear"/>
            <w:tcMar>
              <w:left w:w="98" w:type="dxa"/>
            </w:tcMar>
            <w:vAlign w:val="center"/>
          </w:tcPr>
          <w:p>
            <w:pPr>
              <w:pStyle w:val="Normal"/>
              <w:spacing w:before="0" w:after="200"/>
              <w:jc w:val="center"/>
              <w:rPr>
                <w:rFonts w:ascii="Arial" w:hAnsi="Arial" w:eastAsia="Calibri" w:cs="Arial"/>
                <w:sz w:val="20"/>
                <w:szCs w:val="20"/>
              </w:rPr>
            </w:pPr>
            <w:r>
              <w:rPr>
                <w:rFonts w:eastAsia="Calibri" w:cs="Arial" w:ascii="Arial" w:hAnsi="Arial"/>
                <w:sz w:val="20"/>
                <w:szCs w:val="20"/>
              </w:rPr>
            </w:r>
          </w:p>
        </w:tc>
        <w:tc>
          <w:tcPr>
            <w:tcW w:w="2760" w:type="dxa"/>
            <w:tcBorders>
              <w:top w:val="dotted"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Participante COM apresentação de trabalho</w:t>
            </w:r>
          </w:p>
        </w:tc>
        <w:tc>
          <w:tcPr>
            <w:tcW w:w="1679" w:type="dxa"/>
            <w:tcBorders>
              <w:top w:val="dotted"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4 horas</w:t>
            </w:r>
          </w:p>
        </w:tc>
        <w:tc>
          <w:tcPr>
            <w:tcW w:w="1559" w:type="dxa"/>
            <w:tcBorders>
              <w:top w:val="dotted"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2 horas</w:t>
            </w:r>
          </w:p>
        </w:tc>
        <w:tc>
          <w:tcPr>
            <w:tcW w:w="2820" w:type="dxa"/>
            <w:vMerge w:val="continue"/>
            <w:tcBorders>
              <w:top w:val="single" w:sz="4" w:space="0" w:color="00000A"/>
              <w:left w:val="single" w:sz="12" w:space="0" w:color="00000A"/>
              <w:bottom w:val="single" w:sz="4" w:space="0" w:color="00000A"/>
              <w:right w:val="double" w:sz="24" w:space="0" w:color="00000A"/>
              <w:insideH w:val="single" w:sz="4" w:space="0" w:color="00000A"/>
              <w:insideV w:val="double" w:sz="24" w:space="0" w:color="00000A"/>
            </w:tcBorders>
            <w:shd w:color="auto" w:fill="FF99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r>
      <w:tr>
        <w:trPr>
          <w:trHeight w:val="180"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FFCCFF"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CCFF"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CCFF" w:val="clear"/>
            <w:tcMar>
              <w:left w:w="98" w:type="dxa"/>
            </w:tcMar>
            <w:vAlign w:val="center"/>
          </w:tcPr>
          <w:p>
            <w:pPr>
              <w:pStyle w:val="Normal"/>
              <w:spacing w:before="0" w:after="200"/>
              <w:jc w:val="center"/>
              <w:rPr>
                <w:rFonts w:ascii="Arial" w:hAnsi="Arial" w:eastAsia="Calibri" w:cs="Arial"/>
                <w:sz w:val="20"/>
                <w:szCs w:val="20"/>
              </w:rPr>
            </w:pPr>
            <w:r>
              <w:rPr>
                <w:rFonts w:eastAsia="Calibri" w:cs="Arial" w:ascii="Arial" w:hAnsi="Arial"/>
                <w:sz w:val="20"/>
                <w:szCs w:val="20"/>
              </w:rPr>
            </w:r>
          </w:p>
        </w:tc>
        <w:tc>
          <w:tcPr>
            <w:tcW w:w="2760" w:type="dxa"/>
            <w:tcBorders>
              <w:top w:val="dotted"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Participante SEM apresentação de trabalho</w:t>
            </w:r>
          </w:p>
        </w:tc>
        <w:tc>
          <w:tcPr>
            <w:tcW w:w="1679" w:type="dxa"/>
            <w:tcBorders>
              <w:top w:val="dotted"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8 horas</w:t>
            </w:r>
          </w:p>
        </w:tc>
        <w:tc>
          <w:tcPr>
            <w:tcW w:w="1559" w:type="dxa"/>
            <w:tcBorders>
              <w:top w:val="dotted"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2 horas</w:t>
            </w:r>
          </w:p>
        </w:tc>
        <w:tc>
          <w:tcPr>
            <w:tcW w:w="2820" w:type="dxa"/>
            <w:vMerge w:val="continue"/>
            <w:tcBorders>
              <w:top w:val="single" w:sz="4" w:space="0" w:color="00000A"/>
              <w:left w:val="single" w:sz="12" w:space="0" w:color="00000A"/>
              <w:bottom w:val="single" w:sz="4" w:space="0" w:color="00000A"/>
              <w:right w:val="double" w:sz="24" w:space="0" w:color="00000A"/>
              <w:insideH w:val="single" w:sz="4" w:space="0" w:color="00000A"/>
              <w:insideV w:val="double" w:sz="24" w:space="0" w:color="00000A"/>
            </w:tcBorders>
            <w:shd w:color="auto" w:fill="FFCCFF"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r>
      <w:tr>
        <w:trPr>
          <w:trHeight w:val="453" w:hRule="atLeast"/>
        </w:trPr>
        <w:tc>
          <w:tcPr>
            <w:tcW w:w="1124" w:type="dxa"/>
            <w:vMerge w:val="continue"/>
            <w:tcBorders>
              <w:top w:val="single" w:sz="4" w:space="0" w:color="00000A"/>
              <w:left w:val="double" w:sz="24" w:space="0" w:color="00000A"/>
              <w:bottom w:val="double" w:sz="24" w:space="0" w:color="00000A"/>
              <w:right w:val="single" w:sz="12" w:space="0" w:color="00000A"/>
              <w:insideH w:val="double" w:sz="24" w:space="0" w:color="00000A"/>
              <w:insideV w:val="single" w:sz="12" w:space="0" w:color="00000A"/>
            </w:tcBorders>
            <w:shd w:color="auto" w:fill="FFCCFF"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double" w:sz="24" w:space="0" w:color="00000A"/>
              <w:right w:val="single" w:sz="12" w:space="0" w:color="00000A"/>
              <w:insideH w:val="double" w:sz="24" w:space="0" w:color="00000A"/>
              <w:insideV w:val="single" w:sz="12" w:space="0" w:color="00000A"/>
            </w:tcBorders>
            <w:shd w:color="auto" w:fill="FFCCFF"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continue"/>
            <w:tcBorders>
              <w:top w:val="single" w:sz="4" w:space="0" w:color="00000A"/>
              <w:left w:val="single" w:sz="12" w:space="0" w:color="00000A"/>
              <w:bottom w:val="double" w:sz="24" w:space="0" w:color="00000A"/>
              <w:right w:val="single" w:sz="12" w:space="0" w:color="00000A"/>
              <w:insideH w:val="double" w:sz="24" w:space="0" w:color="00000A"/>
              <w:insideV w:val="single" w:sz="12" w:space="0" w:color="00000A"/>
            </w:tcBorders>
            <w:shd w:color="auto" w:fill="FFCCFF" w:val="clear"/>
            <w:tcMar>
              <w:left w:w="98" w:type="dxa"/>
            </w:tcMar>
            <w:vAlign w:val="center"/>
          </w:tcPr>
          <w:p>
            <w:pPr>
              <w:pStyle w:val="Normal"/>
              <w:spacing w:before="0" w:after="200"/>
              <w:jc w:val="center"/>
              <w:rPr>
                <w:rFonts w:ascii="Arial" w:hAnsi="Arial" w:eastAsia="Calibri" w:cs="Arial"/>
                <w:sz w:val="20"/>
                <w:szCs w:val="20"/>
              </w:rPr>
            </w:pPr>
            <w:r>
              <w:rPr>
                <w:rFonts w:eastAsia="Calibri" w:cs="Arial" w:ascii="Arial" w:hAnsi="Arial"/>
                <w:sz w:val="20"/>
                <w:szCs w:val="20"/>
              </w:rPr>
            </w:r>
          </w:p>
        </w:tc>
        <w:tc>
          <w:tcPr>
            <w:tcW w:w="2760" w:type="dxa"/>
            <w:tcBorders>
              <w:top w:val="dotted" w:sz="12" w:space="0" w:color="00000A"/>
              <w:left w:val="single" w:sz="12" w:space="0" w:color="00000A"/>
              <w:bottom w:val="double" w:sz="24" w:space="0" w:color="00000A"/>
              <w:right w:val="single" w:sz="12" w:space="0" w:color="00000A"/>
              <w:insideH w:val="double" w:sz="24"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Participante em carga não horária especificada</w:t>
            </w:r>
          </w:p>
        </w:tc>
        <w:tc>
          <w:tcPr>
            <w:tcW w:w="1679" w:type="dxa"/>
            <w:tcBorders>
              <w:top w:val="dotted" w:sz="12" w:space="0" w:color="00000A"/>
              <w:left w:val="single" w:sz="12" w:space="0" w:color="00000A"/>
              <w:bottom w:val="double" w:sz="24" w:space="0" w:color="00000A"/>
              <w:right w:val="single" w:sz="12" w:space="0" w:color="00000A"/>
              <w:insideH w:val="double" w:sz="24"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 xml:space="preserve">  </w:t>
            </w:r>
            <w:r>
              <w:rPr>
                <w:rFonts w:cs="Arial" w:ascii="Arial" w:hAnsi="Arial"/>
                <w:sz w:val="20"/>
                <w:szCs w:val="20"/>
              </w:rPr>
              <w:t>Cada dia</w:t>
            </w:r>
          </w:p>
        </w:tc>
        <w:tc>
          <w:tcPr>
            <w:tcW w:w="1559" w:type="dxa"/>
            <w:tcBorders>
              <w:top w:val="dotted" w:sz="12" w:space="0" w:color="00000A"/>
              <w:left w:val="single" w:sz="12" w:space="0" w:color="00000A"/>
              <w:bottom w:val="double" w:sz="24" w:space="0" w:color="00000A"/>
              <w:right w:val="single" w:sz="12" w:space="0" w:color="00000A"/>
              <w:insideH w:val="double" w:sz="24" w:space="0" w:color="00000A"/>
              <w:insideV w:val="single" w:sz="12" w:space="0" w:color="00000A"/>
            </w:tcBorders>
            <w:shd w:color="auto" w:fill="E0E0E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hora</w:t>
            </w:r>
          </w:p>
        </w:tc>
        <w:tc>
          <w:tcPr>
            <w:tcW w:w="2820" w:type="dxa"/>
            <w:vMerge w:val="continue"/>
            <w:tcBorders>
              <w:top w:val="single" w:sz="4" w:space="0" w:color="00000A"/>
              <w:left w:val="single" w:sz="12" w:space="0" w:color="00000A"/>
              <w:bottom w:val="double" w:sz="24" w:space="0" w:color="00000A"/>
              <w:right w:val="double" w:sz="24" w:space="0" w:color="00000A"/>
              <w:insideH w:val="double" w:sz="24" w:space="0" w:color="00000A"/>
              <w:insideV w:val="double" w:sz="24" w:space="0" w:color="00000A"/>
            </w:tcBorders>
            <w:shd w:color="auto" w:fill="FFCCFF"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r>
      <w:tr>
        <w:trPr>
          <w:trHeight w:val="255" w:hRule="atLeast"/>
        </w:trPr>
        <w:tc>
          <w:tcPr>
            <w:tcW w:w="1124" w:type="dxa"/>
            <w:vMerge w:val="restart"/>
            <w:tcBorders>
              <w:top w:val="double" w:sz="2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A0A0A0" w:val="clear"/>
            <w:tcMar>
              <w:left w:w="23" w:type="dxa"/>
            </w:tcMar>
            <w:textDirection w:val="btLr"/>
            <w:vAlign w:val="center"/>
          </w:tcPr>
          <w:p>
            <w:pPr>
              <w:pStyle w:val="Normal"/>
              <w:ind w:left="218" w:right="113" w:hanging="0"/>
              <w:jc w:val="center"/>
              <w:rPr>
                <w:rFonts w:ascii="Arial" w:hAnsi="Arial" w:cs="Arial"/>
                <w:sz w:val="20"/>
                <w:szCs w:val="20"/>
              </w:rPr>
            </w:pPr>
            <w:r>
              <w:rPr>
                <w:rFonts w:cs="Arial" w:ascii="Arial" w:hAnsi="Arial"/>
                <w:sz w:val="20"/>
                <w:szCs w:val="20"/>
              </w:rPr>
              <w:t>GRUPO II</w:t>
            </w:r>
          </w:p>
          <w:p>
            <w:pPr>
              <w:pStyle w:val="Normal"/>
              <w:ind w:left="218" w:right="113" w:hanging="0"/>
              <w:jc w:val="center"/>
              <w:rPr>
                <w:rFonts w:ascii="Arial" w:hAnsi="Arial" w:cs="Arial"/>
                <w:sz w:val="20"/>
                <w:szCs w:val="20"/>
              </w:rPr>
            </w:pPr>
            <w:r>
              <w:rPr>
                <w:rFonts w:cs="Arial" w:ascii="Arial" w:hAnsi="Arial"/>
                <w:sz w:val="20"/>
                <w:szCs w:val="20"/>
              </w:rPr>
              <w:t>EXTENSÃO</w:t>
            </w:r>
          </w:p>
          <w:p>
            <w:pPr>
              <w:pStyle w:val="Normal"/>
              <w:ind w:left="113" w:right="113" w:hanging="0"/>
              <w:jc w:val="center"/>
              <w:rPr>
                <w:rFonts w:ascii="Arial" w:hAnsi="Arial" w:cs="Arial"/>
                <w:sz w:val="20"/>
                <w:szCs w:val="20"/>
              </w:rPr>
            </w:pPr>
            <w:r>
              <w:rPr>
                <w:rFonts w:cs="Arial" w:ascii="Arial" w:hAnsi="Arial"/>
                <w:sz w:val="20"/>
                <w:szCs w:val="20"/>
              </w:rPr>
            </w:r>
          </w:p>
          <w:p>
            <w:pPr>
              <w:pStyle w:val="Normal"/>
              <w:spacing w:before="0" w:after="200"/>
              <w:rPr>
                <w:rFonts w:ascii="Arial" w:hAnsi="Arial" w:cs="Arial"/>
                <w:sz w:val="20"/>
                <w:szCs w:val="20"/>
              </w:rPr>
            </w:pPr>
            <w:r>
              <w:rPr>
                <w:rFonts w:cs="Arial" w:ascii="Arial" w:hAnsi="Arial"/>
                <w:sz w:val="20"/>
                <w:szCs w:val="20"/>
              </w:rPr>
            </w:r>
          </w:p>
        </w:tc>
        <w:tc>
          <w:tcPr>
            <w:tcW w:w="1320" w:type="dxa"/>
            <w:vMerge w:val="restart"/>
            <w:tcBorders>
              <w:top w:val="double" w:sz="2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vAlign w:val="center"/>
          </w:tcPr>
          <w:p>
            <w:pPr>
              <w:pStyle w:val="Normal"/>
              <w:jc w:val="center"/>
              <w:rPr>
                <w:rFonts w:ascii="Arial" w:hAnsi="Arial" w:cs="Arial"/>
                <w:sz w:val="20"/>
                <w:szCs w:val="20"/>
              </w:rPr>
            </w:pPr>
            <w:r>
              <w:rPr>
                <w:rFonts w:cs="Arial" w:ascii="Arial" w:hAnsi="Arial"/>
                <w:sz w:val="20"/>
                <w:szCs w:val="20"/>
              </w:rPr>
            </w:r>
          </w:p>
          <w:p>
            <w:pPr>
              <w:pStyle w:val="Normal"/>
              <w:spacing w:before="0" w:after="200"/>
              <w:jc w:val="center"/>
              <w:rPr>
                <w:rFonts w:ascii="Arial" w:hAnsi="Arial" w:cs="Arial"/>
                <w:sz w:val="20"/>
                <w:szCs w:val="20"/>
              </w:rPr>
            </w:pPr>
            <w:r>
              <w:rPr>
                <w:rFonts w:cs="Arial" w:ascii="Arial" w:hAnsi="Arial"/>
                <w:sz w:val="20"/>
                <w:szCs w:val="20"/>
              </w:rPr>
              <w:t>100 horas</w:t>
            </w:r>
          </w:p>
        </w:tc>
        <w:tc>
          <w:tcPr>
            <w:tcW w:w="3479" w:type="dxa"/>
            <w:tcBorders>
              <w:top w:val="double" w:sz="2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Cursos de Extensão</w:t>
            </w:r>
          </w:p>
        </w:tc>
        <w:tc>
          <w:tcPr>
            <w:tcW w:w="2760" w:type="dxa"/>
            <w:tcBorders>
              <w:top w:val="double" w:sz="2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Participante</w:t>
            </w:r>
          </w:p>
        </w:tc>
        <w:tc>
          <w:tcPr>
            <w:tcW w:w="1679" w:type="dxa"/>
            <w:tcBorders>
              <w:top w:val="double" w:sz="2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8 horas</w:t>
            </w:r>
          </w:p>
        </w:tc>
        <w:tc>
          <w:tcPr>
            <w:tcW w:w="1559" w:type="dxa"/>
            <w:tcBorders>
              <w:top w:val="double" w:sz="2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2 horas</w:t>
            </w:r>
          </w:p>
        </w:tc>
        <w:tc>
          <w:tcPr>
            <w:tcW w:w="2820" w:type="dxa"/>
            <w:tcBorders>
              <w:top w:val="double" w:sz="24"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Certificado emitido pela PROEXC.</w:t>
            </w:r>
          </w:p>
        </w:tc>
      </w:tr>
      <w:tr>
        <w:trPr>
          <w:trHeight w:val="450"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A0A0A0" w:val="clear"/>
            <w:tcMar>
              <w:left w:w="23" w:type="dxa"/>
            </w:tcMar>
            <w:textDirection w:val="btLr"/>
            <w:vAlign w:val="center"/>
          </w:tcPr>
          <w:p>
            <w:pPr>
              <w:pStyle w:val="Normal"/>
              <w:spacing w:before="0" w:after="200"/>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restart"/>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 xml:space="preserve">Projeto de extensão </w:t>
            </w:r>
          </w:p>
        </w:tc>
        <w:tc>
          <w:tcPr>
            <w:tcW w:w="2760"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Participante Bolsista</w:t>
            </w:r>
          </w:p>
        </w:tc>
        <w:tc>
          <w:tcPr>
            <w:tcW w:w="1679"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4 horas</w:t>
            </w:r>
          </w:p>
        </w:tc>
        <w:tc>
          <w:tcPr>
            <w:tcW w:w="1559"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hora</w:t>
            </w:r>
          </w:p>
        </w:tc>
        <w:tc>
          <w:tcPr>
            <w:tcW w:w="2820" w:type="dxa"/>
            <w:vMerge w:val="restart"/>
            <w:tcBorders>
              <w:top w:val="single" w:sz="12" w:space="0" w:color="00000A"/>
              <w:left w:val="single" w:sz="12" w:space="0" w:color="00000A"/>
              <w:bottom w:val="single" w:sz="4" w:space="0" w:color="00000A"/>
              <w:right w:val="double" w:sz="24" w:space="0" w:color="00000A"/>
              <w:insideH w:val="single" w:sz="4" w:space="0" w:color="00000A"/>
              <w:insideV w:val="double" w:sz="24"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 xml:space="preserve">Declaração da PROEXC ou do responsável pelo projeto </w:t>
            </w:r>
          </w:p>
        </w:tc>
      </w:tr>
      <w:tr>
        <w:trPr>
          <w:trHeight w:val="381"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A0A0A0" w:val="clear"/>
            <w:tcMar>
              <w:left w:w="23" w:type="dxa"/>
            </w:tcMar>
            <w:vAlign w:val="center"/>
          </w:tcPr>
          <w:p>
            <w:pPr>
              <w:pStyle w:val="Normal"/>
              <w:spacing w:before="0" w:after="200"/>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2760" w:type="dxa"/>
            <w:tcBorders>
              <w:top w:val="dotted"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Participante Voluntário</w:t>
            </w:r>
          </w:p>
        </w:tc>
        <w:tc>
          <w:tcPr>
            <w:tcW w:w="1679"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4 horas</w:t>
            </w:r>
          </w:p>
        </w:tc>
        <w:tc>
          <w:tcPr>
            <w:tcW w:w="1559" w:type="dxa"/>
            <w:tcBorders>
              <w:top w:val="dotted"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2 horas</w:t>
            </w:r>
          </w:p>
        </w:tc>
        <w:tc>
          <w:tcPr>
            <w:tcW w:w="2820" w:type="dxa"/>
            <w:vMerge w:val="continue"/>
            <w:tcBorders>
              <w:top w:val="single" w:sz="4"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r>
      <w:tr>
        <w:trPr>
          <w:trHeight w:val="295"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A0A0A0" w:val="clear"/>
            <w:tcMar>
              <w:left w:w="23" w:type="dxa"/>
            </w:tcMar>
            <w:vAlign w:val="center"/>
          </w:tcPr>
          <w:p>
            <w:pPr>
              <w:pStyle w:val="Normal"/>
              <w:spacing w:before="0" w:after="200"/>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restart"/>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eastAsia="Calibri" w:cs="Arial" w:ascii="Arial" w:hAnsi="Arial"/>
                <w:sz w:val="20"/>
                <w:szCs w:val="20"/>
              </w:rPr>
              <w:t>Eventos, mostras, exposições assistidas, com caráter cultural ou social</w:t>
            </w:r>
          </w:p>
        </w:tc>
        <w:tc>
          <w:tcPr>
            <w:tcW w:w="2760"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A0A0A0" w:val="clear"/>
            <w:tcMar>
              <w:left w:w="98" w:type="dxa"/>
            </w:tcMar>
            <w:vAlign w:val="center"/>
          </w:tcPr>
          <w:p>
            <w:pPr>
              <w:pStyle w:val="Normal"/>
              <w:jc w:val="center"/>
              <w:rPr>
                <w:rFonts w:ascii="Arial" w:hAnsi="Arial" w:cs="Arial"/>
                <w:sz w:val="20"/>
                <w:szCs w:val="20"/>
              </w:rPr>
            </w:pPr>
            <w:r>
              <w:rPr>
                <w:rFonts w:cs="Arial" w:ascii="Arial" w:hAnsi="Arial"/>
                <w:sz w:val="20"/>
                <w:szCs w:val="20"/>
              </w:rPr>
              <w:t>Colaborador</w:t>
            </w:r>
          </w:p>
          <w:p>
            <w:pPr>
              <w:pStyle w:val="Normal"/>
              <w:spacing w:before="0" w:after="200"/>
              <w:jc w:val="center"/>
              <w:rPr>
                <w:rFonts w:ascii="Arial" w:hAnsi="Arial" w:cs="Arial"/>
                <w:sz w:val="20"/>
                <w:szCs w:val="20"/>
              </w:rPr>
            </w:pPr>
            <w:r>
              <w:rPr>
                <w:rFonts w:cs="Arial" w:ascii="Arial" w:hAnsi="Arial"/>
                <w:sz w:val="20"/>
                <w:szCs w:val="20"/>
              </w:rPr>
            </w:r>
          </w:p>
        </w:tc>
        <w:tc>
          <w:tcPr>
            <w:tcW w:w="1679"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Cada dia</w:t>
            </w:r>
          </w:p>
        </w:tc>
        <w:tc>
          <w:tcPr>
            <w:tcW w:w="1559"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hora</w:t>
            </w:r>
          </w:p>
        </w:tc>
        <w:tc>
          <w:tcPr>
            <w:tcW w:w="2820" w:type="dxa"/>
            <w:vMerge w:val="restart"/>
            <w:tcBorders>
              <w:top w:val="single" w:sz="12" w:space="0" w:color="00000A"/>
              <w:left w:val="single" w:sz="12" w:space="0" w:color="00000A"/>
              <w:bottom w:val="single" w:sz="4" w:space="0" w:color="00000A"/>
              <w:right w:val="double" w:sz="24" w:space="0" w:color="00000A"/>
              <w:insideH w:val="single" w:sz="4" w:space="0" w:color="00000A"/>
              <w:insideV w:val="double" w:sz="24"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Declaração ou Certificado de Colaboração ou Participação</w:t>
            </w:r>
          </w:p>
        </w:tc>
      </w:tr>
      <w:tr>
        <w:trPr>
          <w:trHeight w:val="210"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A0A0A0"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continue"/>
            <w:tcBorders>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eastAsia="Calibri" w:cs="Arial"/>
                <w:sz w:val="20"/>
                <w:szCs w:val="20"/>
              </w:rPr>
            </w:pPr>
            <w:r>
              <w:rPr>
                <w:rFonts w:eastAsia="Calibri" w:cs="Arial" w:ascii="Arial" w:hAnsi="Arial"/>
                <w:sz w:val="20"/>
                <w:szCs w:val="20"/>
              </w:rPr>
            </w:r>
          </w:p>
        </w:tc>
        <w:tc>
          <w:tcPr>
            <w:tcW w:w="2760" w:type="dxa"/>
            <w:tcBorders>
              <w:top w:val="dotted"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Participante COM apresentação de trabalho</w:t>
            </w:r>
          </w:p>
        </w:tc>
        <w:tc>
          <w:tcPr>
            <w:tcW w:w="1679" w:type="dxa"/>
            <w:tcBorders>
              <w:top w:val="dotted"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4 horas</w:t>
            </w:r>
          </w:p>
        </w:tc>
        <w:tc>
          <w:tcPr>
            <w:tcW w:w="1559" w:type="dxa"/>
            <w:tcBorders>
              <w:top w:val="dotted"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2 horas</w:t>
            </w:r>
          </w:p>
        </w:tc>
        <w:tc>
          <w:tcPr>
            <w:tcW w:w="2820" w:type="dxa"/>
            <w:vMerge w:val="continue"/>
            <w:tcBorders>
              <w:top w:val="single" w:sz="4" w:space="0" w:color="00000A"/>
              <w:left w:val="single" w:sz="12" w:space="0" w:color="00000A"/>
              <w:bottom w:val="single" w:sz="4" w:space="0" w:color="00000A"/>
              <w:right w:val="double" w:sz="24" w:space="0" w:color="00000A"/>
              <w:insideH w:val="single" w:sz="4" w:space="0" w:color="00000A"/>
              <w:insideV w:val="double" w:sz="24"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r>
      <w:tr>
        <w:trPr>
          <w:trHeight w:val="225"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A0A0A0"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eastAsia="Calibri" w:cs="Arial"/>
                <w:sz w:val="20"/>
                <w:szCs w:val="20"/>
              </w:rPr>
            </w:pPr>
            <w:r>
              <w:rPr>
                <w:rFonts w:eastAsia="Calibri" w:cs="Arial" w:ascii="Arial" w:hAnsi="Arial"/>
                <w:sz w:val="20"/>
                <w:szCs w:val="20"/>
              </w:rPr>
            </w:r>
          </w:p>
        </w:tc>
        <w:tc>
          <w:tcPr>
            <w:tcW w:w="2760" w:type="dxa"/>
            <w:tcBorders>
              <w:top w:val="dotted"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Participante SEM apresentação de trabalho</w:t>
            </w:r>
          </w:p>
        </w:tc>
        <w:tc>
          <w:tcPr>
            <w:tcW w:w="1679" w:type="dxa"/>
            <w:tcBorders>
              <w:top w:val="dotted"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8 horas</w:t>
            </w:r>
          </w:p>
        </w:tc>
        <w:tc>
          <w:tcPr>
            <w:tcW w:w="1559" w:type="dxa"/>
            <w:tcBorders>
              <w:top w:val="dotted"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2 horas</w:t>
            </w:r>
          </w:p>
        </w:tc>
        <w:tc>
          <w:tcPr>
            <w:tcW w:w="2820" w:type="dxa"/>
            <w:vMerge w:val="continue"/>
            <w:tcBorders>
              <w:top w:val="single" w:sz="4" w:space="0" w:color="00000A"/>
              <w:left w:val="single" w:sz="12" w:space="0" w:color="00000A"/>
              <w:bottom w:val="single" w:sz="4" w:space="0" w:color="00000A"/>
              <w:right w:val="double" w:sz="24" w:space="0" w:color="00000A"/>
              <w:insideH w:val="single" w:sz="4" w:space="0" w:color="00000A"/>
              <w:insideV w:val="double" w:sz="24"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r>
      <w:tr>
        <w:trPr>
          <w:trHeight w:val="450"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A0A0A0"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continue"/>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eastAsia="Calibri" w:cs="Arial"/>
                <w:sz w:val="20"/>
                <w:szCs w:val="20"/>
              </w:rPr>
            </w:pPr>
            <w:r>
              <w:rPr>
                <w:rFonts w:eastAsia="Calibri" w:cs="Arial" w:ascii="Arial" w:hAnsi="Arial"/>
                <w:sz w:val="20"/>
                <w:szCs w:val="20"/>
              </w:rPr>
            </w:r>
          </w:p>
        </w:tc>
        <w:tc>
          <w:tcPr>
            <w:tcW w:w="2760"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Participante Sem carga horária especificada</w:t>
            </w:r>
          </w:p>
        </w:tc>
        <w:tc>
          <w:tcPr>
            <w:tcW w:w="1679"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cada dia</w:t>
            </w:r>
          </w:p>
        </w:tc>
        <w:tc>
          <w:tcPr>
            <w:tcW w:w="1559"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hora</w:t>
            </w:r>
          </w:p>
        </w:tc>
        <w:tc>
          <w:tcPr>
            <w:tcW w:w="2820" w:type="dxa"/>
            <w:vMerge w:val="continue"/>
            <w:tcBorders>
              <w:top w:val="single" w:sz="4"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r>
      <w:tr>
        <w:trPr>
          <w:trHeight w:val="378"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A0A0A0"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restart"/>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eastAsia="Calibri" w:cs="Arial" w:ascii="Arial" w:hAnsi="Arial"/>
                <w:sz w:val="20"/>
                <w:szCs w:val="20"/>
              </w:rPr>
              <w:t>Artigos publicados em revistas indexadas, relacionados à extensão</w:t>
            </w:r>
          </w:p>
        </w:tc>
        <w:tc>
          <w:tcPr>
            <w:tcW w:w="2760"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Autor</w:t>
            </w:r>
          </w:p>
        </w:tc>
        <w:tc>
          <w:tcPr>
            <w:tcW w:w="1679"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publicação</w:t>
            </w:r>
          </w:p>
        </w:tc>
        <w:tc>
          <w:tcPr>
            <w:tcW w:w="1559"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20 horas</w:t>
            </w:r>
          </w:p>
        </w:tc>
        <w:tc>
          <w:tcPr>
            <w:tcW w:w="2820" w:type="dxa"/>
            <w:vMerge w:val="restart"/>
            <w:tcBorders>
              <w:top w:val="single" w:sz="12" w:space="0" w:color="00000A"/>
              <w:left w:val="single" w:sz="12" w:space="0" w:color="00000A"/>
              <w:bottom w:val="single" w:sz="4" w:space="0" w:color="00000A"/>
              <w:right w:val="double" w:sz="24" w:space="0" w:color="00000A"/>
              <w:insideH w:val="single" w:sz="4" w:space="0" w:color="00000A"/>
              <w:insideV w:val="double" w:sz="24"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Certificado de Publicação ou cópia do editorial e da página que consta o nome dos autores</w:t>
            </w:r>
          </w:p>
        </w:tc>
      </w:tr>
      <w:tr>
        <w:trPr>
          <w:trHeight w:val="392"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A0A0A0"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continue"/>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eastAsia="Calibri" w:cs="Arial"/>
                <w:sz w:val="20"/>
                <w:szCs w:val="20"/>
              </w:rPr>
            </w:pPr>
            <w:r>
              <w:rPr>
                <w:rFonts w:eastAsia="Calibri" w:cs="Arial" w:ascii="Arial" w:hAnsi="Arial"/>
                <w:sz w:val="20"/>
                <w:szCs w:val="20"/>
              </w:rPr>
            </w:r>
          </w:p>
        </w:tc>
        <w:tc>
          <w:tcPr>
            <w:tcW w:w="2760"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Co-autor</w:t>
            </w:r>
          </w:p>
        </w:tc>
        <w:tc>
          <w:tcPr>
            <w:tcW w:w="1679"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publicação</w:t>
            </w:r>
          </w:p>
        </w:tc>
        <w:tc>
          <w:tcPr>
            <w:tcW w:w="1559"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15 horas</w:t>
            </w:r>
          </w:p>
        </w:tc>
        <w:tc>
          <w:tcPr>
            <w:tcW w:w="2820" w:type="dxa"/>
            <w:vMerge w:val="continue"/>
            <w:tcBorders>
              <w:top w:val="single" w:sz="4"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r>
      <w:tr>
        <w:trPr>
          <w:trHeight w:val="518"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A0A0A0"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restart"/>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eastAsia="Calibri" w:cs="Arial"/>
                <w:sz w:val="20"/>
                <w:szCs w:val="20"/>
              </w:rPr>
            </w:pPr>
            <w:r>
              <w:rPr>
                <w:rFonts w:eastAsia="Calibri" w:cs="Arial" w:ascii="Arial" w:hAnsi="Arial"/>
                <w:sz w:val="20"/>
                <w:szCs w:val="20"/>
              </w:rPr>
              <w:t>Participação em projetos sociais</w:t>
            </w:r>
          </w:p>
        </w:tc>
        <w:tc>
          <w:tcPr>
            <w:tcW w:w="2760"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Participante Bolsista</w:t>
            </w:r>
          </w:p>
        </w:tc>
        <w:tc>
          <w:tcPr>
            <w:tcW w:w="1679"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Cada 1 mês</w:t>
            </w:r>
          </w:p>
        </w:tc>
        <w:tc>
          <w:tcPr>
            <w:tcW w:w="1559"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4 horas</w:t>
            </w:r>
          </w:p>
        </w:tc>
        <w:tc>
          <w:tcPr>
            <w:tcW w:w="2820" w:type="dxa"/>
            <w:vMerge w:val="restart"/>
            <w:tcBorders>
              <w:top w:val="single" w:sz="12" w:space="0" w:color="00000A"/>
              <w:left w:val="single" w:sz="12" w:space="0" w:color="00000A"/>
              <w:bottom w:val="single" w:sz="4" w:space="0" w:color="00000A"/>
              <w:right w:val="double" w:sz="24" w:space="0" w:color="00000A"/>
              <w:insideH w:val="single" w:sz="4" w:space="0" w:color="00000A"/>
              <w:insideV w:val="double" w:sz="24"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Certificado/ Declaração indicando o nível de participação e com carga horária</w:t>
            </w:r>
          </w:p>
        </w:tc>
      </w:tr>
      <w:tr>
        <w:trPr>
          <w:trHeight w:val="523"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FFFF00"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00"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00" w:val="clear"/>
            <w:tcMar>
              <w:left w:w="98" w:type="dxa"/>
            </w:tcMar>
            <w:vAlign w:val="center"/>
          </w:tcPr>
          <w:p>
            <w:pPr>
              <w:pStyle w:val="Normal"/>
              <w:spacing w:before="0" w:after="200"/>
              <w:jc w:val="center"/>
              <w:rPr>
                <w:rFonts w:ascii="Arial" w:hAnsi="Arial" w:eastAsia="Calibri" w:cs="Arial"/>
                <w:sz w:val="20"/>
                <w:szCs w:val="20"/>
              </w:rPr>
            </w:pPr>
            <w:r>
              <w:rPr>
                <w:rFonts w:eastAsia="Calibri" w:cs="Arial" w:ascii="Arial" w:hAnsi="Arial"/>
                <w:sz w:val="20"/>
                <w:szCs w:val="20"/>
              </w:rPr>
            </w:r>
          </w:p>
        </w:tc>
        <w:tc>
          <w:tcPr>
            <w:tcW w:w="2760" w:type="dxa"/>
            <w:tcBorders>
              <w:top w:val="dotted"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Participante Voluntário</w:t>
            </w:r>
          </w:p>
        </w:tc>
        <w:tc>
          <w:tcPr>
            <w:tcW w:w="1679" w:type="dxa"/>
            <w:tcBorders>
              <w:top w:val="dotted"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Cada 1 mês</w:t>
            </w:r>
          </w:p>
        </w:tc>
        <w:tc>
          <w:tcPr>
            <w:tcW w:w="1559" w:type="dxa"/>
            <w:tcBorders>
              <w:top w:val="dotted"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0A0A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4 horas</w:t>
            </w:r>
          </w:p>
        </w:tc>
        <w:tc>
          <w:tcPr>
            <w:tcW w:w="2820" w:type="dxa"/>
            <w:vMerge w:val="continue"/>
            <w:tcBorders>
              <w:top w:val="single" w:sz="4" w:space="0" w:color="00000A"/>
              <w:left w:val="single" w:sz="12" w:space="0" w:color="00000A"/>
              <w:bottom w:val="single" w:sz="4" w:space="0" w:color="00000A"/>
              <w:right w:val="double" w:sz="24" w:space="0" w:color="00000A"/>
              <w:insideH w:val="single" w:sz="4" w:space="0" w:color="00000A"/>
              <w:insideV w:val="double" w:sz="24" w:space="0" w:color="00000A"/>
            </w:tcBorders>
            <w:shd w:color="auto" w:fill="FFFF0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r>
      <w:tr>
        <w:trPr>
          <w:trHeight w:val="429" w:hRule="atLeast"/>
        </w:trPr>
        <w:tc>
          <w:tcPr>
            <w:tcW w:w="1124" w:type="dxa"/>
            <w:vMerge w:val="restart"/>
            <w:tcBorders>
              <w:top w:val="double" w:sz="2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CCCCCC" w:val="clear"/>
            <w:tcMar>
              <w:left w:w="23" w:type="dxa"/>
            </w:tcMar>
            <w:textDirection w:val="btLr"/>
            <w:vAlign w:val="center"/>
          </w:tcPr>
          <w:p>
            <w:pPr>
              <w:pStyle w:val="Normal"/>
              <w:ind w:left="113" w:right="113" w:hanging="0"/>
              <w:jc w:val="center"/>
              <w:rPr>
                <w:rFonts w:ascii="Arial" w:hAnsi="Arial" w:cs="Arial"/>
                <w:sz w:val="20"/>
                <w:szCs w:val="20"/>
              </w:rPr>
            </w:pPr>
            <w:r>
              <w:rPr>
                <w:rFonts w:cs="Arial" w:ascii="Arial" w:hAnsi="Arial"/>
                <w:sz w:val="20"/>
                <w:szCs w:val="20"/>
              </w:rPr>
            </w:r>
          </w:p>
          <w:p>
            <w:pPr>
              <w:pStyle w:val="Normal"/>
              <w:ind w:left="113" w:right="113" w:hanging="0"/>
              <w:jc w:val="center"/>
              <w:rPr>
                <w:rFonts w:ascii="Arial" w:hAnsi="Arial" w:cs="Arial"/>
                <w:sz w:val="20"/>
                <w:szCs w:val="20"/>
              </w:rPr>
            </w:pPr>
            <w:r>
              <w:rPr>
                <w:rFonts w:cs="Arial" w:ascii="Arial" w:hAnsi="Arial"/>
                <w:sz w:val="20"/>
                <w:szCs w:val="20"/>
              </w:rPr>
              <w:t>GRUPO III</w:t>
            </w:r>
          </w:p>
          <w:p>
            <w:pPr>
              <w:pStyle w:val="Normal"/>
              <w:spacing w:before="0" w:after="200"/>
              <w:ind w:left="113" w:right="113" w:hanging="0"/>
              <w:jc w:val="center"/>
              <w:rPr>
                <w:rFonts w:ascii="Arial" w:hAnsi="Arial" w:cs="Arial"/>
                <w:sz w:val="20"/>
                <w:szCs w:val="20"/>
              </w:rPr>
            </w:pPr>
            <w:r>
              <w:rPr>
                <w:rFonts w:cs="Arial" w:ascii="Arial" w:hAnsi="Arial"/>
                <w:sz w:val="20"/>
                <w:szCs w:val="20"/>
              </w:rPr>
              <w:t>ENSINO</w:t>
            </w:r>
          </w:p>
        </w:tc>
        <w:tc>
          <w:tcPr>
            <w:tcW w:w="1320" w:type="dxa"/>
            <w:vMerge w:val="restart"/>
            <w:tcBorders>
              <w:top w:val="double" w:sz="2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100 horas</w:t>
            </w:r>
          </w:p>
        </w:tc>
        <w:tc>
          <w:tcPr>
            <w:tcW w:w="3479" w:type="dxa"/>
            <w:vMerge w:val="restart"/>
            <w:tcBorders>
              <w:top w:val="double" w:sz="2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Iniciação científica, Estágio Não Obrigatório, Bolsa Atividade, PIBID, PRODOCÊNCIA e demais Projetos Institucionais</w:t>
            </w:r>
          </w:p>
        </w:tc>
        <w:tc>
          <w:tcPr>
            <w:tcW w:w="2760" w:type="dxa"/>
            <w:tcBorders>
              <w:top w:val="double" w:sz="24"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Pesquisador Bolsista</w:t>
            </w:r>
          </w:p>
        </w:tc>
        <w:tc>
          <w:tcPr>
            <w:tcW w:w="1679" w:type="dxa"/>
            <w:tcBorders>
              <w:top w:val="double" w:sz="24"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4 horas</w:t>
            </w:r>
          </w:p>
        </w:tc>
        <w:tc>
          <w:tcPr>
            <w:tcW w:w="1559" w:type="dxa"/>
            <w:tcBorders>
              <w:top w:val="double" w:sz="24"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hora</w:t>
            </w:r>
          </w:p>
        </w:tc>
        <w:tc>
          <w:tcPr>
            <w:tcW w:w="2820" w:type="dxa"/>
            <w:vMerge w:val="restart"/>
            <w:tcBorders>
              <w:top w:val="double" w:sz="24" w:space="0" w:color="00000A"/>
              <w:left w:val="single" w:sz="12" w:space="0" w:color="00000A"/>
              <w:bottom w:val="single" w:sz="4" w:space="0" w:color="00000A"/>
              <w:right w:val="double" w:sz="24" w:space="0" w:color="00000A"/>
              <w:insideH w:val="single" w:sz="4" w:space="0" w:color="00000A"/>
              <w:insideV w:val="double" w:sz="24"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Certificado de Participação no Projeto de Iniciação Científica</w:t>
            </w:r>
          </w:p>
        </w:tc>
      </w:tr>
      <w:tr>
        <w:trPr>
          <w:trHeight w:val="507"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CCCCCC" w:val="clear"/>
            <w:tcMar>
              <w:left w:w="23" w:type="dxa"/>
            </w:tcMar>
            <w:textDirection w:val="btLr"/>
            <w:vAlign w:val="center"/>
          </w:tcPr>
          <w:p>
            <w:pPr>
              <w:pStyle w:val="Normal"/>
              <w:spacing w:before="0" w:after="200"/>
              <w:ind w:left="113" w:right="113" w:hanging="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continue"/>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2760"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Pesquisador Voluntário</w:t>
            </w:r>
          </w:p>
        </w:tc>
        <w:tc>
          <w:tcPr>
            <w:tcW w:w="1679"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4 horas</w:t>
            </w:r>
          </w:p>
        </w:tc>
        <w:tc>
          <w:tcPr>
            <w:tcW w:w="1559"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horas</w:t>
            </w:r>
          </w:p>
        </w:tc>
        <w:tc>
          <w:tcPr>
            <w:tcW w:w="2820" w:type="dxa"/>
            <w:vMerge w:val="continue"/>
            <w:tcBorders>
              <w:top w:val="single" w:sz="4"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r>
      <w:tr>
        <w:trPr>
          <w:trHeight w:val="406"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CCCCCC"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restart"/>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Projeto de Ensino</w:t>
            </w:r>
          </w:p>
        </w:tc>
        <w:tc>
          <w:tcPr>
            <w:tcW w:w="2760"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Participante Bolsista</w:t>
            </w:r>
          </w:p>
        </w:tc>
        <w:tc>
          <w:tcPr>
            <w:tcW w:w="1679"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Cada 1 mês</w:t>
            </w:r>
          </w:p>
        </w:tc>
        <w:tc>
          <w:tcPr>
            <w:tcW w:w="1559"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2 horas</w:t>
            </w:r>
          </w:p>
        </w:tc>
        <w:tc>
          <w:tcPr>
            <w:tcW w:w="2820" w:type="dxa"/>
            <w:vMerge w:val="restart"/>
            <w:tcBorders>
              <w:top w:val="single" w:sz="12" w:space="0" w:color="00000A"/>
              <w:left w:val="single" w:sz="12" w:space="0" w:color="00000A"/>
              <w:bottom w:val="single" w:sz="4" w:space="0" w:color="00000A"/>
              <w:right w:val="double" w:sz="24" w:space="0" w:color="00000A"/>
              <w:insideH w:val="single" w:sz="4" w:space="0" w:color="00000A"/>
              <w:insideV w:val="double" w:sz="24"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Certificado emitido pelo professor orientador ou coordenador do projeto</w:t>
            </w:r>
          </w:p>
        </w:tc>
      </w:tr>
      <w:tr>
        <w:trPr>
          <w:trHeight w:val="345"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CCCCCC"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continue"/>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2760"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Participante Voluntário</w:t>
            </w:r>
          </w:p>
        </w:tc>
        <w:tc>
          <w:tcPr>
            <w:tcW w:w="1679"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Cada 1 mês</w:t>
            </w:r>
          </w:p>
        </w:tc>
        <w:tc>
          <w:tcPr>
            <w:tcW w:w="1559"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2 horas</w:t>
            </w:r>
          </w:p>
        </w:tc>
        <w:tc>
          <w:tcPr>
            <w:tcW w:w="2820" w:type="dxa"/>
            <w:vMerge w:val="continue"/>
            <w:tcBorders>
              <w:top w:val="single" w:sz="4"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r>
      <w:tr>
        <w:trPr>
          <w:trHeight w:val="595"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CCCCCC"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34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 xml:space="preserve">Curso e/ou disciplina extracurricular realizado em Instituição de Ensino Superior </w:t>
            </w:r>
          </w:p>
        </w:tc>
        <w:tc>
          <w:tcPr>
            <w:tcW w:w="2760"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 xml:space="preserve">Participante </w:t>
            </w:r>
          </w:p>
        </w:tc>
        <w:tc>
          <w:tcPr>
            <w:tcW w:w="16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8 horas</w:t>
            </w:r>
          </w:p>
        </w:tc>
        <w:tc>
          <w:tcPr>
            <w:tcW w:w="155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2 horas</w:t>
            </w:r>
          </w:p>
        </w:tc>
        <w:tc>
          <w:tcPr>
            <w:tcW w:w="2820" w:type="dxa"/>
            <w:tcBorders>
              <w:top w:val="single" w:sz="12"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Certificado do curso com carga horária e ementa</w:t>
            </w:r>
          </w:p>
        </w:tc>
      </w:tr>
      <w:tr>
        <w:trPr>
          <w:trHeight w:val="595"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CCCCCC" w:val="clear"/>
            <w:tcMar>
              <w:left w:w="23" w:type="dxa"/>
            </w:tcMa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tcPr>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pacing w:before="0" w:after="200"/>
              <w:jc w:val="center"/>
              <w:rPr>
                <w:rFonts w:ascii="Arial" w:hAnsi="Arial" w:cs="Arial"/>
                <w:sz w:val="20"/>
                <w:szCs w:val="20"/>
              </w:rPr>
            </w:pPr>
            <w:r>
              <w:rPr>
                <w:rFonts w:cs="Arial" w:ascii="Arial" w:hAnsi="Arial"/>
              </w:rPr>
              <w:t>Produção de Cartilha Educativa</w:t>
            </w:r>
          </w:p>
        </w:tc>
        <w:tc>
          <w:tcPr>
            <w:tcW w:w="2760"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tcPr>
          <w:p>
            <w:pPr>
              <w:pStyle w:val="Normal"/>
              <w:spacing w:before="0" w:after="200"/>
              <w:jc w:val="center"/>
              <w:rPr>
                <w:rFonts w:ascii="Arial" w:hAnsi="Arial" w:cs="Arial"/>
                <w:sz w:val="20"/>
                <w:szCs w:val="20"/>
              </w:rPr>
            </w:pPr>
            <w:r>
              <w:rPr>
                <w:rFonts w:cs="Arial" w:ascii="Arial" w:hAnsi="Arial"/>
              </w:rPr>
              <w:t>Autor</w:t>
            </w:r>
          </w:p>
        </w:tc>
        <w:tc>
          <w:tcPr>
            <w:tcW w:w="16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publicação</w:t>
            </w:r>
          </w:p>
        </w:tc>
        <w:tc>
          <w:tcPr>
            <w:tcW w:w="155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20 horas</w:t>
            </w:r>
          </w:p>
        </w:tc>
        <w:tc>
          <w:tcPr>
            <w:tcW w:w="2820" w:type="dxa"/>
            <w:tcBorders>
              <w:top w:val="single" w:sz="12"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CCCCCC"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t xml:space="preserve">Certificado de Publicação ou cópia do editorial e da página que consta o nome dos autores e disponibilização para acervo da FIH </w:t>
            </w:r>
          </w:p>
        </w:tc>
      </w:tr>
      <w:tr>
        <w:trPr>
          <w:trHeight w:val="459"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CCCCCC"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restart"/>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Visitas técnicas (extra carga horária regular) a centros educacionais / espaço de educação não formal (Museus, Centros de Ciência)</w:t>
            </w:r>
          </w:p>
        </w:tc>
        <w:tc>
          <w:tcPr>
            <w:tcW w:w="2760"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Participante</w:t>
            </w:r>
          </w:p>
        </w:tc>
        <w:tc>
          <w:tcPr>
            <w:tcW w:w="1679"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4 horas</w:t>
            </w:r>
          </w:p>
        </w:tc>
        <w:tc>
          <w:tcPr>
            <w:tcW w:w="1559"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hora</w:t>
            </w:r>
          </w:p>
        </w:tc>
        <w:tc>
          <w:tcPr>
            <w:tcW w:w="2820" w:type="dxa"/>
            <w:vMerge w:val="restart"/>
            <w:tcBorders>
              <w:top w:val="single" w:sz="12" w:space="0" w:color="00000A"/>
              <w:left w:val="single" w:sz="12" w:space="0" w:color="00000A"/>
              <w:bottom w:val="single" w:sz="4" w:space="0" w:color="00000A"/>
              <w:right w:val="double" w:sz="24" w:space="0" w:color="00000A"/>
              <w:insideH w:val="single" w:sz="4" w:space="0" w:color="00000A"/>
              <w:insideV w:val="double" w:sz="24" w:space="0" w:color="00000A"/>
            </w:tcBorders>
            <w:shd w:color="auto" w:fill="CCCCCC" w:val="clear"/>
            <w:tcMar>
              <w:left w:w="98" w:type="dxa"/>
            </w:tcMar>
            <w:vAlign w:val="center"/>
          </w:tcPr>
          <w:p>
            <w:pPr>
              <w:pStyle w:val="Normal"/>
              <w:jc w:val="center"/>
              <w:rPr>
                <w:rFonts w:ascii="Arial" w:hAnsi="Arial" w:cs="Arial"/>
                <w:sz w:val="20"/>
                <w:szCs w:val="20"/>
              </w:rPr>
            </w:pPr>
            <w:r>
              <w:rPr>
                <w:rFonts w:cs="Arial" w:ascii="Arial" w:hAnsi="Arial"/>
                <w:sz w:val="20"/>
                <w:szCs w:val="20"/>
              </w:rPr>
              <w:t>Declaração do docente responsável pela visita Técnica</w:t>
            </w:r>
          </w:p>
          <w:p>
            <w:pPr>
              <w:pStyle w:val="Normal"/>
              <w:spacing w:before="0" w:after="200"/>
              <w:jc w:val="center"/>
              <w:rPr>
                <w:rFonts w:ascii="Arial" w:hAnsi="Arial" w:cs="Arial"/>
                <w:sz w:val="20"/>
                <w:szCs w:val="20"/>
              </w:rPr>
            </w:pPr>
            <w:r>
              <w:rPr>
                <w:rFonts w:cs="Arial" w:ascii="Arial" w:hAnsi="Arial"/>
                <w:sz w:val="20"/>
                <w:szCs w:val="20"/>
              </w:rPr>
            </w:r>
          </w:p>
        </w:tc>
      </w:tr>
      <w:tr>
        <w:trPr>
          <w:trHeight w:val="360"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CCCCCC"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continue"/>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2760"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Participante em carga horária especificada</w:t>
            </w:r>
          </w:p>
        </w:tc>
        <w:tc>
          <w:tcPr>
            <w:tcW w:w="1679"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visita</w:t>
            </w:r>
          </w:p>
        </w:tc>
        <w:tc>
          <w:tcPr>
            <w:tcW w:w="1559"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hora</w:t>
            </w:r>
          </w:p>
        </w:tc>
        <w:tc>
          <w:tcPr>
            <w:tcW w:w="2820" w:type="dxa"/>
            <w:vMerge w:val="continue"/>
            <w:tcBorders>
              <w:top w:val="single" w:sz="4"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r>
      <w:tr>
        <w:trPr>
          <w:trHeight w:val="615"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CCCCCC"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34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 xml:space="preserve">Participação em grupos de estudos temáticos sob orientação docente </w:t>
            </w:r>
          </w:p>
        </w:tc>
        <w:tc>
          <w:tcPr>
            <w:tcW w:w="2760"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Participante</w:t>
            </w:r>
          </w:p>
        </w:tc>
        <w:tc>
          <w:tcPr>
            <w:tcW w:w="16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4 horas</w:t>
            </w:r>
          </w:p>
        </w:tc>
        <w:tc>
          <w:tcPr>
            <w:tcW w:w="155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hora</w:t>
            </w:r>
          </w:p>
        </w:tc>
        <w:tc>
          <w:tcPr>
            <w:tcW w:w="2820" w:type="dxa"/>
            <w:tcBorders>
              <w:top w:val="single" w:sz="12"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 xml:space="preserve">Declaração do docente responsável pelo grupo de estudo </w:t>
            </w:r>
          </w:p>
        </w:tc>
      </w:tr>
      <w:tr>
        <w:trPr>
          <w:trHeight w:val="469"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CCCCCC"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34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color w:val="000000"/>
                <w:sz w:val="20"/>
                <w:szCs w:val="20"/>
              </w:rPr>
              <w:t xml:space="preserve">Mini-cursos sobre temáticas correlatas ao Curso </w:t>
            </w:r>
          </w:p>
        </w:tc>
        <w:tc>
          <w:tcPr>
            <w:tcW w:w="2760"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 xml:space="preserve">Participante </w:t>
            </w:r>
          </w:p>
        </w:tc>
        <w:tc>
          <w:tcPr>
            <w:tcW w:w="16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8 horas</w:t>
            </w:r>
          </w:p>
        </w:tc>
        <w:tc>
          <w:tcPr>
            <w:tcW w:w="155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2 horas</w:t>
            </w:r>
          </w:p>
        </w:tc>
        <w:tc>
          <w:tcPr>
            <w:tcW w:w="2820" w:type="dxa"/>
            <w:tcBorders>
              <w:top w:val="single" w:sz="12"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Certificado especificando participação e carga horária</w:t>
            </w:r>
          </w:p>
        </w:tc>
      </w:tr>
      <w:tr>
        <w:trPr>
          <w:trHeight w:val="330"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CCCCCC"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restart"/>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color w:val="000000"/>
                <w:sz w:val="20"/>
                <w:szCs w:val="20"/>
              </w:rPr>
            </w:pPr>
            <w:r>
              <w:rPr>
                <w:rFonts w:cs="Arial" w:ascii="Arial" w:hAnsi="Arial"/>
                <w:color w:val="000000"/>
                <w:sz w:val="20"/>
                <w:szCs w:val="20"/>
              </w:rPr>
              <w:t>Programas de intercâmbio institucional, nacional e/ou internacional</w:t>
            </w:r>
          </w:p>
        </w:tc>
        <w:tc>
          <w:tcPr>
            <w:tcW w:w="2760"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Participante Bolsista</w:t>
            </w:r>
          </w:p>
        </w:tc>
        <w:tc>
          <w:tcPr>
            <w:tcW w:w="167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Cada 1 mês</w:t>
            </w:r>
          </w:p>
        </w:tc>
        <w:tc>
          <w:tcPr>
            <w:tcW w:w="155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8 horas</w:t>
            </w:r>
          </w:p>
        </w:tc>
        <w:tc>
          <w:tcPr>
            <w:tcW w:w="2820" w:type="dxa"/>
            <w:vMerge w:val="restart"/>
            <w:tcBorders>
              <w:top w:val="single" w:sz="12" w:space="0" w:color="00000A"/>
              <w:left w:val="single" w:sz="12" w:space="0" w:color="00000A"/>
              <w:bottom w:val="single" w:sz="4" w:space="0" w:color="00000A"/>
              <w:right w:val="double" w:sz="24" w:space="0" w:color="00000A"/>
              <w:insideH w:val="single" w:sz="4" w:space="0" w:color="00000A"/>
              <w:insideV w:val="double" w:sz="24"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Certificado de participação no programa</w:t>
            </w:r>
          </w:p>
        </w:tc>
      </w:tr>
      <w:tr>
        <w:trPr>
          <w:trHeight w:val="345"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CCCCCC"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continue"/>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color w:val="000000"/>
                <w:sz w:val="20"/>
                <w:szCs w:val="20"/>
              </w:rPr>
            </w:pPr>
            <w:r>
              <w:rPr>
                <w:rFonts w:cs="Arial" w:ascii="Arial" w:hAnsi="Arial"/>
                <w:color w:val="000000"/>
                <w:sz w:val="20"/>
                <w:szCs w:val="20"/>
              </w:rPr>
            </w:r>
          </w:p>
        </w:tc>
        <w:tc>
          <w:tcPr>
            <w:tcW w:w="2760"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Participante Voluntário</w:t>
            </w:r>
          </w:p>
        </w:tc>
        <w:tc>
          <w:tcPr>
            <w:tcW w:w="1679"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Cada 1 mês</w:t>
            </w:r>
          </w:p>
        </w:tc>
        <w:tc>
          <w:tcPr>
            <w:tcW w:w="1559"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4 horas</w:t>
            </w:r>
          </w:p>
        </w:tc>
        <w:tc>
          <w:tcPr>
            <w:tcW w:w="2820" w:type="dxa"/>
            <w:vMerge w:val="continue"/>
            <w:tcBorders>
              <w:top w:val="single" w:sz="4"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r>
      <w:tr>
        <w:trPr>
          <w:trHeight w:val="330"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CCCCCC"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restart"/>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color w:val="000000"/>
                <w:sz w:val="20"/>
                <w:szCs w:val="20"/>
              </w:rPr>
            </w:pPr>
            <w:r>
              <w:rPr>
                <w:rFonts w:cs="Arial" w:ascii="Arial" w:hAnsi="Arial"/>
                <w:color w:val="000000"/>
                <w:sz w:val="20"/>
                <w:szCs w:val="20"/>
              </w:rPr>
              <w:t>Estágios extracurriculares desempenhando atividades relacionadas ao curso</w:t>
            </w:r>
          </w:p>
        </w:tc>
        <w:tc>
          <w:tcPr>
            <w:tcW w:w="2760"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Remunerado</w:t>
            </w:r>
          </w:p>
        </w:tc>
        <w:tc>
          <w:tcPr>
            <w:tcW w:w="1679"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4 horas</w:t>
            </w:r>
          </w:p>
        </w:tc>
        <w:tc>
          <w:tcPr>
            <w:tcW w:w="1559" w:type="dxa"/>
            <w:tcBorders>
              <w:top w:val="single" w:sz="12" w:space="0" w:color="00000A"/>
              <w:left w:val="single" w:sz="12" w:space="0" w:color="00000A"/>
              <w:bottom w:val="dotted" w:sz="12" w:space="0" w:color="00000A"/>
              <w:right w:val="single" w:sz="12" w:space="0" w:color="00000A"/>
              <w:insideH w:val="dotted"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hora</w:t>
            </w:r>
          </w:p>
        </w:tc>
        <w:tc>
          <w:tcPr>
            <w:tcW w:w="2820" w:type="dxa"/>
            <w:vMerge w:val="restart"/>
            <w:tcBorders>
              <w:top w:val="single" w:sz="12" w:space="0" w:color="00000A"/>
              <w:left w:val="single" w:sz="12" w:space="0" w:color="00000A"/>
              <w:bottom w:val="single" w:sz="4" w:space="0" w:color="00000A"/>
              <w:right w:val="double" w:sz="24" w:space="0" w:color="00000A"/>
              <w:insideH w:val="single" w:sz="4" w:space="0" w:color="00000A"/>
              <w:insideV w:val="double" w:sz="24"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color w:val="000000"/>
                <w:sz w:val="20"/>
                <w:szCs w:val="20"/>
              </w:rPr>
              <w:t>Formalização de convênio ou cadastramento do local do estágio junto à UFVJM</w:t>
            </w:r>
          </w:p>
        </w:tc>
      </w:tr>
      <w:tr>
        <w:trPr>
          <w:trHeight w:val="345"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CCCCCC"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3479" w:type="dxa"/>
            <w:vMerge w:val="continue"/>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color w:val="000000"/>
                <w:sz w:val="20"/>
                <w:szCs w:val="20"/>
              </w:rPr>
            </w:pPr>
            <w:r>
              <w:rPr>
                <w:rFonts w:cs="Arial" w:ascii="Arial" w:hAnsi="Arial"/>
                <w:color w:val="000000"/>
                <w:sz w:val="20"/>
                <w:szCs w:val="20"/>
              </w:rPr>
            </w:r>
          </w:p>
        </w:tc>
        <w:tc>
          <w:tcPr>
            <w:tcW w:w="2760"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Voluntário</w:t>
            </w:r>
          </w:p>
        </w:tc>
        <w:tc>
          <w:tcPr>
            <w:tcW w:w="1679"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4 horas</w:t>
            </w:r>
          </w:p>
        </w:tc>
        <w:tc>
          <w:tcPr>
            <w:tcW w:w="1559" w:type="dxa"/>
            <w:tcBorders>
              <w:top w:val="dotted"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horas</w:t>
            </w:r>
          </w:p>
        </w:tc>
        <w:tc>
          <w:tcPr>
            <w:tcW w:w="2820" w:type="dxa"/>
            <w:vMerge w:val="continue"/>
            <w:tcBorders>
              <w:top w:val="single" w:sz="4"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CCCCCC" w:val="clear"/>
            <w:tcMar>
              <w:left w:w="98" w:type="dxa"/>
            </w:tcMar>
            <w:vAlign w:val="center"/>
          </w:tcPr>
          <w:p>
            <w:pPr>
              <w:pStyle w:val="Normal"/>
              <w:spacing w:before="0" w:after="200"/>
              <w:jc w:val="center"/>
              <w:rPr>
                <w:rFonts w:ascii="Arial" w:hAnsi="Arial" w:cs="Arial"/>
                <w:color w:val="000000"/>
                <w:sz w:val="20"/>
                <w:szCs w:val="20"/>
              </w:rPr>
            </w:pPr>
            <w:r>
              <w:rPr>
                <w:rFonts w:cs="Arial" w:ascii="Arial" w:hAnsi="Arial"/>
                <w:color w:val="000000"/>
                <w:sz w:val="20"/>
                <w:szCs w:val="20"/>
              </w:rPr>
            </w:r>
          </w:p>
        </w:tc>
      </w:tr>
      <w:tr>
        <w:trPr>
          <w:trHeight w:val="375"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CCCCCC"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34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eastAsia="Calibri" w:cs="Arial"/>
                <w:sz w:val="20"/>
                <w:szCs w:val="20"/>
              </w:rPr>
            </w:pPr>
            <w:r>
              <w:rPr>
                <w:rFonts w:cs="Arial" w:ascii="Arial" w:hAnsi="Arial"/>
                <w:color w:val="000000"/>
                <w:sz w:val="20"/>
                <w:szCs w:val="20"/>
              </w:rPr>
              <w:t>Cursos de idiomas</w:t>
            </w:r>
          </w:p>
        </w:tc>
        <w:tc>
          <w:tcPr>
            <w:tcW w:w="2760"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 xml:space="preserve">Participante </w:t>
            </w:r>
          </w:p>
        </w:tc>
        <w:tc>
          <w:tcPr>
            <w:tcW w:w="16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4 horas</w:t>
            </w:r>
          </w:p>
        </w:tc>
        <w:tc>
          <w:tcPr>
            <w:tcW w:w="155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hora</w:t>
            </w:r>
          </w:p>
        </w:tc>
        <w:tc>
          <w:tcPr>
            <w:tcW w:w="2820" w:type="dxa"/>
            <w:tcBorders>
              <w:top w:val="single" w:sz="12"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Certificado de participação com carga horária e conteúdo programático</w:t>
            </w:r>
          </w:p>
        </w:tc>
      </w:tr>
      <w:tr>
        <w:trPr>
          <w:trHeight w:val="394"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CCCCCC"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347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color w:val="000000"/>
                <w:sz w:val="20"/>
                <w:szCs w:val="20"/>
              </w:rPr>
            </w:pPr>
            <w:r>
              <w:rPr>
                <w:rFonts w:cs="Arial" w:ascii="Arial" w:hAnsi="Arial"/>
                <w:color w:val="000000"/>
                <w:sz w:val="20"/>
                <w:szCs w:val="20"/>
              </w:rPr>
              <w:t>Cursos de Informática</w:t>
            </w:r>
          </w:p>
        </w:tc>
        <w:tc>
          <w:tcPr>
            <w:tcW w:w="2760"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 xml:space="preserve">Participante </w:t>
            </w:r>
          </w:p>
        </w:tc>
        <w:tc>
          <w:tcPr>
            <w:tcW w:w="167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4 horas</w:t>
            </w:r>
          </w:p>
        </w:tc>
        <w:tc>
          <w:tcPr>
            <w:tcW w:w="155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hora</w:t>
            </w:r>
          </w:p>
        </w:tc>
        <w:tc>
          <w:tcPr>
            <w:tcW w:w="2820" w:type="dxa"/>
            <w:tcBorders>
              <w:top w:val="single" w:sz="12" w:space="0" w:color="00000A"/>
              <w:left w:val="single" w:sz="12" w:space="0" w:color="00000A"/>
              <w:bottom w:val="single" w:sz="4" w:space="0" w:color="00000A"/>
              <w:right w:val="double" w:sz="24" w:space="0" w:color="00000A"/>
              <w:insideH w:val="single" w:sz="4" w:space="0" w:color="00000A"/>
              <w:insideV w:val="double" w:sz="24" w:space="0" w:color="00000A"/>
            </w:tcBorders>
            <w:shd w:color="auto" w:fill="CCCCCC"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Certificado de participação com carga horária e conteúdo programático</w:t>
            </w:r>
          </w:p>
        </w:tc>
      </w:tr>
      <w:tr>
        <w:trPr>
          <w:trHeight w:val="637" w:hRule="atLeast"/>
        </w:trPr>
        <w:tc>
          <w:tcPr>
            <w:tcW w:w="1124" w:type="dxa"/>
            <w:vMerge w:val="restart"/>
            <w:tcBorders>
              <w:top w:val="double" w:sz="2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808080" w:val="clear"/>
            <w:tcMar>
              <w:left w:w="23" w:type="dxa"/>
            </w:tcMar>
            <w:textDirection w:val="btLr"/>
            <w:vAlign w:val="center"/>
          </w:tcPr>
          <w:p>
            <w:pPr>
              <w:pStyle w:val="Normal"/>
              <w:ind w:left="113" w:right="113" w:hanging="0"/>
              <w:jc w:val="center"/>
              <w:rPr>
                <w:rFonts w:ascii="Arial" w:hAnsi="Arial" w:cs="Arial"/>
                <w:sz w:val="20"/>
                <w:szCs w:val="20"/>
              </w:rPr>
            </w:pPr>
            <w:r>
              <w:rPr>
                <w:rFonts w:cs="Arial" w:ascii="Arial" w:hAnsi="Arial"/>
                <w:sz w:val="20"/>
                <w:szCs w:val="20"/>
              </w:rPr>
              <w:t>GRUPO IV</w:t>
            </w:r>
          </w:p>
          <w:p>
            <w:pPr>
              <w:pStyle w:val="Normal"/>
              <w:spacing w:before="0" w:after="200"/>
              <w:ind w:left="113" w:right="113" w:hanging="0"/>
              <w:jc w:val="center"/>
              <w:rPr>
                <w:rFonts w:ascii="Arial" w:hAnsi="Arial" w:cs="Arial"/>
                <w:sz w:val="20"/>
                <w:szCs w:val="20"/>
              </w:rPr>
            </w:pPr>
            <w:r>
              <w:rPr>
                <w:rFonts w:cs="Arial" w:ascii="Arial" w:hAnsi="Arial"/>
                <w:sz w:val="20"/>
                <w:szCs w:val="20"/>
              </w:rPr>
            </w:r>
          </w:p>
        </w:tc>
        <w:tc>
          <w:tcPr>
            <w:tcW w:w="1320" w:type="dxa"/>
            <w:vMerge w:val="restart"/>
            <w:tcBorders>
              <w:top w:val="double" w:sz="2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100 horas</w:t>
            </w:r>
          </w:p>
        </w:tc>
        <w:tc>
          <w:tcPr>
            <w:tcW w:w="3479" w:type="dxa"/>
            <w:tcBorders>
              <w:top w:val="double" w:sz="2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bCs/>
                <w:color w:val="000000"/>
                <w:sz w:val="20"/>
                <w:szCs w:val="20"/>
              </w:rPr>
              <w:t>Atividades Desportivas e Culturais</w:t>
            </w:r>
          </w:p>
        </w:tc>
        <w:tc>
          <w:tcPr>
            <w:tcW w:w="2760" w:type="dxa"/>
            <w:tcBorders>
              <w:top w:val="double" w:sz="2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Participante</w:t>
            </w:r>
          </w:p>
        </w:tc>
        <w:tc>
          <w:tcPr>
            <w:tcW w:w="1679" w:type="dxa"/>
            <w:tcBorders>
              <w:top w:val="double" w:sz="2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bCs/>
                <w:color w:val="000000"/>
                <w:sz w:val="20"/>
                <w:szCs w:val="20"/>
              </w:rPr>
              <w:t>12 horas</w:t>
            </w:r>
          </w:p>
        </w:tc>
        <w:tc>
          <w:tcPr>
            <w:tcW w:w="1559" w:type="dxa"/>
            <w:tcBorders>
              <w:top w:val="double" w:sz="2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bCs/>
                <w:color w:val="000000"/>
                <w:sz w:val="20"/>
                <w:szCs w:val="20"/>
              </w:rPr>
              <w:t>1 horas</w:t>
            </w:r>
          </w:p>
        </w:tc>
        <w:tc>
          <w:tcPr>
            <w:tcW w:w="2820" w:type="dxa"/>
            <w:tcBorders>
              <w:top w:val="double" w:sz="24"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Declaração ou Certificado de  Participação</w:t>
            </w:r>
          </w:p>
        </w:tc>
      </w:tr>
      <w:tr>
        <w:trPr>
          <w:trHeight w:val="699"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808080" w:val="clear"/>
            <w:tcMar>
              <w:left w:w="23" w:type="dxa"/>
            </w:tcMar>
            <w:textDirection w:val="btLr"/>
            <w:vAlign w:val="center"/>
          </w:tcPr>
          <w:p>
            <w:pPr>
              <w:pStyle w:val="Normal"/>
              <w:spacing w:before="0" w:after="200"/>
              <w:ind w:left="113" w:right="113" w:hanging="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34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Representação em órgãos Colegiados e Conselhos da UFVJM</w:t>
            </w:r>
          </w:p>
        </w:tc>
        <w:tc>
          <w:tcPr>
            <w:tcW w:w="2760"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Titular</w:t>
            </w:r>
          </w:p>
        </w:tc>
        <w:tc>
          <w:tcPr>
            <w:tcW w:w="16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Cada ciclo de participação</w:t>
            </w:r>
          </w:p>
        </w:tc>
        <w:tc>
          <w:tcPr>
            <w:tcW w:w="155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15 horas</w:t>
            </w:r>
          </w:p>
        </w:tc>
        <w:tc>
          <w:tcPr>
            <w:tcW w:w="2820" w:type="dxa"/>
            <w:tcBorders>
              <w:top w:val="single" w:sz="12"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Portaria Instituindo representatividade</w:t>
            </w:r>
          </w:p>
        </w:tc>
      </w:tr>
      <w:tr>
        <w:trPr>
          <w:trHeight w:val="699"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808080" w:val="clear"/>
            <w:tcMar>
              <w:left w:w="23" w:type="dxa"/>
            </w:tcMar>
          </w:tcPr>
          <w:p>
            <w:pPr>
              <w:pStyle w:val="Normal"/>
              <w:spacing w:before="0" w:after="200"/>
              <w:ind w:left="113" w:right="113" w:hanging="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808080"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808080" w:val="clear"/>
            <w:tcMar>
              <w:left w:w="98" w:type="dxa"/>
            </w:tcMar>
          </w:tcPr>
          <w:p>
            <w:pPr>
              <w:pStyle w:val="Normal"/>
              <w:spacing w:before="0" w:after="200"/>
              <w:jc w:val="center"/>
              <w:rPr>
                <w:rFonts w:ascii="Arial" w:hAnsi="Arial" w:cs="Arial"/>
                <w:sz w:val="20"/>
                <w:szCs w:val="20"/>
              </w:rPr>
            </w:pPr>
            <w:r>
              <w:rPr>
                <w:rFonts w:cs="Arial" w:ascii="Arial" w:hAnsi="Arial"/>
                <w:b/>
              </w:rPr>
              <w:t xml:space="preserve"> </w:t>
            </w:r>
            <w:r>
              <w:rPr>
                <w:rFonts w:cs="Arial" w:ascii="Arial" w:hAnsi="Arial"/>
              </w:rPr>
              <w:t>Produção de mídias digitais</w:t>
            </w:r>
          </w:p>
        </w:tc>
        <w:tc>
          <w:tcPr>
            <w:tcW w:w="2760"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808080" w:val="clear"/>
            <w:tcMar>
              <w:left w:w="98" w:type="dxa"/>
            </w:tcMar>
          </w:tcPr>
          <w:p>
            <w:pPr>
              <w:pStyle w:val="Normal"/>
              <w:spacing w:before="0" w:after="200"/>
              <w:jc w:val="center"/>
              <w:rPr>
                <w:rFonts w:ascii="Arial" w:hAnsi="Arial" w:cs="Arial"/>
                <w:sz w:val="20"/>
                <w:szCs w:val="20"/>
              </w:rPr>
            </w:pPr>
            <w:r>
              <w:rPr>
                <w:rFonts w:cs="Arial" w:ascii="Arial" w:hAnsi="Arial"/>
              </w:rPr>
              <w:t>Autor</w:t>
            </w:r>
          </w:p>
        </w:tc>
        <w:tc>
          <w:tcPr>
            <w:tcW w:w="16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 obra</w:t>
            </w:r>
          </w:p>
        </w:tc>
        <w:tc>
          <w:tcPr>
            <w:tcW w:w="155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10 horas</w:t>
            </w:r>
          </w:p>
        </w:tc>
        <w:tc>
          <w:tcPr>
            <w:tcW w:w="2820" w:type="dxa"/>
            <w:tcBorders>
              <w:top w:val="single" w:sz="12"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808080"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t>Disponibilização do material para acervo digital da FIH</w:t>
            </w:r>
          </w:p>
        </w:tc>
      </w:tr>
      <w:tr>
        <w:trPr>
          <w:trHeight w:val="523" w:hRule="atLeast"/>
        </w:trPr>
        <w:tc>
          <w:tcPr>
            <w:tcW w:w="1124" w:type="dxa"/>
            <w:vMerge w:val="continue"/>
            <w:tcBorders>
              <w:top w:val="single" w:sz="4" w:space="0" w:color="00000A"/>
              <w:left w:val="double" w:sz="24" w:space="0" w:color="00000A"/>
              <w:bottom w:val="single" w:sz="4" w:space="0" w:color="00000A"/>
              <w:right w:val="single" w:sz="12" w:space="0" w:color="00000A"/>
              <w:insideH w:val="single" w:sz="4" w:space="0" w:color="00000A"/>
              <w:insideV w:val="single" w:sz="12" w:space="0" w:color="00000A"/>
            </w:tcBorders>
            <w:shd w:color="auto" w:fill="808080"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808080"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Representação em Comissões Transitórias</w:t>
            </w:r>
          </w:p>
        </w:tc>
        <w:tc>
          <w:tcPr>
            <w:tcW w:w="2760"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Titular</w:t>
            </w:r>
          </w:p>
        </w:tc>
        <w:tc>
          <w:tcPr>
            <w:tcW w:w="167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participação</w:t>
            </w:r>
          </w:p>
        </w:tc>
        <w:tc>
          <w:tcPr>
            <w:tcW w:w="155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5 horas</w:t>
            </w:r>
          </w:p>
        </w:tc>
        <w:tc>
          <w:tcPr>
            <w:tcW w:w="2820" w:type="dxa"/>
            <w:tcBorders>
              <w:top w:val="single" w:sz="12" w:space="0" w:color="00000A"/>
              <w:left w:val="single" w:sz="12" w:space="0" w:color="00000A"/>
              <w:bottom w:val="single" w:sz="12" w:space="0" w:color="00000A"/>
              <w:right w:val="double" w:sz="24" w:space="0" w:color="00000A"/>
              <w:insideH w:val="single" w:sz="12" w:space="0" w:color="00000A"/>
              <w:insideV w:val="double" w:sz="24"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Portaria Instituindo representatividade</w:t>
            </w:r>
          </w:p>
        </w:tc>
      </w:tr>
      <w:tr>
        <w:trPr>
          <w:trHeight w:val="547" w:hRule="atLeast"/>
        </w:trPr>
        <w:tc>
          <w:tcPr>
            <w:tcW w:w="1124" w:type="dxa"/>
            <w:vMerge w:val="continue"/>
            <w:tcBorders>
              <w:top w:val="single" w:sz="4" w:space="0" w:color="00000A"/>
              <w:left w:val="double" w:sz="24" w:space="0" w:color="00000A"/>
              <w:bottom w:val="double" w:sz="24" w:space="0" w:color="00000A"/>
              <w:right w:val="single" w:sz="12" w:space="0" w:color="00000A"/>
              <w:insideH w:val="double" w:sz="24" w:space="0" w:color="00000A"/>
              <w:insideV w:val="single" w:sz="12" w:space="0" w:color="00000A"/>
            </w:tcBorders>
            <w:shd w:color="auto" w:fill="808080" w:val="clear"/>
            <w:tcMar>
              <w:left w:w="23" w:type="dxa"/>
            </w:tcMar>
            <w:vAlign w:val="center"/>
          </w:tcPr>
          <w:p>
            <w:pPr>
              <w:pStyle w:val="Normal"/>
              <w:spacing w:before="0" w:after="200"/>
              <w:jc w:val="center"/>
              <w:rPr>
                <w:rFonts w:ascii="Arial" w:hAnsi="Arial" w:cs="Arial"/>
                <w:sz w:val="20"/>
                <w:szCs w:val="20"/>
              </w:rPr>
            </w:pPr>
            <w:r>
              <w:rPr>
                <w:rFonts w:cs="Arial" w:ascii="Arial" w:hAnsi="Arial"/>
                <w:sz w:val="20"/>
                <w:szCs w:val="20"/>
              </w:rPr>
            </w:r>
          </w:p>
        </w:tc>
        <w:tc>
          <w:tcPr>
            <w:tcW w:w="1320" w:type="dxa"/>
            <w:vMerge w:val="continue"/>
            <w:tcBorders>
              <w:top w:val="single" w:sz="4" w:space="0" w:color="00000A"/>
              <w:left w:val="single" w:sz="12" w:space="0" w:color="00000A"/>
              <w:bottom w:val="double" w:sz="24" w:space="0" w:color="00000A"/>
              <w:right w:val="single" w:sz="12" w:space="0" w:color="00000A"/>
              <w:insideH w:val="double" w:sz="24" w:space="0" w:color="00000A"/>
              <w:insideV w:val="single" w:sz="12" w:space="0" w:color="00000A"/>
            </w:tcBorders>
            <w:shd w:color="auto" w:fill="808080" w:val="clear"/>
            <w:tcMar>
              <w:left w:w="98" w:type="dxa"/>
            </w:tcMar>
          </w:tcPr>
          <w:p>
            <w:pPr>
              <w:pStyle w:val="Normal"/>
              <w:spacing w:before="0" w:after="200"/>
              <w:jc w:val="center"/>
              <w:rPr>
                <w:rFonts w:ascii="Arial" w:hAnsi="Arial" w:cs="Arial"/>
                <w:sz w:val="20"/>
                <w:szCs w:val="20"/>
              </w:rPr>
            </w:pPr>
            <w:r>
              <w:rPr>
                <w:rFonts w:cs="Arial" w:ascii="Arial" w:hAnsi="Arial"/>
                <w:sz w:val="20"/>
                <w:szCs w:val="20"/>
              </w:rPr>
            </w:r>
          </w:p>
        </w:tc>
        <w:tc>
          <w:tcPr>
            <w:tcW w:w="3479" w:type="dxa"/>
            <w:tcBorders>
              <w:top w:val="single" w:sz="12" w:space="0" w:color="00000A"/>
              <w:left w:val="single" w:sz="12" w:space="0" w:color="00000A"/>
              <w:bottom w:val="double" w:sz="24" w:space="0" w:color="00000A"/>
              <w:right w:val="single" w:sz="12" w:space="0" w:color="00000A"/>
              <w:insideH w:val="double" w:sz="24"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bCs/>
                <w:color w:val="000000"/>
                <w:sz w:val="20"/>
                <w:szCs w:val="20"/>
              </w:rPr>
              <w:t>Participação em entidades de r</w:t>
            </w:r>
            <w:r>
              <w:rPr>
                <w:rFonts w:cs="Arial" w:ascii="Arial" w:hAnsi="Arial"/>
                <w:sz w:val="20"/>
                <w:szCs w:val="20"/>
              </w:rPr>
              <w:t>epresentação estudantil</w:t>
            </w:r>
          </w:p>
        </w:tc>
        <w:tc>
          <w:tcPr>
            <w:tcW w:w="2760" w:type="dxa"/>
            <w:tcBorders>
              <w:top w:val="single" w:sz="12" w:space="0" w:color="00000A"/>
              <w:left w:val="single" w:sz="12" w:space="0" w:color="00000A"/>
              <w:bottom w:val="double" w:sz="24" w:space="0" w:color="00000A"/>
              <w:right w:val="single" w:sz="12" w:space="0" w:color="00000A"/>
              <w:insideH w:val="double" w:sz="24"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Titular</w:t>
            </w:r>
          </w:p>
        </w:tc>
        <w:tc>
          <w:tcPr>
            <w:tcW w:w="1679" w:type="dxa"/>
            <w:tcBorders>
              <w:top w:val="single" w:sz="12" w:space="0" w:color="00000A"/>
              <w:left w:val="single" w:sz="12" w:space="0" w:color="00000A"/>
              <w:bottom w:val="double" w:sz="24" w:space="0" w:color="00000A"/>
              <w:right w:val="single" w:sz="12" w:space="0" w:color="00000A"/>
              <w:insideH w:val="double" w:sz="24"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Cada ciclo de gestão</w:t>
            </w:r>
          </w:p>
        </w:tc>
        <w:tc>
          <w:tcPr>
            <w:tcW w:w="1559" w:type="dxa"/>
            <w:tcBorders>
              <w:top w:val="single" w:sz="12" w:space="0" w:color="00000A"/>
              <w:left w:val="single" w:sz="12" w:space="0" w:color="00000A"/>
              <w:bottom w:val="double" w:sz="24" w:space="0" w:color="00000A"/>
              <w:right w:val="single" w:sz="12" w:space="0" w:color="00000A"/>
              <w:insideH w:val="double" w:sz="24" w:space="0" w:color="00000A"/>
              <w:insideV w:val="single" w:sz="12"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20 horas</w:t>
            </w:r>
          </w:p>
        </w:tc>
        <w:tc>
          <w:tcPr>
            <w:tcW w:w="2820" w:type="dxa"/>
            <w:tcBorders>
              <w:top w:val="single" w:sz="12" w:space="0" w:color="00000A"/>
              <w:left w:val="single" w:sz="12" w:space="0" w:color="00000A"/>
              <w:bottom w:val="double" w:sz="24" w:space="0" w:color="00000A"/>
              <w:right w:val="double" w:sz="24" w:space="0" w:color="00000A"/>
              <w:insideH w:val="double" w:sz="24" w:space="0" w:color="00000A"/>
              <w:insideV w:val="double" w:sz="24" w:space="0" w:color="00000A"/>
            </w:tcBorders>
            <w:shd w:color="auto" w:fill="808080" w:val="clear"/>
            <w:tcMar>
              <w:left w:w="98" w:type="dxa"/>
            </w:tcMar>
            <w:vAlign w:val="center"/>
          </w:tcPr>
          <w:p>
            <w:pPr>
              <w:pStyle w:val="Normal"/>
              <w:spacing w:before="0" w:after="200"/>
              <w:jc w:val="center"/>
              <w:rPr>
                <w:rFonts w:ascii="Arial" w:hAnsi="Arial" w:cs="Arial"/>
                <w:sz w:val="20"/>
                <w:szCs w:val="20"/>
              </w:rPr>
            </w:pPr>
            <w:r>
              <w:rPr>
                <w:rFonts w:cs="Arial" w:ascii="Arial" w:hAnsi="Arial"/>
                <w:sz w:val="20"/>
                <w:szCs w:val="20"/>
              </w:rPr>
              <w:t>Portaria Instituindo representatividade</w:t>
            </w:r>
          </w:p>
        </w:tc>
      </w:tr>
    </w:tbl>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rPr/>
      </w:pPr>
      <w:r>
        <w:rPr/>
      </w:r>
    </w:p>
    <w:sectPr>
      <w:headerReference w:type="default" r:id="rId23"/>
      <w:footerReference w:type="default" r:id="rId24"/>
      <w:footnotePr>
        <w:numFmt w:val="decimal"/>
      </w:footnotePr>
      <w:type w:val="nextPage"/>
      <w:pgSz w:orient="landscape" w:w="16838" w:h="11906"/>
      <w:pgMar w:left="1418" w:right="1418" w:header="709" w:top="1701" w:footer="709" w:bottom="170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Arial">
    <w:charset w:val="00"/>
    <w:family w:val="roman"/>
    <w:pitch w:val="variable"/>
  </w:font>
  <w:font w:name="Tahoma">
    <w:charset w:val="00"/>
    <w:family w:val="roman"/>
    <w:pitch w:val="variable"/>
  </w:font>
  <w:font w:name="Courier New">
    <w:charset w:val="00"/>
    <w:family w:val="roman"/>
    <w:pitch w:val="variable"/>
  </w:font>
  <w:font w:name="Symbol">
    <w:charset w:val="00"/>
    <w:family w:val="roman"/>
    <w:pitch w:val="variable"/>
  </w:font>
  <w:font w:name="Wingdings 2">
    <w:charset w:val="00"/>
    <w:family w:val="roman"/>
    <w:pitch w:val="variable"/>
  </w:font>
  <w:font w:name="StarSymbol">
    <w:altName w:val="Arial Unicode MS"/>
    <w:charset w:val="00"/>
    <w:family w:val="roman"/>
    <w:pitch w:val="variable"/>
  </w:font>
  <w:font w:name="Wingdings">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356879109"/>
    </w:sdtPr>
    <w:sdtContent>
      <w:p>
        <w:pPr>
          <w:pStyle w:val="Rodap"/>
          <w:jc w:val="right"/>
          <w:rPr/>
        </w:pPr>
        <w:r>
          <w:rPr>
            <w:rFonts w:cs="Arial" w:ascii="Arial" w:hAnsi="Arial"/>
          </w:rPr>
          <w:fldChar w:fldCharType="begin"/>
        </w:r>
        <w:r>
          <w:instrText> PAGE </w:instrText>
        </w:r>
        <w:r>
          <w:fldChar w:fldCharType="separate"/>
        </w:r>
        <w:r>
          <w:t>31</w:t>
        </w:r>
        <w:r>
          <w:fldChar w:fldCharType="end"/>
        </w:r>
      </w:p>
    </w:sdtContent>
  </w:sdt>
  <w:p>
    <w:pPr>
      <w:pStyle w:val="Rodap"/>
      <w:rPr/>
    </w:pPr>
    <w:r>
      <w:rPr/>
    </w:r>
  </w:p>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134301069"/>
    </w:sdtPr>
    <w:sdtContent>
      <w:p>
        <w:pPr>
          <w:pStyle w:val="Rodap"/>
          <w:jc w:val="right"/>
          <w:rPr/>
        </w:pPr>
        <w:r>
          <w:rPr>
            <w:rFonts w:cs="Arial" w:ascii="Arial" w:hAnsi="Arial"/>
          </w:rPr>
          <w:fldChar w:fldCharType="begin"/>
        </w:r>
        <w:r>
          <w:instrText> PAGE </w:instrText>
        </w:r>
        <w:r>
          <w:fldChar w:fldCharType="separate"/>
        </w:r>
        <w:r>
          <w:t>32</w:t>
        </w:r>
        <w:r>
          <w:fldChar w:fldCharType="end"/>
        </w:r>
      </w:p>
    </w:sdtContent>
  </w:sdt>
  <w:p>
    <w:pPr>
      <w:pStyle w:val="Rodap"/>
      <w:rPr/>
    </w:pPr>
    <w:r>
      <w:rPr/>
    </w:r>
  </w:p>
  <w:p>
    <w:pPr>
      <w:pStyle w:val="Rodap"/>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009939311"/>
    </w:sdtPr>
    <w:sdtContent>
      <w:p>
        <w:pPr>
          <w:pStyle w:val="Rodap"/>
          <w:jc w:val="right"/>
          <w:rPr/>
        </w:pPr>
        <w:r>
          <w:rPr>
            <w:rFonts w:cs="Arial" w:ascii="Arial" w:hAnsi="Arial"/>
          </w:rPr>
          <w:fldChar w:fldCharType="begin"/>
        </w:r>
        <w:r>
          <w:instrText> PAGE </w:instrText>
        </w:r>
        <w:r>
          <w:fldChar w:fldCharType="separate"/>
        </w:r>
        <w:r>
          <w:t>80</w:t>
        </w:r>
        <w:r>
          <w:fldChar w:fldCharType="end"/>
        </w:r>
      </w:p>
    </w:sdtContent>
  </w:sdt>
  <w:p>
    <w:pPr>
      <w:pStyle w:val="Rodap"/>
      <w:rPr/>
    </w:pPr>
    <w:r>
      <w:rPr/>
    </w:r>
  </w:p>
  <w:p>
    <w:pPr>
      <w:pStyle w:val="Rodap"/>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091410579"/>
    </w:sdtPr>
    <w:sdtContent>
      <w:p>
        <w:pPr>
          <w:pStyle w:val="Rodap"/>
          <w:jc w:val="right"/>
          <w:rPr/>
        </w:pPr>
        <w:r>
          <w:rPr>
            <w:rFonts w:cs="Arial" w:ascii="Arial" w:hAnsi="Arial"/>
          </w:rPr>
          <w:fldChar w:fldCharType="begin"/>
        </w:r>
        <w:r>
          <w:instrText> PAGE </w:instrText>
        </w:r>
        <w:r>
          <w:fldChar w:fldCharType="separate"/>
        </w:r>
        <w:r>
          <w:t>82</w:t>
        </w:r>
        <w:r>
          <w:fldChar w:fldCharType="end"/>
        </w:r>
      </w:p>
    </w:sdtContent>
  </w:sdt>
  <w:p>
    <w:pPr>
      <w:pStyle w:val="Rodap"/>
      <w:rPr/>
    </w:pPr>
    <w:r>
      <w:rPr/>
    </w:r>
  </w:p>
  <w:p>
    <w:pPr>
      <w:pStyle w:val="Rodap"/>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674122613"/>
    </w:sdtPr>
    <w:sdtContent>
      <w:p>
        <w:pPr>
          <w:pStyle w:val="Rodap"/>
          <w:jc w:val="right"/>
          <w:rPr/>
        </w:pPr>
        <w:r>
          <w:rPr>
            <w:rFonts w:cs="Arial" w:ascii="Arial" w:hAnsi="Arial"/>
          </w:rPr>
          <w:fldChar w:fldCharType="begin"/>
        </w:r>
        <w:r>
          <w:instrText> PAGE </w:instrText>
        </w:r>
        <w:r>
          <w:fldChar w:fldCharType="separate"/>
        </w:r>
        <w:r>
          <w:t>98</w:t>
        </w:r>
        <w:r>
          <w:fldChar w:fldCharType="end"/>
        </w:r>
      </w:p>
    </w:sdtContent>
  </w:sdt>
  <w:p>
    <w:pPr>
      <w:pStyle w:val="Rodap"/>
      <w:rPr/>
    </w:pPr>
    <w:r>
      <w:rPr/>
    </w:r>
  </w:p>
  <w:p>
    <w:pPr>
      <w:pStyle w:val="Rodap"/>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586997673"/>
    </w:sdtPr>
    <w:sdtContent>
      <w:p>
        <w:pPr>
          <w:pStyle w:val="Rodap"/>
          <w:jc w:val="right"/>
          <w:rPr/>
        </w:pPr>
        <w:r>
          <w:rPr>
            <w:rFonts w:cs="Arial" w:ascii="Arial" w:hAnsi="Arial"/>
          </w:rPr>
          <w:fldChar w:fldCharType="begin"/>
        </w:r>
        <w:r>
          <w:instrText> PAGE </w:instrText>
        </w:r>
        <w:r>
          <w:fldChar w:fldCharType="separate"/>
        </w:r>
        <w:r>
          <w:t>103</w:t>
        </w:r>
        <w:r>
          <w:fldChar w:fldCharType="end"/>
        </w:r>
      </w:p>
    </w:sdtContent>
  </w:sdt>
  <w:p>
    <w:pPr>
      <w:pStyle w:val="Rodap"/>
      <w:rPr/>
    </w:pPr>
    <w:r>
      <w:rPr/>
    </w:r>
  </w:p>
  <w:p>
    <w:pPr>
      <w:pStyle w:val="Rodap"/>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rStyle w:val="Footnotereference"/>
        </w:rPr>
        <w:footnoteRef/>
        <w:tab/>
        <w:t>*</w:t>
      </w:r>
      <w:r>
        <w:rPr>
          <w:rFonts w:cs="Arial" w:ascii="Arial" w:hAnsi="Arial"/>
        </w:rPr>
        <w:t xml:space="preserve"> </w:t>
      </w:r>
      <w:r>
        <w:rPr>
          <w:rFonts w:cs="Arial" w:ascii="Arial" w:hAnsi="Arial"/>
          <w:lang w:val="pt-BR"/>
        </w:rPr>
        <w:t>Unidades Curriculares compartilhadas com outros cursos de licenciatura da FIH. Acordo de colaboração fixado em 08/08/2017, em reelaboração por questões de nomenclatura.</w:t>
      </w:r>
    </w:p>
  </w:footnote>
  <w:footnote w:id="3">
    <w:p>
      <w:pPr>
        <w:pStyle w:val="Footnotetext"/>
        <w:rPr/>
      </w:pPr>
      <w:r>
        <w:rPr>
          <w:rStyle w:val="Footnotereference"/>
          <w:rFonts w:cs="Arial" w:ascii="Arial" w:hAnsi="Arial"/>
        </w:rPr>
        <w:footnoteRef/>
        <w:tab/>
      </w:r>
      <w:r>
        <w:rPr>
          <w:rFonts w:cs="Arial" w:ascii="Arial" w:hAnsi="Arial"/>
        </w:rPr>
        <w:t xml:space="preserve"> </w:t>
      </w:r>
      <w:r>
        <w:rPr>
          <w:rFonts w:cs="Arial" w:ascii="Arial" w:hAnsi="Arial"/>
          <w:lang w:val="pt-BR"/>
        </w:rPr>
        <w:t>LEH = Laboratório de Ensino de História</w:t>
      </w:r>
    </w:p>
  </w:footnote>
  <w:footnote w:id="4">
    <w:p>
      <w:pPr>
        <w:pStyle w:val="Footnotetext"/>
        <w:jc w:val="both"/>
        <w:rPr>
          <w:rFonts w:ascii="Arial" w:hAnsi="Arial" w:cs="Arial"/>
          <w:lang w:val="pt-BR"/>
        </w:rPr>
      </w:pPr>
      <w:r>
        <w:rPr>
          <w:rStyle w:val="Footnotereference"/>
        </w:rPr>
        <w:footnoteRef/>
        <w:tab/>
        <w:t>*</w:t>
      </w:r>
      <w:r>
        <w:rPr>
          <w:rFonts w:cs="Arial" w:ascii="Arial" w:hAnsi="Arial"/>
        </w:rPr>
        <w:t xml:space="preserve"> </w:t>
      </w:r>
      <w:r>
        <w:rPr>
          <w:rFonts w:cs="Arial" w:ascii="Arial" w:hAnsi="Arial"/>
          <w:lang w:val="pt-BR"/>
        </w:rPr>
        <w:t>Unidades Curriculares compartilhadas com outros cursos de licenciatura da FIH. Acordo de colaboração fixado em 08/03/2018, em reelaboração por questões de nomenclatura.</w:t>
      </w:r>
    </w:p>
    <w:p>
      <w:pPr>
        <w:pStyle w:val="Footnotetext"/>
        <w:jc w:val="both"/>
        <w:rPr/>
      </w:pPr>
      <w:r>
        <w:rPr/>
      </w:r>
    </w:p>
  </w:footnote>
  <w:footnote w:id="5">
    <w:p>
      <w:pPr>
        <w:pStyle w:val="Footnotetext"/>
        <w:rPr/>
      </w:pPr>
      <w:r>
        <w:rPr>
          <w:rStyle w:val="Footnotereference"/>
          <w:rFonts w:cs="Arial" w:ascii="Arial" w:hAnsi="Arial"/>
        </w:rPr>
        <w:footnoteRef/>
        <w:tab/>
      </w:r>
      <w:r>
        <w:rPr>
          <w:rFonts w:cs="Arial" w:ascii="Arial" w:hAnsi="Arial"/>
        </w:rPr>
        <w:t xml:space="preserve"> </w:t>
      </w:r>
      <w:r>
        <w:rPr>
          <w:rFonts w:cs="Arial" w:ascii="Arial" w:hAnsi="Arial"/>
          <w:lang w:val="pt-BR"/>
        </w:rPr>
        <w:t>LEH = Laboratório de Ensino de História</w:t>
      </w:r>
    </w:p>
  </w:footnote>
  <w:footnote w:id="6">
    <w:p>
      <w:pPr>
        <w:pStyle w:val="Footnotetext"/>
        <w:jc w:val="both"/>
        <w:rPr/>
      </w:pPr>
      <w:r>
        <w:rPr>
          <w:rStyle w:val="Footnotereference"/>
          <w:rFonts w:cs="Arial" w:ascii="Arial" w:hAnsi="Arial"/>
        </w:rPr>
        <w:footnoteRef/>
        <w:tab/>
      </w:r>
      <w:r>
        <w:rPr>
          <w:rFonts w:cs="Arial" w:ascii="Arial" w:hAnsi="Arial"/>
        </w:rPr>
        <w:t xml:space="preserve"> </w:t>
      </w:r>
      <w:r>
        <w:rPr>
          <w:rFonts w:cs="Arial" w:ascii="Arial" w:hAnsi="Arial"/>
          <w:lang w:val="pt-BR"/>
        </w:rPr>
        <w:t>Disponível no Anexo B.</w:t>
      </w:r>
    </w:p>
  </w:footnote>
  <w:footnote w:id="7">
    <w:p>
      <w:pPr>
        <w:pStyle w:val="Footnotetext"/>
        <w:jc w:val="both"/>
        <w:rPr/>
      </w:pPr>
      <w:r>
        <w:rPr>
          <w:rStyle w:val="Footnotereference"/>
          <w:rFonts w:cs="Arial" w:ascii="Arial" w:hAnsi="Arial"/>
        </w:rPr>
        <w:footnoteRef/>
        <w:tab/>
      </w:r>
      <w:r>
        <w:rPr>
          <w:rFonts w:cs="Arial" w:ascii="Arial" w:hAnsi="Arial"/>
        </w:rPr>
        <w:t xml:space="preserve"> </w:t>
      </w:r>
      <w:r>
        <w:rPr>
          <w:rFonts w:cs="Arial" w:ascii="Arial" w:hAnsi="Arial"/>
          <w:lang w:val="pt-BR"/>
        </w:rPr>
        <w:t>Disponível no Anexo C.</w:t>
      </w:r>
    </w:p>
  </w:footnote>
  <w:footnote w:id="8">
    <w:p>
      <w:pPr>
        <w:pStyle w:val="Footnotetext"/>
        <w:jc w:val="both"/>
        <w:rPr/>
      </w:pPr>
      <w:r>
        <w:rPr>
          <w:rStyle w:val="Footnotereference"/>
          <w:rFonts w:cs="Arial" w:ascii="Arial" w:hAnsi="Arial"/>
        </w:rPr>
        <w:footnoteRef/>
        <w:tab/>
      </w:r>
      <w:r>
        <w:rPr>
          <w:rFonts w:cs="Arial" w:ascii="Arial" w:hAnsi="Arial"/>
        </w:rPr>
        <w:t xml:space="preserve"> </w:t>
      </w:r>
      <w:r>
        <w:rPr>
          <w:rFonts w:cs="Arial" w:ascii="Arial" w:hAnsi="Arial"/>
          <w:lang w:val="pt-BR"/>
        </w:rPr>
        <w:t>Fundamentos de Libras é a única UC que só tem equivalência do PPC-2012 para o PPC-2018, pois ela inclui 15h/a práticas no primeiro projeto que não está prevista no novo, neste a carga horária é exclusivamente 60h/a teóricas, por esse motivo a equivalência PPC-2018 para PPC-2012 não é possível como o contrário é.</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0260" w:type="dxa"/>
      <w:jc w:val="center"/>
      <w:tblInd w:w="0" w:type="dxa"/>
      <w:tblBorders/>
      <w:tblCellMar>
        <w:top w:w="0" w:type="dxa"/>
        <w:left w:w="108" w:type="dxa"/>
        <w:bottom w:w="0" w:type="dxa"/>
        <w:right w:w="108" w:type="dxa"/>
      </w:tblCellMar>
      <w:tblLook w:firstRow="0" w:noVBand="0" w:lastRow="0" w:firstColumn="0" w:lastColumn="0" w:noHBand="0" w:val="0000"/>
    </w:tblPr>
    <w:tblGrid>
      <w:gridCol w:w="1439"/>
      <w:gridCol w:w="7199"/>
      <w:gridCol w:w="1622"/>
    </w:tblGrid>
    <w:tr>
      <w:trPr/>
      <w:tc>
        <w:tcPr>
          <w:tcW w:w="1439" w:type="dxa"/>
          <w:tcBorders/>
          <w:shd w:color="auto" w:fill="auto" w:val="clear"/>
          <w:vAlign w:val="center"/>
        </w:tcPr>
        <w:p>
          <w:pPr>
            <w:pStyle w:val="Normal"/>
            <w:tabs>
              <w:tab w:val="center" w:pos="4252" w:leader="none"/>
              <w:tab w:val="right" w:pos="8504" w:leader="none"/>
            </w:tabs>
            <w:suppressAutoHyphens w:val="true"/>
            <w:snapToGrid w:val="false"/>
            <w:spacing w:lineRule="auto" w:line="240" w:before="0" w:after="0"/>
            <w:jc w:val="center"/>
            <w:rPr>
              <w:rFonts w:ascii="Arial" w:hAnsi="Arial" w:eastAsia="Times New Roman" w:cs="Arial"/>
              <w:b/>
              <w:b/>
              <w:sz w:val="18"/>
              <w:szCs w:val="18"/>
              <w:lang w:eastAsia="ar-SA"/>
            </w:rPr>
          </w:pPr>
          <w:r>
            <w:rPr/>
            <w:drawing>
              <wp:inline distT="0" distB="0" distL="0" distR="0">
                <wp:extent cx="800100" cy="808990"/>
                <wp:effectExtent l="0" t="0" r="0" b="0"/>
                <wp:docPr id="1"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
                        <pic:cNvPicPr>
                          <a:picLocks noChangeAspect="1" noChangeArrowheads="1"/>
                        </pic:cNvPicPr>
                      </pic:nvPicPr>
                      <pic:blipFill>
                        <a:blip r:embed="rId1"/>
                        <a:stretch>
                          <a:fillRect/>
                        </a:stretch>
                      </pic:blipFill>
                      <pic:spPr bwMode="auto">
                        <a:xfrm>
                          <a:off x="0" y="0"/>
                          <a:ext cx="800100" cy="808990"/>
                        </a:xfrm>
                        <a:prstGeom prst="rect">
                          <a:avLst/>
                        </a:prstGeom>
                      </pic:spPr>
                    </pic:pic>
                  </a:graphicData>
                </a:graphic>
              </wp:inline>
            </w:drawing>
          </w:r>
        </w:p>
      </w:tc>
      <w:tc>
        <w:tcPr>
          <w:tcW w:w="7199" w:type="dxa"/>
          <w:tcBorders/>
          <w:shd w:color="auto" w:fill="auto" w:val="clear"/>
          <w:vAlign w:val="center"/>
        </w:tcPr>
        <w:p>
          <w:pPr>
            <w:pStyle w:val="Normal"/>
            <w:tabs>
              <w:tab w:val="right" w:pos="8504" w:leader="none"/>
            </w:tabs>
            <w:suppressAutoHyphens w:val="true"/>
            <w:snapToGrid w:val="false"/>
            <w:spacing w:lineRule="auto" w:line="240" w:before="0" w:after="0"/>
            <w:jc w:val="center"/>
            <w:rPr>
              <w:rFonts w:ascii="Arial" w:hAnsi="Arial" w:eastAsia="Times New Roman" w:cs="Arial"/>
              <w:b/>
              <w:b/>
              <w:sz w:val="18"/>
              <w:szCs w:val="18"/>
              <w:lang w:eastAsia="ar-SA"/>
            </w:rPr>
          </w:pPr>
          <w:r>
            <w:rPr>
              <w:rFonts w:eastAsia="Times New Roman" w:cs="Arial" w:ascii="Arial" w:hAnsi="Arial"/>
              <w:b/>
              <w:sz w:val="18"/>
              <w:szCs w:val="18"/>
              <w:lang w:eastAsia="ar-SA"/>
            </w:rPr>
            <w:t>MINISTÉRIO DA EDUCAÇÃO</w:t>
          </w:r>
        </w:p>
        <w:p>
          <w:pPr>
            <w:pStyle w:val="Normal"/>
            <w:tabs>
              <w:tab w:val="right" w:pos="8504" w:leader="none"/>
            </w:tabs>
            <w:suppressAutoHyphens w:val="true"/>
            <w:spacing w:lineRule="auto" w:line="240" w:before="0" w:after="0"/>
            <w:jc w:val="center"/>
            <w:rPr>
              <w:rFonts w:ascii="Arial" w:hAnsi="Arial" w:eastAsia="Times New Roman" w:cs="Arial"/>
              <w:b/>
              <w:b/>
              <w:sz w:val="20"/>
              <w:szCs w:val="20"/>
              <w:lang w:eastAsia="ar-SA"/>
            </w:rPr>
          </w:pPr>
          <w:r>
            <w:rPr>
              <w:rFonts w:eastAsia="Times New Roman" w:cs="Arial" w:ascii="Arial" w:hAnsi="Arial"/>
              <w:b/>
              <w:sz w:val="20"/>
              <w:szCs w:val="20"/>
              <w:lang w:eastAsia="ar-SA"/>
            </w:rPr>
            <w:t>UNIVERSIDADE FEDERAL DOS VALES DO JEQUITINHONHA E MUCURI</w:t>
          </w:r>
        </w:p>
        <w:p>
          <w:pPr>
            <w:pStyle w:val="Normal"/>
            <w:tabs>
              <w:tab w:val="right" w:pos="8504" w:leader="none"/>
            </w:tabs>
            <w:suppressAutoHyphens w:val="true"/>
            <w:spacing w:lineRule="auto" w:line="240" w:before="0" w:after="0"/>
            <w:jc w:val="center"/>
            <w:rPr>
              <w:rFonts w:ascii="Arial" w:hAnsi="Arial" w:eastAsia="Times New Roman" w:cs="Arial"/>
              <w:b/>
              <w:b/>
              <w:sz w:val="18"/>
              <w:szCs w:val="18"/>
              <w:lang w:eastAsia="ar-SA"/>
            </w:rPr>
          </w:pPr>
          <w:r>
            <w:rPr>
              <w:rFonts w:eastAsia="Times New Roman" w:cs="Arial" w:ascii="Arial" w:hAnsi="Arial"/>
              <w:b/>
              <w:sz w:val="18"/>
              <w:szCs w:val="18"/>
              <w:lang w:eastAsia="ar-SA"/>
            </w:rPr>
            <w:t>DIAMANTINA – MINAS GERAIS</w:t>
          </w:r>
        </w:p>
        <w:p>
          <w:pPr>
            <w:pStyle w:val="Normal"/>
            <w:tabs>
              <w:tab w:val="right" w:pos="8504" w:leader="none"/>
            </w:tabs>
            <w:suppressAutoHyphens w:val="true"/>
            <w:spacing w:lineRule="auto" w:line="240" w:before="0" w:after="0"/>
            <w:jc w:val="center"/>
            <w:rPr>
              <w:rFonts w:ascii="Arial" w:hAnsi="Arial" w:eastAsia="Times New Roman" w:cs="Arial"/>
              <w:b/>
              <w:b/>
              <w:sz w:val="18"/>
              <w:szCs w:val="18"/>
              <w:lang w:eastAsia="ar-SA"/>
            </w:rPr>
          </w:pPr>
          <w:r>
            <w:rPr>
              <w:rFonts w:eastAsia="Times New Roman" w:cs="Arial" w:ascii="Arial" w:hAnsi="Arial"/>
              <w:b/>
              <w:sz w:val="18"/>
              <w:szCs w:val="18"/>
              <w:lang w:eastAsia="ar-SA"/>
            </w:rPr>
            <w:t>FACULDADE INTERDISCIPLINAR EM HUMANIDADES</w:t>
          </w:r>
        </w:p>
        <w:p>
          <w:pPr>
            <w:pStyle w:val="Normal"/>
            <w:tabs>
              <w:tab w:val="right" w:pos="8504" w:leader="none"/>
            </w:tabs>
            <w:suppressAutoHyphens w:val="true"/>
            <w:spacing w:lineRule="auto" w:line="240" w:before="0" w:after="0"/>
            <w:jc w:val="center"/>
            <w:rPr>
              <w:rFonts w:ascii="Arial" w:hAnsi="Arial" w:eastAsia="Times New Roman" w:cs="Arial"/>
              <w:b/>
              <w:b/>
              <w:sz w:val="18"/>
              <w:szCs w:val="18"/>
              <w:lang w:eastAsia="ar-SA"/>
            </w:rPr>
          </w:pPr>
          <w:r>
            <w:rPr>
              <w:rFonts w:eastAsia="Times New Roman" w:cs="Arial" w:ascii="Arial" w:hAnsi="Arial"/>
              <w:b/>
              <w:sz w:val="18"/>
              <w:szCs w:val="18"/>
              <w:lang w:eastAsia="ar-SA"/>
            </w:rPr>
          </w:r>
        </w:p>
        <w:p>
          <w:pPr>
            <w:pStyle w:val="Normal"/>
            <w:tabs>
              <w:tab w:val="right" w:pos="8504" w:leader="none"/>
            </w:tabs>
            <w:suppressAutoHyphens w:val="true"/>
            <w:spacing w:lineRule="auto" w:line="240" w:before="0" w:after="0"/>
            <w:jc w:val="center"/>
            <w:rPr>
              <w:rFonts w:ascii="Arial" w:hAnsi="Arial" w:eastAsia="Times New Roman" w:cs="Arial"/>
              <w:b/>
              <w:b/>
              <w:sz w:val="16"/>
              <w:szCs w:val="16"/>
              <w:lang w:eastAsia="ar-SA"/>
            </w:rPr>
          </w:pPr>
          <w:r>
            <w:rPr>
              <w:rFonts w:eastAsia="Times New Roman" w:cs="Arial" w:ascii="Arial" w:hAnsi="Arial"/>
              <w:b/>
              <w:sz w:val="16"/>
              <w:szCs w:val="16"/>
              <w:lang w:eastAsia="ar-SA"/>
            </w:rPr>
          </w:r>
        </w:p>
        <w:p>
          <w:pPr>
            <w:pStyle w:val="Normal"/>
            <w:tabs>
              <w:tab w:val="right" w:pos="8504" w:leader="none"/>
            </w:tabs>
            <w:suppressAutoHyphens w:val="true"/>
            <w:spacing w:lineRule="auto" w:line="240" w:before="0" w:after="0"/>
            <w:jc w:val="center"/>
            <w:rPr>
              <w:rFonts w:ascii="Arial" w:hAnsi="Arial" w:eastAsia="Times New Roman" w:cs="Arial"/>
              <w:b/>
              <w:b/>
              <w:sz w:val="16"/>
              <w:szCs w:val="16"/>
              <w:lang w:eastAsia="ar-SA"/>
            </w:rPr>
          </w:pPr>
          <w:r>
            <w:rPr>
              <w:rFonts w:eastAsia="Times New Roman" w:cs="Arial" w:ascii="Arial" w:hAnsi="Arial"/>
              <w:b/>
              <w:sz w:val="16"/>
              <w:szCs w:val="16"/>
              <w:lang w:eastAsia="ar-SA"/>
            </w:rPr>
          </w:r>
        </w:p>
      </w:tc>
      <w:tc>
        <w:tcPr>
          <w:tcW w:w="1622" w:type="dxa"/>
          <w:tcBorders/>
          <w:shd w:color="auto" w:fill="auto" w:val="clear"/>
          <w:vAlign w:val="center"/>
        </w:tcPr>
        <w:p>
          <w:pPr>
            <w:pStyle w:val="Normal"/>
            <w:tabs>
              <w:tab w:val="center" w:pos="4252" w:leader="none"/>
              <w:tab w:val="right" w:pos="8504" w:leader="none"/>
            </w:tabs>
            <w:suppressAutoHyphens w:val="true"/>
            <w:snapToGrid w:val="false"/>
            <w:spacing w:lineRule="auto" w:line="240" w:before="0" w:after="0"/>
            <w:jc w:val="center"/>
            <w:rPr>
              <w:rFonts w:ascii="Times New Roman" w:hAnsi="Times New Roman" w:eastAsia="Times New Roman" w:cs="Times New Roman"/>
              <w:sz w:val="24"/>
              <w:szCs w:val="24"/>
              <w:lang w:eastAsia="ar-SA"/>
            </w:rPr>
          </w:pPr>
          <w:r>
            <w:rPr/>
            <w:drawing>
              <wp:inline distT="0" distB="0" distL="0" distR="7620">
                <wp:extent cx="887730" cy="685800"/>
                <wp:effectExtent l="0" t="0" r="0" b="0"/>
                <wp:docPr id="2"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1" descr=""/>
                        <pic:cNvPicPr>
                          <a:picLocks noChangeAspect="1" noChangeArrowheads="1"/>
                        </pic:cNvPicPr>
                      </pic:nvPicPr>
                      <pic:blipFill>
                        <a:blip r:embed="rId2"/>
                        <a:stretch>
                          <a:fillRect/>
                        </a:stretch>
                      </pic:blipFill>
                      <pic:spPr bwMode="auto">
                        <a:xfrm>
                          <a:off x="0" y="0"/>
                          <a:ext cx="887730" cy="685800"/>
                        </a:xfrm>
                        <a:prstGeom prst="rect">
                          <a:avLst/>
                        </a:prstGeom>
                      </pic:spPr>
                    </pic:pic>
                  </a:graphicData>
                </a:graphic>
              </wp:inline>
            </w:drawing>
          </w:r>
        </w:p>
      </w:tc>
    </w:tr>
  </w:tbl>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360" w:hanging="360"/>
      </w:pPr>
      <w:rPr>
        <w:b/>
        <w:rFonts w:ascii="Arial" w:hAnsi="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lowerLetter"/>
      <w:lvlText w:val="%1)"/>
      <w:lvlJc w:val="left"/>
      <w:pPr>
        <w:ind w:left="360" w:hanging="360"/>
      </w:p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lvl w:ilvl="0">
      <w:start w:val="1"/>
      <w:numFmt w:val="lowerLetter"/>
      <w:lvlText w:val="%1)"/>
      <w:lvlJc w:val="left"/>
      <w:pPr>
        <w:ind w:left="360" w:hanging="360"/>
      </w:pPr>
    </w:lvl>
    <w:lvl w:ilvl="1">
      <w:start w:val="3"/>
      <w:numFmt w:val="bullet"/>
      <w:lvlText w:val=""/>
      <w:lvlJc w:val="left"/>
      <w:pPr>
        <w:ind w:left="1080" w:hanging="360"/>
      </w:pPr>
      <w:rPr>
        <w:rFonts w:ascii="Symbol" w:hAnsi="Symbol" w:cs="Symbol" w:hint="default"/>
        <w:rFonts w:cs="Arial"/>
      </w:rPr>
    </w:lvl>
    <w:lvl w:ilvl="2">
      <w:start w:val="10"/>
      <w:numFmt w:val="bullet"/>
      <w:lvlText w:val="•"/>
      <w:lvlJc w:val="left"/>
      <w:pPr>
        <w:ind w:left="1980" w:hanging="360"/>
      </w:pPr>
      <w:rPr>
        <w:rFonts w:ascii="Arial" w:hAnsi="Arial" w:cs="Arial" w:hint="default"/>
        <w:rFonts w:cs="Arial"/>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1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11">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lvl w:ilvl="0">
      <w:start w:val="1"/>
      <w:numFmt w:val="upperRoman"/>
      <w:lvlText w:val="%1."/>
      <w:lvlJc w:val="left"/>
      <w:pPr>
        <w:ind w:left="1428" w:hanging="72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20"/>
  <w:defaultTabStop w:val="709"/>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List" w:uiPriority="0"/>
    <w:lsdException w:name="Title" w:uiPriority="0" w:semiHidden="0" w:unhideWhenUsed="0" w:qFormat="1"/>
    <w:lsdException w:name="Default Paragraph Font" w:uiPriority="1"/>
    <w:lsdException w:name="Body Text" w:uiPriority="0"/>
    <w:lsdException w:name="Body Text Indent" w:uiPriority="0"/>
    <w:lsdException w:name="Subtitle" w:uiPriority="11" w:semiHidden="0" w:unhideWhenUsed="0" w:qFormat="1"/>
    <w:lsdException w:name="Body Text 2" w:uiPriority="0"/>
    <w:lsdException w:name="Hyperlink" w:uiPriority="0"/>
    <w:lsdException w:name="FollowedHyperlink" w:uiPriority="0"/>
    <w:lsdException w:name="Strong" w:uiPriority="22" w:semiHidden="0" w:unhideWhenUsed="0" w:qFormat="1"/>
    <w:lsdException w:name="Emphasis" w:uiPriority="0" w:semiHidden="0" w:unhideWhenUsed="0" w:qFormat="1"/>
    <w:lsdException w:name="Plain Text" w:uiPriority="0"/>
    <w:lsdException w:name="annotation subject" w:uiPriority="0"/>
    <w:lsdException w:name="Balloon Text" w:uiPriority="0"/>
    <w:lsdException w:name="Table Grid" w:uiPriority="39" w:semiHidden="0" w:unhideWhenUsed="0"/>
    <w:lsdException w:name="Placeholder Text" w:unhideWhenUsed="0"/>
    <w:lsdException w:name="No Spacing" w:uiPriority="0"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iPriority="0"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pt-BR" w:eastAsia="en-US" w:bidi="ar-SA"/>
    </w:rPr>
  </w:style>
  <w:style w:type="paragraph" w:styleId="Ttulo1">
    <w:name w:val="Heading 1"/>
    <w:basedOn w:val="Normal"/>
    <w:next w:val="Normal"/>
    <w:link w:val="Ttulo1Char"/>
    <w:qFormat/>
    <w:rsid w:val="00a24883"/>
    <w:pPr>
      <w:keepNext/>
      <w:keepLines/>
      <w:tabs>
        <w:tab w:val="left" w:pos="432" w:leader="none"/>
      </w:tabs>
      <w:suppressAutoHyphens w:val="true"/>
      <w:spacing w:before="480" w:after="0"/>
      <w:ind w:left="432" w:hanging="432"/>
      <w:outlineLvl w:val="0"/>
    </w:pPr>
    <w:rPr>
      <w:rFonts w:ascii="Cambria" w:hAnsi="Cambria" w:eastAsia="Times New Roman" w:cs="Times New Roman"/>
      <w:b/>
      <w:bCs/>
      <w:color w:val="365F91"/>
      <w:sz w:val="28"/>
      <w:szCs w:val="28"/>
      <w:lang w:eastAsia="zh-CN"/>
    </w:rPr>
  </w:style>
  <w:style w:type="paragraph" w:styleId="Ttulo2">
    <w:name w:val="Heading 2"/>
    <w:link w:val="Ttulo2Char"/>
    <w:qFormat/>
    <w:rsid w:val="00a24883"/>
    <w:pPr>
      <w:keepNext/>
      <w:widowControl w:val="false"/>
      <w:tabs>
        <w:tab w:val="left" w:pos="576" w:leader="none"/>
      </w:tabs>
      <w:ind w:left="576" w:hanging="576"/>
      <w:jc w:val="center"/>
      <w:outlineLvl w:val="1"/>
    </w:pPr>
    <w:rPr>
      <w:rFonts w:ascii="Arial" w:hAnsi="Arial" w:eastAsia="Lucida Sans Unicode" w:cs="Arial"/>
      <w:color w:val="auto"/>
      <w:sz w:val="24"/>
      <w:szCs w:val="20"/>
      <w:lang w:val="pt-BR" w:eastAsia="en-US" w:bidi="ar-SA"/>
    </w:rPr>
  </w:style>
  <w:style w:type="paragraph" w:styleId="Ttulo4">
    <w:name w:val="Heading 4"/>
    <w:link w:val="Ttulo4Char"/>
    <w:qFormat/>
    <w:rsid w:val="00a24883"/>
    <w:pPr>
      <w:keepNext/>
      <w:widowControl w:val="false"/>
      <w:tabs>
        <w:tab w:val="left" w:pos="864" w:leader="none"/>
      </w:tabs>
      <w:ind w:firstLine="1701"/>
      <w:outlineLvl w:val="3"/>
    </w:pPr>
    <w:rPr>
      <w:rFonts w:ascii="Arial" w:hAnsi="Arial" w:eastAsia="Lucida Sans Unicode" w:cs="Arial"/>
      <w:b/>
      <w:color w:val="auto"/>
      <w:sz w:val="24"/>
      <w:szCs w:val="20"/>
      <w:lang w:val="pt-BR" w:eastAsia="en-US" w:bidi="ar-SA"/>
    </w:rPr>
  </w:style>
  <w:style w:type="paragraph" w:styleId="Ttulo5">
    <w:name w:val="Heading 5"/>
    <w:link w:val="Ttulo5Char"/>
    <w:qFormat/>
    <w:rsid w:val="00a24883"/>
    <w:pPr>
      <w:keepNext/>
      <w:widowControl w:val="false"/>
      <w:tabs>
        <w:tab w:val="left" w:pos="1008" w:leader="none"/>
      </w:tabs>
      <w:ind w:firstLine="1701"/>
      <w:jc w:val="both"/>
      <w:outlineLvl w:val="4"/>
    </w:pPr>
    <w:rPr>
      <w:rFonts w:ascii="Arial" w:hAnsi="Arial" w:eastAsia="Lucida Sans Unicode" w:cs="Arial"/>
      <w:b/>
      <w:color w:val="auto"/>
      <w:sz w:val="24"/>
      <w:szCs w:val="20"/>
      <w:lang w:val="pt-BR" w:eastAsia="en-US" w:bidi="ar-SA"/>
    </w:rPr>
  </w:style>
  <w:style w:type="paragraph" w:styleId="Ttulo8">
    <w:name w:val="Heading 8"/>
    <w:link w:val="Ttulo8Char"/>
    <w:qFormat/>
    <w:rsid w:val="00a24883"/>
    <w:pPr>
      <w:keepNext/>
      <w:widowControl w:val="false"/>
      <w:tabs>
        <w:tab w:val="left" w:pos="1440" w:leader="none"/>
      </w:tabs>
      <w:ind w:firstLine="1701"/>
      <w:jc w:val="center"/>
      <w:outlineLvl w:val="7"/>
    </w:pPr>
    <w:rPr>
      <w:rFonts w:ascii="Arial" w:hAnsi="Arial" w:eastAsia="Lucida Sans Unicode" w:cs="Arial"/>
      <w:b/>
      <w:color w:val="auto"/>
      <w:sz w:val="24"/>
      <w:szCs w:val="20"/>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0f2f05"/>
    <w:rPr/>
  </w:style>
  <w:style w:type="character" w:styleId="RodapChar" w:customStyle="1">
    <w:name w:val="Rodapé Char"/>
    <w:basedOn w:val="DefaultParagraphFont"/>
    <w:link w:val="Rodap"/>
    <w:qFormat/>
    <w:rsid w:val="000f2f05"/>
    <w:rPr/>
  </w:style>
  <w:style w:type="character" w:styleId="TextodebaloChar" w:customStyle="1">
    <w:name w:val="Texto de balão Char"/>
    <w:basedOn w:val="DefaultParagraphFont"/>
    <w:link w:val="Textodebalo"/>
    <w:qFormat/>
    <w:rsid w:val="000f2f05"/>
    <w:rPr>
      <w:rFonts w:ascii="Tahoma" w:hAnsi="Tahoma" w:cs="Tahoma"/>
      <w:sz w:val="16"/>
      <w:szCs w:val="16"/>
    </w:rPr>
  </w:style>
  <w:style w:type="character" w:styleId="Footnotereference">
    <w:name w:val="footnote reference"/>
    <w:qFormat/>
    <w:rsid w:val="00ad7234"/>
    <w:rPr>
      <w:vertAlign w:val="superscript"/>
    </w:rPr>
  </w:style>
  <w:style w:type="character" w:styleId="TextodenotaderodapChar" w:customStyle="1">
    <w:name w:val="Texto de nota de rodapé Char"/>
    <w:basedOn w:val="DefaultParagraphFont"/>
    <w:link w:val="Textodenotaderodap"/>
    <w:qFormat/>
    <w:rsid w:val="00ad7234"/>
    <w:rPr>
      <w:rFonts w:ascii="Times New Roman" w:hAnsi="Times New Roman" w:eastAsia="Times New Roman" w:cs="Times New Roman"/>
      <w:sz w:val="20"/>
      <w:szCs w:val="20"/>
      <w:lang w:val="x-none" w:eastAsia="ar-SA"/>
    </w:rPr>
  </w:style>
  <w:style w:type="character" w:styleId="LinkdaInternet" w:customStyle="1">
    <w:name w:val="Link da Internet"/>
    <w:basedOn w:val="DefaultParagraphFont"/>
    <w:rsid w:val="000b02fc"/>
    <w:rPr>
      <w:color w:val="0000FF"/>
      <w:u w:val="single"/>
      <w:lang w:val="pt-BR" w:eastAsia="pt-BR" w:bidi="pt-BR"/>
    </w:rPr>
  </w:style>
  <w:style w:type="character" w:styleId="Nfase">
    <w:name w:val="Ênfase"/>
    <w:qFormat/>
    <w:rsid w:val="003518cb"/>
    <w:rPr>
      <w:i/>
      <w:iCs/>
    </w:rPr>
  </w:style>
  <w:style w:type="character" w:styleId="Annotationreference">
    <w:name w:val="annotation reference"/>
    <w:basedOn w:val="DefaultParagraphFont"/>
    <w:uiPriority w:val="99"/>
    <w:unhideWhenUsed/>
    <w:qFormat/>
    <w:rsid w:val="00235e68"/>
    <w:rPr>
      <w:sz w:val="16"/>
      <w:szCs w:val="16"/>
    </w:rPr>
  </w:style>
  <w:style w:type="character" w:styleId="TextodecomentrioChar" w:customStyle="1">
    <w:name w:val="Texto de comentário Char"/>
    <w:basedOn w:val="DefaultParagraphFont"/>
    <w:link w:val="Textodecomentrio"/>
    <w:qFormat/>
    <w:rsid w:val="00235e68"/>
    <w:rPr>
      <w:sz w:val="20"/>
      <w:szCs w:val="20"/>
    </w:rPr>
  </w:style>
  <w:style w:type="character" w:styleId="AssuntodocomentrioChar" w:customStyle="1">
    <w:name w:val="Assunto do comentário Char"/>
    <w:basedOn w:val="TextodecomentrioChar"/>
    <w:link w:val="Assuntodocomentrio"/>
    <w:qFormat/>
    <w:rsid w:val="00235e68"/>
    <w:rPr>
      <w:b/>
      <w:bCs/>
      <w:sz w:val="20"/>
      <w:szCs w:val="20"/>
    </w:rPr>
  </w:style>
  <w:style w:type="character" w:styleId="Heading7Char" w:customStyle="1">
    <w:name w:val="Heading 7 Char"/>
    <w:qFormat/>
    <w:locked/>
    <w:rsid w:val="00107cb0"/>
    <w:rPr>
      <w:rFonts w:ascii="Calibri" w:hAnsi="Calibri" w:cs="Times New Roman"/>
      <w:sz w:val="24"/>
      <w:szCs w:val="24"/>
      <w:lang w:eastAsia="en-US"/>
    </w:rPr>
  </w:style>
  <w:style w:type="character" w:styleId="Conteudo" w:customStyle="1">
    <w:name w:val="conteudo"/>
    <w:basedOn w:val="DefaultParagraphFont"/>
    <w:qFormat/>
    <w:rsid w:val="00526946"/>
    <w:rPr/>
  </w:style>
  <w:style w:type="character" w:styleId="Appleconvertedspace" w:customStyle="1">
    <w:name w:val="apple-converted-space"/>
    <w:basedOn w:val="DefaultParagraphFont"/>
    <w:qFormat/>
    <w:rsid w:val="00526946"/>
    <w:rPr/>
  </w:style>
  <w:style w:type="character" w:styleId="Txtarial8ptgray" w:customStyle="1">
    <w:name w:val="txt_arial_8pt_gray"/>
    <w:basedOn w:val="DefaultParagraphFont"/>
    <w:qFormat/>
    <w:rsid w:val="00526946"/>
    <w:rPr/>
  </w:style>
  <w:style w:type="character" w:styleId="Strong">
    <w:name w:val="Strong"/>
    <w:basedOn w:val="DefaultParagraphFont"/>
    <w:uiPriority w:val="22"/>
    <w:qFormat/>
    <w:rsid w:val="00526946"/>
    <w:rPr>
      <w:b/>
      <w:bCs/>
    </w:rPr>
  </w:style>
  <w:style w:type="character" w:styleId="Corpodetexto2Char" w:customStyle="1">
    <w:name w:val="Corpo de texto 2 Char"/>
    <w:basedOn w:val="DefaultParagraphFont"/>
    <w:link w:val="Corpodetexto2"/>
    <w:qFormat/>
    <w:rsid w:val="00526946"/>
    <w:rPr>
      <w:rFonts w:eastAsia="" w:eastAsiaTheme="minorEastAsia"/>
      <w:lang w:eastAsia="pt-BR"/>
    </w:rPr>
  </w:style>
  <w:style w:type="character" w:styleId="CorpodetextoChar" w:customStyle="1">
    <w:name w:val="Corpo de texto Char"/>
    <w:basedOn w:val="DefaultParagraphFont"/>
    <w:link w:val="Corpodetexto"/>
    <w:qFormat/>
    <w:rsid w:val="00526946"/>
    <w:rPr/>
  </w:style>
  <w:style w:type="character" w:styleId="Nfaseforte" w:customStyle="1">
    <w:name w:val="Ênfase forte"/>
    <w:qFormat/>
    <w:rsid w:val="000b02fc"/>
    <w:rPr>
      <w:b/>
      <w:bCs/>
    </w:rPr>
  </w:style>
  <w:style w:type="character" w:styleId="ListLabel1" w:customStyle="1">
    <w:name w:val="ListLabel 1"/>
    <w:qFormat/>
    <w:rsid w:val="000b02fc"/>
    <w:rPr>
      <w:color w:val="00000A"/>
    </w:rPr>
  </w:style>
  <w:style w:type="character" w:styleId="ListLabel2" w:customStyle="1">
    <w:name w:val="ListLabel 2"/>
    <w:qFormat/>
    <w:rsid w:val="000b02fc"/>
    <w:rPr>
      <w:rFonts w:cs="Times New Roman"/>
    </w:rPr>
  </w:style>
  <w:style w:type="character" w:styleId="ListLabel3" w:customStyle="1">
    <w:name w:val="ListLabel 3"/>
    <w:qFormat/>
    <w:rsid w:val="000b02fc"/>
    <w:rPr>
      <w:rFonts w:cs="Courier New"/>
    </w:rPr>
  </w:style>
  <w:style w:type="character" w:styleId="ListLabel4" w:customStyle="1">
    <w:name w:val="ListLabel 4"/>
    <w:qFormat/>
    <w:rsid w:val="000b02fc"/>
    <w:rPr>
      <w:rFonts w:cs="Wingdings"/>
      <w:color w:val="00000A"/>
    </w:rPr>
  </w:style>
  <w:style w:type="character" w:styleId="ListLabel5" w:customStyle="1">
    <w:name w:val="ListLabel 5"/>
    <w:qFormat/>
    <w:rsid w:val="000b02fc"/>
    <w:rPr>
      <w:rFonts w:cs="Symbol"/>
    </w:rPr>
  </w:style>
  <w:style w:type="character" w:styleId="ListLabel6" w:customStyle="1">
    <w:name w:val="ListLabel 6"/>
    <w:qFormat/>
    <w:rsid w:val="000b02fc"/>
    <w:rPr>
      <w:rFonts w:cs="Courier New"/>
    </w:rPr>
  </w:style>
  <w:style w:type="character" w:styleId="ListLabel7" w:customStyle="1">
    <w:name w:val="ListLabel 7"/>
    <w:qFormat/>
    <w:rsid w:val="000b02fc"/>
    <w:rPr>
      <w:rFonts w:cs="Wingdings"/>
    </w:rPr>
  </w:style>
  <w:style w:type="character" w:styleId="Smbolosdenumerao" w:customStyle="1">
    <w:name w:val="Símbolos de numeração"/>
    <w:qFormat/>
    <w:rsid w:val="000b02fc"/>
    <w:rPr/>
  </w:style>
  <w:style w:type="character" w:styleId="TtuloChar" w:customStyle="1">
    <w:name w:val="Título Char"/>
    <w:basedOn w:val="DefaultParagraphFont"/>
    <w:link w:val="Ttulo"/>
    <w:qFormat/>
    <w:rsid w:val="000b02fc"/>
    <w:rPr>
      <w:rFonts w:ascii="Arial" w:hAnsi="Arial" w:eastAsia="Microsoft YaHei" w:cs="Mangal"/>
      <w:color w:val="000000"/>
      <w:sz w:val="28"/>
      <w:szCs w:val="28"/>
      <w:lang w:eastAsia="pt-BR"/>
    </w:rPr>
  </w:style>
  <w:style w:type="character" w:styleId="CorpodetextoChar1" w:customStyle="1">
    <w:name w:val="Corpo de texto Char1"/>
    <w:basedOn w:val="DefaultParagraphFont"/>
    <w:qFormat/>
    <w:rsid w:val="000b02fc"/>
    <w:rPr>
      <w:rFonts w:ascii="Times New Roman" w:hAnsi="Times New Roman" w:eastAsia="Times New Roman"/>
      <w:color w:val="000000"/>
      <w:sz w:val="24"/>
      <w:szCs w:val="24"/>
    </w:rPr>
  </w:style>
  <w:style w:type="character" w:styleId="CabealhoChar1" w:customStyle="1">
    <w:name w:val="Cabeçalho Char1"/>
    <w:basedOn w:val="DefaultParagraphFont"/>
    <w:qFormat/>
    <w:rsid w:val="000b02fc"/>
    <w:rPr>
      <w:rFonts w:ascii="Times New Roman" w:hAnsi="Times New Roman" w:eastAsia="Times New Roman"/>
      <w:color w:val="000000"/>
      <w:sz w:val="24"/>
      <w:szCs w:val="24"/>
    </w:rPr>
  </w:style>
  <w:style w:type="character" w:styleId="RodapChar1" w:customStyle="1">
    <w:name w:val="Rodapé Char1"/>
    <w:basedOn w:val="DefaultParagraphFont"/>
    <w:qFormat/>
    <w:rsid w:val="000b02fc"/>
    <w:rPr>
      <w:rFonts w:ascii="Times New Roman" w:hAnsi="Times New Roman" w:eastAsia="Times New Roman"/>
      <w:color w:val="000000"/>
      <w:sz w:val="24"/>
      <w:szCs w:val="24"/>
    </w:rPr>
  </w:style>
  <w:style w:type="character" w:styleId="TextodebaloChar1" w:customStyle="1">
    <w:name w:val="Texto de balão Char1"/>
    <w:basedOn w:val="DefaultParagraphFont"/>
    <w:qFormat/>
    <w:rsid w:val="000b02fc"/>
    <w:rPr>
      <w:rFonts w:ascii="Tahoma" w:hAnsi="Tahoma" w:eastAsia="Times New Roman" w:cs="Tahoma"/>
      <w:color w:val="000000"/>
      <w:sz w:val="16"/>
      <w:szCs w:val="16"/>
    </w:rPr>
  </w:style>
  <w:style w:type="character" w:styleId="TextodenotaderodapChar1" w:customStyle="1">
    <w:name w:val="Texto de nota de rodapé Char1"/>
    <w:basedOn w:val="DefaultParagraphFont"/>
    <w:qFormat/>
    <w:rsid w:val="000b02fc"/>
    <w:rPr>
      <w:rFonts w:ascii="Times New Roman" w:hAnsi="Times New Roman" w:eastAsia="Times New Roman"/>
      <w:color w:val="000000"/>
      <w:lang w:val="en-US" w:eastAsia="ar-SA"/>
    </w:rPr>
  </w:style>
  <w:style w:type="character" w:styleId="TextodecomentrioChar1" w:customStyle="1">
    <w:name w:val="Texto de comentário Char1"/>
    <w:basedOn w:val="DefaultParagraphFont"/>
    <w:qFormat/>
    <w:rsid w:val="000b02fc"/>
    <w:rPr>
      <w:rFonts w:ascii="Times New Roman" w:hAnsi="Times New Roman" w:eastAsia="Times New Roman"/>
      <w:color w:val="000000"/>
    </w:rPr>
  </w:style>
  <w:style w:type="character" w:styleId="AssuntodocomentrioChar1" w:customStyle="1">
    <w:name w:val="Assunto do comentário Char1"/>
    <w:basedOn w:val="TextodecomentrioChar1"/>
    <w:qFormat/>
    <w:rsid w:val="000b02fc"/>
    <w:rPr>
      <w:rFonts w:ascii="Times New Roman" w:hAnsi="Times New Roman" w:eastAsia="Times New Roman"/>
      <w:b/>
      <w:bCs/>
      <w:color w:val="000000"/>
    </w:rPr>
  </w:style>
  <w:style w:type="character" w:styleId="Corpodetexto2Char1" w:customStyle="1">
    <w:name w:val="Corpo de texto 2 Char1"/>
    <w:basedOn w:val="DefaultParagraphFont"/>
    <w:qFormat/>
    <w:rsid w:val="000b02fc"/>
    <w:rPr>
      <w:rFonts w:ascii="Times New Roman" w:hAnsi="Times New Roman" w:eastAsia="Times New Roman"/>
      <w:color w:val="000000"/>
      <w:sz w:val="24"/>
      <w:szCs w:val="24"/>
    </w:rPr>
  </w:style>
  <w:style w:type="character" w:styleId="TextosemFormataoChar" w:customStyle="1">
    <w:name w:val="Texto sem Formatação Char"/>
    <w:basedOn w:val="DefaultParagraphFont"/>
    <w:link w:val="TextosemFormatao"/>
    <w:qFormat/>
    <w:rsid w:val="00c62e26"/>
    <w:rPr>
      <w:rFonts w:ascii="Courier New" w:hAnsi="Courier New" w:eastAsia="Times New Roman" w:cs="Times New Roman"/>
      <w:sz w:val="20"/>
      <w:szCs w:val="20"/>
      <w:lang w:eastAsia="pt-BR"/>
    </w:rPr>
  </w:style>
  <w:style w:type="character" w:styleId="MenoPendente1" w:customStyle="1">
    <w:name w:val="Menção Pendente1"/>
    <w:basedOn w:val="DefaultParagraphFont"/>
    <w:uiPriority w:val="99"/>
    <w:semiHidden/>
    <w:unhideWhenUsed/>
    <w:qFormat/>
    <w:rsid w:val="00e808a8"/>
    <w:rPr>
      <w:color w:val="808080"/>
      <w:shd w:fill="E6E6E6" w:val="clear"/>
    </w:rPr>
  </w:style>
  <w:style w:type="character" w:styleId="Ttulo1Char" w:customStyle="1">
    <w:name w:val="Título 1 Char"/>
    <w:basedOn w:val="DefaultParagraphFont"/>
    <w:link w:val="Ttulo1"/>
    <w:qFormat/>
    <w:rsid w:val="00a24883"/>
    <w:rPr>
      <w:rFonts w:ascii="Cambria" w:hAnsi="Cambria" w:eastAsia="Times New Roman" w:cs="Times New Roman"/>
      <w:b/>
      <w:bCs/>
      <w:color w:val="365F91"/>
      <w:sz w:val="28"/>
      <w:szCs w:val="28"/>
      <w:lang w:eastAsia="zh-CN"/>
    </w:rPr>
  </w:style>
  <w:style w:type="character" w:styleId="Ttulo2Char" w:customStyle="1">
    <w:name w:val="Título 2 Char"/>
    <w:basedOn w:val="DefaultParagraphFont"/>
    <w:link w:val="Ttulo2"/>
    <w:qFormat/>
    <w:rsid w:val="00a24883"/>
    <w:rPr>
      <w:rFonts w:ascii="Arial" w:hAnsi="Arial" w:eastAsia="Lucida Sans Unicode" w:cs="Arial"/>
      <w:sz w:val="24"/>
      <w:szCs w:val="20"/>
      <w:lang w:eastAsia="zh-CN"/>
    </w:rPr>
  </w:style>
  <w:style w:type="character" w:styleId="Ttulo4Char" w:customStyle="1">
    <w:name w:val="Título 4 Char"/>
    <w:basedOn w:val="DefaultParagraphFont"/>
    <w:link w:val="Ttulo4"/>
    <w:qFormat/>
    <w:rsid w:val="00a24883"/>
    <w:rPr>
      <w:rFonts w:ascii="Arial" w:hAnsi="Arial" w:eastAsia="Lucida Sans Unicode" w:cs="Arial"/>
      <w:b/>
      <w:sz w:val="24"/>
      <w:szCs w:val="20"/>
      <w:lang w:eastAsia="zh-CN"/>
    </w:rPr>
  </w:style>
  <w:style w:type="character" w:styleId="Ttulo5Char" w:customStyle="1">
    <w:name w:val="Título 5 Char"/>
    <w:basedOn w:val="DefaultParagraphFont"/>
    <w:link w:val="Ttulo5"/>
    <w:qFormat/>
    <w:rsid w:val="00a24883"/>
    <w:rPr>
      <w:rFonts w:ascii="Arial" w:hAnsi="Arial" w:eastAsia="Lucida Sans Unicode" w:cs="Arial"/>
      <w:b/>
      <w:sz w:val="24"/>
      <w:szCs w:val="20"/>
      <w:lang w:eastAsia="zh-CN"/>
    </w:rPr>
  </w:style>
  <w:style w:type="character" w:styleId="Ttulo8Char" w:customStyle="1">
    <w:name w:val="Título 8 Char"/>
    <w:basedOn w:val="DefaultParagraphFont"/>
    <w:link w:val="Ttulo8"/>
    <w:qFormat/>
    <w:rsid w:val="00a24883"/>
    <w:rPr>
      <w:rFonts w:ascii="Arial" w:hAnsi="Arial" w:eastAsia="Lucida Sans Unicode" w:cs="Arial"/>
      <w:b/>
      <w:sz w:val="24"/>
      <w:szCs w:val="20"/>
      <w:lang w:eastAsia="zh-CN"/>
    </w:rPr>
  </w:style>
  <w:style w:type="character" w:styleId="WW8Num1z1" w:customStyle="1">
    <w:name w:val="WW8Num1z1"/>
    <w:qFormat/>
    <w:rsid w:val="00a24883"/>
    <w:rPr>
      <w:rFonts w:ascii="Symbol" w:hAnsi="Symbol" w:cs="Symbol"/>
    </w:rPr>
  </w:style>
  <w:style w:type="character" w:styleId="WW8Num2z1" w:customStyle="1">
    <w:name w:val="WW8Num2z1"/>
    <w:qFormat/>
    <w:rsid w:val="00a24883"/>
    <w:rPr>
      <w:rFonts w:ascii="Wingdings 2" w:hAnsi="Wingdings 2" w:cs="StarSymbol"/>
      <w:sz w:val="18"/>
      <w:szCs w:val="18"/>
    </w:rPr>
  </w:style>
  <w:style w:type="character" w:styleId="WW8Num2z2" w:customStyle="1">
    <w:name w:val="WW8Num2z2"/>
    <w:qFormat/>
    <w:rsid w:val="00a24883"/>
    <w:rPr>
      <w:rFonts w:ascii="StarSymbol" w:hAnsi="StarSymbol" w:cs="StarSymbol"/>
      <w:sz w:val="18"/>
      <w:szCs w:val="18"/>
    </w:rPr>
  </w:style>
  <w:style w:type="character" w:styleId="WW8Num2z3" w:customStyle="1">
    <w:name w:val="WW8Num2z3"/>
    <w:qFormat/>
    <w:rsid w:val="00a24883"/>
    <w:rPr>
      <w:rFonts w:ascii="Wingdings" w:hAnsi="Wingdings" w:cs="StarSymbol"/>
      <w:sz w:val="18"/>
      <w:szCs w:val="18"/>
    </w:rPr>
  </w:style>
  <w:style w:type="character" w:styleId="WW8Num3z1" w:customStyle="1">
    <w:name w:val="WW8Num3z1"/>
    <w:qFormat/>
    <w:rsid w:val="00a24883"/>
    <w:rPr>
      <w:rFonts w:ascii="Wingdings 2" w:hAnsi="Wingdings 2" w:cs="StarSymbol"/>
      <w:sz w:val="18"/>
      <w:szCs w:val="18"/>
    </w:rPr>
  </w:style>
  <w:style w:type="character" w:styleId="WW8Num3z2" w:customStyle="1">
    <w:name w:val="WW8Num3z2"/>
    <w:qFormat/>
    <w:rsid w:val="00a24883"/>
    <w:rPr>
      <w:rFonts w:ascii="StarSymbol" w:hAnsi="StarSymbol" w:cs="StarSymbol"/>
      <w:sz w:val="18"/>
      <w:szCs w:val="18"/>
    </w:rPr>
  </w:style>
  <w:style w:type="character" w:styleId="WW8Num3z3" w:customStyle="1">
    <w:name w:val="WW8Num3z3"/>
    <w:qFormat/>
    <w:rsid w:val="00a24883"/>
    <w:rPr>
      <w:rFonts w:ascii="Wingdings" w:hAnsi="Wingdings" w:cs="StarSymbol"/>
      <w:sz w:val="18"/>
      <w:szCs w:val="18"/>
    </w:rPr>
  </w:style>
  <w:style w:type="character" w:styleId="WW8Num4z1" w:customStyle="1">
    <w:name w:val="WW8Num4z1"/>
    <w:qFormat/>
    <w:rsid w:val="00a24883"/>
    <w:rPr>
      <w:rFonts w:ascii="Wingdings 2" w:hAnsi="Wingdings 2" w:cs="StarSymbol"/>
      <w:sz w:val="18"/>
      <w:szCs w:val="18"/>
    </w:rPr>
  </w:style>
  <w:style w:type="character" w:styleId="WW8Num4z2" w:customStyle="1">
    <w:name w:val="WW8Num4z2"/>
    <w:qFormat/>
    <w:rsid w:val="00a24883"/>
    <w:rPr>
      <w:rFonts w:ascii="StarSymbol" w:hAnsi="StarSymbol" w:cs="StarSymbol"/>
      <w:sz w:val="18"/>
      <w:szCs w:val="18"/>
    </w:rPr>
  </w:style>
  <w:style w:type="character" w:styleId="WW8Num4z3" w:customStyle="1">
    <w:name w:val="WW8Num4z3"/>
    <w:qFormat/>
    <w:rsid w:val="00a24883"/>
    <w:rPr>
      <w:rFonts w:ascii="Wingdings" w:hAnsi="Wingdings" w:cs="StarSymbol"/>
      <w:sz w:val="18"/>
      <w:szCs w:val="18"/>
    </w:rPr>
  </w:style>
  <w:style w:type="character" w:styleId="WW8Num5z1" w:customStyle="1">
    <w:name w:val="WW8Num5z1"/>
    <w:qFormat/>
    <w:rsid w:val="00a24883"/>
    <w:rPr>
      <w:rFonts w:ascii="Wingdings 2" w:hAnsi="Wingdings 2" w:cs="StarSymbol"/>
      <w:sz w:val="18"/>
      <w:szCs w:val="18"/>
    </w:rPr>
  </w:style>
  <w:style w:type="character" w:styleId="WW8Num5z2" w:customStyle="1">
    <w:name w:val="WW8Num5z2"/>
    <w:qFormat/>
    <w:rsid w:val="00a24883"/>
    <w:rPr>
      <w:rFonts w:ascii="StarSymbol" w:hAnsi="StarSymbol" w:cs="StarSymbol"/>
      <w:sz w:val="18"/>
      <w:szCs w:val="18"/>
    </w:rPr>
  </w:style>
  <w:style w:type="character" w:styleId="WW8Num5z3" w:customStyle="1">
    <w:name w:val="WW8Num5z3"/>
    <w:qFormat/>
    <w:rsid w:val="00a24883"/>
    <w:rPr>
      <w:rFonts w:ascii="Wingdings" w:hAnsi="Wingdings" w:cs="StarSymbol"/>
      <w:sz w:val="18"/>
      <w:szCs w:val="18"/>
    </w:rPr>
  </w:style>
  <w:style w:type="character" w:styleId="WW8Num9z0" w:customStyle="1">
    <w:name w:val="WW8Num9z0"/>
    <w:qFormat/>
    <w:rsid w:val="00a24883"/>
    <w:rPr>
      <w:rFonts w:ascii="Symbol" w:hAnsi="Symbol" w:cs="Symbol"/>
    </w:rPr>
  </w:style>
  <w:style w:type="character" w:styleId="WW8Num9z1" w:customStyle="1">
    <w:name w:val="WW8Num9z1"/>
    <w:qFormat/>
    <w:rsid w:val="00a24883"/>
    <w:rPr>
      <w:rFonts w:ascii="Courier New" w:hAnsi="Courier New" w:cs="Courier New"/>
    </w:rPr>
  </w:style>
  <w:style w:type="character" w:styleId="WW8Num9z2" w:customStyle="1">
    <w:name w:val="WW8Num9z2"/>
    <w:qFormat/>
    <w:rsid w:val="00a24883"/>
    <w:rPr>
      <w:rFonts w:ascii="Wingdings" w:hAnsi="Wingdings" w:cs="Wingdings"/>
    </w:rPr>
  </w:style>
  <w:style w:type="character" w:styleId="WW8Num11z0" w:customStyle="1">
    <w:name w:val="WW8Num11z0"/>
    <w:qFormat/>
    <w:rsid w:val="00a24883"/>
    <w:rPr>
      <w:rFonts w:ascii="Symbol" w:hAnsi="Symbol" w:cs="Symbol"/>
    </w:rPr>
  </w:style>
  <w:style w:type="character" w:styleId="WW8Num11z1" w:customStyle="1">
    <w:name w:val="WW8Num11z1"/>
    <w:qFormat/>
    <w:rsid w:val="00a24883"/>
    <w:rPr>
      <w:rFonts w:ascii="Courier New" w:hAnsi="Courier New" w:cs="Courier New"/>
    </w:rPr>
  </w:style>
  <w:style w:type="character" w:styleId="WW8Num11z2" w:customStyle="1">
    <w:name w:val="WW8Num11z2"/>
    <w:qFormat/>
    <w:rsid w:val="00a24883"/>
    <w:rPr>
      <w:rFonts w:ascii="Wingdings" w:hAnsi="Wingdings" w:cs="Wingdings"/>
    </w:rPr>
  </w:style>
  <w:style w:type="character" w:styleId="Fontepargpadro1" w:customStyle="1">
    <w:name w:val="Fonte parág. padrão1"/>
    <w:qFormat/>
    <w:rsid w:val="00a24883"/>
    <w:rPr/>
  </w:style>
  <w:style w:type="character" w:styleId="Refdecomentrio1" w:customStyle="1">
    <w:name w:val="Ref. de comentário1"/>
    <w:qFormat/>
    <w:rsid w:val="00a24883"/>
    <w:rPr>
      <w:sz w:val="16"/>
      <w:szCs w:val="16"/>
    </w:rPr>
  </w:style>
  <w:style w:type="character" w:styleId="CaracteresdeNotadeRodap" w:customStyle="1">
    <w:name w:val="Caracteres de Nota de Rodapé"/>
    <w:qFormat/>
    <w:rsid w:val="00a24883"/>
    <w:rPr/>
  </w:style>
  <w:style w:type="character" w:styleId="Marcadores" w:customStyle="1">
    <w:name w:val="Marcadores"/>
    <w:qFormat/>
    <w:rsid w:val="00a24883"/>
    <w:rPr>
      <w:rFonts w:ascii="StarSymbol" w:hAnsi="StarSymbol" w:eastAsia="StarSymbol" w:cs="StarSymbol"/>
      <w:sz w:val="18"/>
      <w:szCs w:val="18"/>
    </w:rPr>
  </w:style>
  <w:style w:type="character" w:styleId="WWLinkdaInternet" w:customStyle="1">
    <w:name w:val="WW-Link da Internet"/>
    <w:qFormat/>
    <w:rsid w:val="00a24883"/>
    <w:rPr>
      <w:color w:val="000080"/>
      <w:u w:val="single"/>
    </w:rPr>
  </w:style>
  <w:style w:type="character" w:styleId="FollowedHyperlink">
    <w:name w:val="FollowedHyperlink"/>
    <w:qFormat/>
    <w:rsid w:val="00a24883"/>
    <w:rPr>
      <w:color w:val="800000"/>
      <w:u w:val="single"/>
    </w:rPr>
  </w:style>
  <w:style w:type="character" w:styleId="CaracteresdeNotadeFim" w:customStyle="1">
    <w:name w:val="Caracteres de Nota de Fim"/>
    <w:qFormat/>
    <w:rsid w:val="00a24883"/>
    <w:rPr/>
  </w:style>
  <w:style w:type="character" w:styleId="Caracteresdenotaderodap1" w:customStyle="1">
    <w:name w:val="Caracteres de nota de rodapé"/>
    <w:qFormat/>
    <w:rsid w:val="00a24883"/>
    <w:rPr>
      <w:vertAlign w:val="superscript"/>
    </w:rPr>
  </w:style>
  <w:style w:type="character" w:styleId="RecuodecorpodetextoChar" w:customStyle="1">
    <w:name w:val="Recuo de corpo de texto Char"/>
    <w:basedOn w:val="DefaultParagraphFont"/>
    <w:link w:val="Recuodecorpodetexto"/>
    <w:qFormat/>
    <w:rsid w:val="00a24883"/>
    <w:rPr>
      <w:rFonts w:ascii="Arial" w:hAnsi="Arial" w:eastAsia="Lucida Sans Unicode" w:cs="Arial"/>
      <w:b/>
      <w:sz w:val="24"/>
      <w:szCs w:val="20"/>
      <w:lang w:eastAsia="zh-CN"/>
    </w:rPr>
  </w:style>
  <w:style w:type="character" w:styleId="ListLabel8">
    <w:name w:val="ListLabel 8"/>
    <w:qFormat/>
    <w:rPr>
      <w:rFonts w:ascii="Arial" w:hAnsi="Arial"/>
      <w:b/>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eastAsia="" w:cs="Arial"/>
    </w:rPr>
  </w:style>
  <w:style w:type="character" w:styleId="ListLabel13">
    <w:name w:val="ListLabel 13"/>
    <w:qFormat/>
    <w:rPr>
      <w:rFonts w:eastAsia="Calibri" w:cs="Arial"/>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color w:val="00000A"/>
    </w:rPr>
  </w:style>
  <w:style w:type="character" w:styleId="ListLabel24">
    <w:name w:val="ListLabel 24"/>
    <w:qFormat/>
    <w:rPr>
      <w:rFonts w:cs="Symbol"/>
    </w:rPr>
  </w:style>
  <w:style w:type="character" w:styleId="ListLabel25">
    <w:name w:val="ListLabel 25"/>
    <w:qFormat/>
    <w:rPr>
      <w:rFonts w:cs="Symbol"/>
    </w:rPr>
  </w:style>
  <w:style w:type="character" w:styleId="ListLabel26">
    <w:name w:val="ListLabel 26"/>
    <w:qFormat/>
    <w:rPr>
      <w:rFonts w:cs="StarSymbol"/>
      <w:sz w:val="18"/>
      <w:szCs w:val="18"/>
    </w:rPr>
  </w:style>
  <w:style w:type="character" w:styleId="ListLabel27">
    <w:name w:val="ListLabel 27"/>
    <w:qFormat/>
    <w:rPr>
      <w:rFonts w:cs="StarSymbol"/>
      <w:sz w:val="18"/>
      <w:szCs w:val="18"/>
    </w:rPr>
  </w:style>
  <w:style w:type="character" w:styleId="ListLabel28">
    <w:name w:val="ListLabel 28"/>
    <w:qFormat/>
    <w:rPr>
      <w:rFonts w:cs="StarSymbol"/>
      <w:sz w:val="18"/>
      <w:szCs w:val="18"/>
    </w:rPr>
  </w:style>
  <w:style w:type="character" w:styleId="ListLabel29">
    <w:name w:val="ListLabel 29"/>
    <w:qFormat/>
    <w:rPr>
      <w:rFonts w:cs="StarSymbol"/>
      <w:sz w:val="18"/>
      <w:szCs w:val="18"/>
    </w:rPr>
  </w:style>
  <w:style w:type="character" w:styleId="ListLabel30">
    <w:name w:val="ListLabel 30"/>
    <w:qFormat/>
    <w:rPr>
      <w:rFonts w:cs="StarSymbol"/>
      <w:sz w:val="18"/>
      <w:szCs w:val="18"/>
    </w:rPr>
  </w:style>
  <w:style w:type="character" w:styleId="ListLabel31">
    <w:name w:val="ListLabel 31"/>
    <w:qFormat/>
    <w:rPr>
      <w:rFonts w:cs="StarSymbol"/>
      <w:sz w:val="18"/>
      <w:szCs w:val="18"/>
    </w:rPr>
  </w:style>
  <w:style w:type="character" w:styleId="ListLabel32">
    <w:name w:val="ListLabel 32"/>
    <w:qFormat/>
    <w:rPr>
      <w:rFonts w:cs="StarSymbol"/>
      <w:sz w:val="18"/>
      <w:szCs w:val="18"/>
    </w:rPr>
  </w:style>
  <w:style w:type="character" w:styleId="ListLabel33">
    <w:name w:val="ListLabel 33"/>
    <w:qFormat/>
    <w:rPr>
      <w:rFonts w:cs="StarSymbol"/>
      <w:sz w:val="18"/>
      <w:szCs w:val="18"/>
    </w:rPr>
  </w:style>
  <w:style w:type="character" w:styleId="ListLabel34">
    <w:name w:val="ListLabel 34"/>
    <w:qFormat/>
    <w:rPr>
      <w:rFonts w:cs="StarSymbol"/>
      <w:sz w:val="18"/>
      <w:szCs w:val="18"/>
    </w:rPr>
  </w:style>
  <w:style w:type="character" w:styleId="ListLabel35">
    <w:name w:val="ListLabel 35"/>
    <w:qFormat/>
    <w:rPr>
      <w:rFonts w:cs="StarSymbol"/>
      <w:sz w:val="18"/>
      <w:szCs w:val="18"/>
    </w:rPr>
  </w:style>
  <w:style w:type="character" w:styleId="ListLabel36">
    <w:name w:val="ListLabel 36"/>
    <w:qFormat/>
    <w:rPr>
      <w:rFonts w:cs="StarSymbol"/>
      <w:sz w:val="18"/>
      <w:szCs w:val="18"/>
    </w:rPr>
  </w:style>
  <w:style w:type="character" w:styleId="ListLabel37">
    <w:name w:val="ListLabel 37"/>
    <w:qFormat/>
    <w:rPr>
      <w:rFonts w:cs="StarSymbol"/>
      <w:sz w:val="18"/>
      <w:szCs w:val="18"/>
    </w:rPr>
  </w:style>
  <w:style w:type="character" w:styleId="ListLabel38">
    <w:name w:val="ListLabel 38"/>
    <w:qFormat/>
    <w:rPr>
      <w:rFonts w:cs="StarSymbol"/>
      <w:sz w:val="18"/>
      <w:szCs w:val="18"/>
    </w:rPr>
  </w:style>
  <w:style w:type="character" w:styleId="ListLabel39">
    <w:name w:val="ListLabel 39"/>
    <w:qFormat/>
    <w:rPr>
      <w:rFonts w:cs="StarSymbol"/>
      <w:sz w:val="18"/>
      <w:szCs w:val="18"/>
    </w:rPr>
  </w:style>
  <w:style w:type="character" w:styleId="ListLabel40">
    <w:name w:val="ListLabel 40"/>
    <w:qFormat/>
    <w:rPr>
      <w:rFonts w:cs="StarSymbol"/>
      <w:sz w:val="18"/>
      <w:szCs w:val="18"/>
    </w:rPr>
  </w:style>
  <w:style w:type="character" w:styleId="ListLabel41">
    <w:name w:val="ListLabel 41"/>
    <w:qFormat/>
    <w:rPr>
      <w:rFonts w:cs="StarSymbol"/>
      <w:sz w:val="18"/>
      <w:szCs w:val="18"/>
    </w:rPr>
  </w:style>
  <w:style w:type="character" w:styleId="ListLabel42">
    <w:name w:val="ListLabel 42"/>
    <w:qFormat/>
    <w:rPr>
      <w:rFonts w:cs="StarSymbol"/>
      <w:sz w:val="18"/>
      <w:szCs w:val="18"/>
    </w:rPr>
  </w:style>
  <w:style w:type="character" w:styleId="ListLabel43">
    <w:name w:val="ListLabel 43"/>
    <w:qFormat/>
    <w:rPr>
      <w:rFonts w:cs="StarSymbol"/>
      <w:sz w:val="18"/>
      <w:szCs w:val="18"/>
    </w:rPr>
  </w:style>
  <w:style w:type="character" w:styleId="ListLabel44">
    <w:name w:val="ListLabel 44"/>
    <w:qFormat/>
    <w:rPr>
      <w:rFonts w:cs="StarSymbol"/>
      <w:sz w:val="18"/>
      <w:szCs w:val="18"/>
    </w:rPr>
  </w:style>
  <w:style w:type="character" w:styleId="ListLabel45">
    <w:name w:val="ListLabel 45"/>
    <w:qFormat/>
    <w:rPr>
      <w:rFonts w:cs="StarSymbol"/>
      <w:sz w:val="18"/>
      <w:szCs w:val="18"/>
    </w:rPr>
  </w:style>
  <w:style w:type="character" w:styleId="ListLabel46">
    <w:name w:val="ListLabel 46"/>
    <w:qFormat/>
    <w:rPr>
      <w:rFonts w:cs="StarSymbol"/>
      <w:sz w:val="18"/>
      <w:szCs w:val="18"/>
    </w:rPr>
  </w:style>
  <w:style w:type="character" w:styleId="ListLabel47">
    <w:name w:val="ListLabel 47"/>
    <w:qFormat/>
    <w:rPr>
      <w:rFonts w:cs="StarSymbol"/>
      <w:sz w:val="18"/>
      <w:szCs w:val="18"/>
    </w:rPr>
  </w:style>
  <w:style w:type="character" w:styleId="ListLabel48">
    <w:name w:val="ListLabel 48"/>
    <w:qFormat/>
    <w:rPr>
      <w:rFonts w:cs="StarSymbol"/>
      <w:sz w:val="18"/>
      <w:szCs w:val="18"/>
    </w:rPr>
  </w:style>
  <w:style w:type="character" w:styleId="ListLabel49">
    <w:name w:val="ListLabel 49"/>
    <w:qFormat/>
    <w:rPr>
      <w:rFonts w:cs="StarSymbol"/>
      <w:sz w:val="18"/>
      <w:szCs w:val="18"/>
    </w:rPr>
  </w:style>
  <w:style w:type="character" w:styleId="ListLabel50">
    <w:name w:val="ListLabel 50"/>
    <w:qFormat/>
    <w:rPr>
      <w:rFonts w:cs="StarSymbol"/>
      <w:sz w:val="18"/>
      <w:szCs w:val="18"/>
    </w:rPr>
  </w:style>
  <w:style w:type="character" w:styleId="ListLabel51">
    <w:name w:val="ListLabel 51"/>
    <w:qFormat/>
    <w:rPr>
      <w:rFonts w:cs="StarSymbol"/>
      <w:sz w:val="18"/>
      <w:szCs w:val="18"/>
    </w:rPr>
  </w:style>
  <w:style w:type="character" w:styleId="ListLabel52">
    <w:name w:val="ListLabel 52"/>
    <w:qFormat/>
    <w:rPr>
      <w:rFonts w:cs="StarSymbol"/>
      <w:sz w:val="18"/>
      <w:szCs w:val="18"/>
    </w:rPr>
  </w:style>
  <w:style w:type="character" w:styleId="ListLabel53">
    <w:name w:val="ListLabel 53"/>
    <w:qFormat/>
    <w:rPr>
      <w:rFonts w:cs="StarSymbol"/>
      <w:sz w:val="18"/>
      <w:szCs w:val="18"/>
    </w:rPr>
  </w:style>
  <w:style w:type="character" w:styleId="ListLabel54">
    <w:name w:val="ListLabel 54"/>
    <w:qFormat/>
    <w:rPr>
      <w:rFonts w:cs="StarSymbol"/>
      <w:sz w:val="18"/>
      <w:szCs w:val="18"/>
    </w:rPr>
  </w:style>
  <w:style w:type="character" w:styleId="ListLabel55">
    <w:name w:val="ListLabel 55"/>
    <w:qFormat/>
    <w:rPr>
      <w:rFonts w:cs="StarSymbol"/>
      <w:sz w:val="18"/>
      <w:szCs w:val="18"/>
    </w:rPr>
  </w:style>
  <w:style w:type="character" w:styleId="ListLabel56">
    <w:name w:val="ListLabel 56"/>
    <w:qFormat/>
    <w:rPr>
      <w:rFonts w:cs="StarSymbol"/>
      <w:sz w:val="18"/>
      <w:szCs w:val="18"/>
    </w:rPr>
  </w:style>
  <w:style w:type="character" w:styleId="ListLabel57">
    <w:name w:val="ListLabel 57"/>
    <w:qFormat/>
    <w:rPr>
      <w:rFonts w:cs="StarSymbol"/>
      <w:sz w:val="18"/>
      <w:szCs w:val="18"/>
    </w:rPr>
  </w:style>
  <w:style w:type="character" w:styleId="ListLabel58">
    <w:name w:val="ListLabel 58"/>
    <w:qFormat/>
    <w:rPr>
      <w:rFonts w:cs="Symbol"/>
    </w:rPr>
  </w:style>
  <w:style w:type="character" w:styleId="ListLabel59">
    <w:name w:val="ListLabel 59"/>
    <w:qFormat/>
    <w:rPr>
      <w:rFonts w:cs="Symbol"/>
    </w:rPr>
  </w:style>
  <w:style w:type="character" w:styleId="Ncoradanotaderodap">
    <w:name w:val="Âncora da nota de rodapé"/>
    <w:rPr>
      <w:vertAlign w:val="superscript"/>
    </w:rPr>
  </w:style>
  <w:style w:type="character" w:styleId="Ncoradanotadefim">
    <w:name w:val="Âncora da nota de fim"/>
    <w:rPr>
      <w:vertAlign w:val="superscript"/>
    </w:rPr>
  </w:style>
  <w:style w:type="character" w:styleId="Caracteresdenotadefim1">
    <w:name w:val="Caracteres de nota de fim"/>
    <w:qFormat/>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link w:val="CorpodetextoChar"/>
    <w:unhideWhenUsed/>
    <w:rsid w:val="00526946"/>
    <w:pPr>
      <w:spacing w:before="0" w:after="120"/>
    </w:pPr>
    <w:rPr/>
  </w:style>
  <w:style w:type="paragraph" w:styleId="Lista">
    <w:name w:val="List"/>
    <w:basedOn w:val="Corpodetexto"/>
    <w:rsid w:val="000b02fc"/>
    <w:pPr>
      <w:tabs>
        <w:tab w:val="left" w:pos="708" w:leader="none"/>
      </w:tabs>
      <w:suppressAutoHyphens w:val="true"/>
      <w:spacing w:lineRule="atLeast" w:line="100"/>
    </w:pPr>
    <w:rPr>
      <w:rFonts w:ascii="Times New Roman" w:hAnsi="Times New Roman" w:eastAsia="Times New Roman" w:cs="Mangal"/>
      <w:color w:val="000000"/>
      <w:sz w:val="24"/>
      <w:szCs w:val="24"/>
      <w:lang w:eastAsia="pt-BR"/>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Padro"/>
    <w:qFormat/>
    <w:rsid w:val="000b02fc"/>
    <w:pPr>
      <w:suppressLineNumbers/>
    </w:pPr>
    <w:rPr>
      <w:rFonts w:cs="Mangal"/>
    </w:rPr>
  </w:style>
  <w:style w:type="paragraph" w:styleId="Cabealho">
    <w:name w:val="Header"/>
    <w:basedOn w:val="Normal"/>
    <w:link w:val="CabealhoChar"/>
    <w:uiPriority w:val="99"/>
    <w:unhideWhenUsed/>
    <w:rsid w:val="000f2f05"/>
    <w:pPr>
      <w:tabs>
        <w:tab w:val="center" w:pos="4252" w:leader="none"/>
        <w:tab w:val="right" w:pos="8504" w:leader="none"/>
      </w:tabs>
      <w:spacing w:lineRule="auto" w:line="240" w:before="0" w:after="0"/>
    </w:pPr>
    <w:rPr/>
  </w:style>
  <w:style w:type="paragraph" w:styleId="Rodap">
    <w:name w:val="Footer"/>
    <w:basedOn w:val="Normal"/>
    <w:link w:val="RodapChar"/>
    <w:unhideWhenUsed/>
    <w:rsid w:val="000f2f05"/>
    <w:pPr>
      <w:tabs>
        <w:tab w:val="center" w:pos="4252" w:leader="none"/>
        <w:tab w:val="right" w:pos="8504" w:leader="none"/>
      </w:tabs>
      <w:spacing w:lineRule="auto" w:line="240" w:before="0" w:after="0"/>
    </w:pPr>
    <w:rPr/>
  </w:style>
  <w:style w:type="paragraph" w:styleId="BalloonText">
    <w:name w:val="Balloon Text"/>
    <w:basedOn w:val="Normal"/>
    <w:link w:val="TextodebaloChar"/>
    <w:unhideWhenUsed/>
    <w:qFormat/>
    <w:rsid w:val="000f2f05"/>
    <w:pPr>
      <w:spacing w:lineRule="auto" w:line="240" w:before="0" w:after="0"/>
    </w:pPr>
    <w:rPr>
      <w:rFonts w:ascii="Tahoma" w:hAnsi="Tahoma" w:cs="Tahoma"/>
      <w:sz w:val="16"/>
      <w:szCs w:val="16"/>
    </w:rPr>
  </w:style>
  <w:style w:type="paragraph" w:styleId="ListParagraph">
    <w:name w:val="List Paragraph"/>
    <w:basedOn w:val="Normal"/>
    <w:qFormat/>
    <w:rsid w:val="00200c2a"/>
    <w:pPr>
      <w:spacing w:before="0" w:after="200"/>
      <w:ind w:left="720" w:hanging="0"/>
      <w:contextualSpacing/>
    </w:pPr>
    <w:rPr/>
  </w:style>
  <w:style w:type="paragraph" w:styleId="Footnotetext">
    <w:name w:val="footnote text"/>
    <w:basedOn w:val="Normal"/>
    <w:link w:val="TextodenotaderodapChar"/>
    <w:unhideWhenUsed/>
    <w:qFormat/>
    <w:rsid w:val="00ad7234"/>
    <w:pPr>
      <w:suppressAutoHyphens w:val="true"/>
      <w:spacing w:lineRule="auto" w:line="240" w:before="0" w:after="0"/>
    </w:pPr>
    <w:rPr>
      <w:rFonts w:ascii="Times New Roman" w:hAnsi="Times New Roman" w:eastAsia="Times New Roman" w:cs="Times New Roman"/>
      <w:sz w:val="20"/>
      <w:szCs w:val="20"/>
      <w:lang w:val="x-none" w:eastAsia="ar-SA"/>
    </w:rPr>
  </w:style>
  <w:style w:type="paragraph" w:styleId="NormalWeb">
    <w:name w:val="Normal (Web)"/>
    <w:basedOn w:val="Normal"/>
    <w:uiPriority w:val="99"/>
    <w:unhideWhenUsed/>
    <w:qFormat/>
    <w:rsid w:val="00ee7dc2"/>
    <w:pPr>
      <w:spacing w:lineRule="auto" w:line="240" w:beforeAutospacing="1" w:afterAutospacing="1"/>
    </w:pPr>
    <w:rPr>
      <w:rFonts w:ascii="Times New Roman" w:hAnsi="Times New Roman" w:eastAsia="Times New Roman" w:cs="Times New Roman"/>
      <w:sz w:val="24"/>
      <w:szCs w:val="24"/>
      <w:lang w:eastAsia="pt-BR"/>
    </w:rPr>
  </w:style>
  <w:style w:type="paragraph" w:styleId="Texto" w:customStyle="1">
    <w:name w:val="texto"/>
    <w:basedOn w:val="Normal"/>
    <w:qFormat/>
    <w:rsid w:val="00657431"/>
    <w:pPr>
      <w:spacing w:lineRule="auto" w:line="360" w:before="120" w:after="0"/>
      <w:jc w:val="both"/>
    </w:pPr>
    <w:rPr>
      <w:rFonts w:ascii="Arial" w:hAnsi="Arial" w:eastAsia="Calibri" w:cs="Arial"/>
      <w:sz w:val="24"/>
      <w:szCs w:val="24"/>
      <w:lang w:eastAsia="pt-BR"/>
    </w:rPr>
  </w:style>
  <w:style w:type="paragraph" w:styleId="Annotationtext">
    <w:name w:val="annotation text"/>
    <w:basedOn w:val="Normal"/>
    <w:link w:val="TextodecomentrioChar"/>
    <w:uiPriority w:val="99"/>
    <w:unhideWhenUsed/>
    <w:qFormat/>
    <w:rsid w:val="00235e68"/>
    <w:pPr>
      <w:spacing w:lineRule="auto" w:line="240"/>
    </w:pPr>
    <w:rPr>
      <w:sz w:val="20"/>
      <w:szCs w:val="20"/>
    </w:rPr>
  </w:style>
  <w:style w:type="paragraph" w:styleId="Annotationsubject">
    <w:name w:val="annotation subject"/>
    <w:basedOn w:val="Annotationtext"/>
    <w:link w:val="AssuntodocomentrioChar"/>
    <w:unhideWhenUsed/>
    <w:qFormat/>
    <w:rsid w:val="00235e68"/>
    <w:pPr/>
    <w:rPr>
      <w:b/>
      <w:bCs/>
    </w:rPr>
  </w:style>
  <w:style w:type="paragraph" w:styleId="Normal1" w:customStyle="1">
    <w:name w:val="Normal1"/>
    <w:qFormat/>
    <w:rsid w:val="00222ee3"/>
    <w:pPr>
      <w:widowControl/>
      <w:suppressAutoHyphens w:val="true"/>
      <w:bidi w:val="0"/>
      <w:spacing w:lineRule="auto" w:line="240" w:before="0" w:after="0"/>
      <w:jc w:val="left"/>
    </w:pPr>
    <w:rPr>
      <w:rFonts w:ascii="Arial" w:hAnsi="Arial" w:eastAsia="Times New Roman" w:cs="Arial"/>
      <w:color w:val="000000"/>
      <w:sz w:val="24"/>
      <w:szCs w:val="24"/>
      <w:lang w:eastAsia="zh-CN" w:val="pt-BR" w:bidi="ar-SA"/>
    </w:rPr>
  </w:style>
  <w:style w:type="paragraph" w:styleId="Default" w:customStyle="1">
    <w:name w:val="Default"/>
    <w:qFormat/>
    <w:rsid w:val="00526946"/>
    <w:pPr>
      <w:widowControl/>
      <w:bidi w:val="0"/>
      <w:spacing w:lineRule="auto" w:line="240" w:before="0" w:after="0"/>
      <w:jc w:val="left"/>
    </w:pPr>
    <w:rPr>
      <w:rFonts w:ascii="Times New Roman" w:hAnsi="Times New Roman" w:eastAsia="Times New Roman" w:cs="Times New Roman"/>
      <w:color w:val="000000"/>
      <w:sz w:val="24"/>
      <w:szCs w:val="24"/>
      <w:lang w:eastAsia="pt-BR" w:val="pt-BR" w:bidi="ar-SA"/>
    </w:rPr>
  </w:style>
  <w:style w:type="paragraph" w:styleId="BodyText2">
    <w:name w:val="Body Text 2"/>
    <w:basedOn w:val="Normal"/>
    <w:link w:val="Corpodetexto2Char"/>
    <w:unhideWhenUsed/>
    <w:qFormat/>
    <w:rsid w:val="00526946"/>
    <w:pPr>
      <w:spacing w:lineRule="auto" w:line="480" w:before="0" w:after="120"/>
    </w:pPr>
    <w:rPr>
      <w:rFonts w:eastAsia="" w:eastAsiaTheme="minorEastAsia"/>
      <w:lang w:eastAsia="pt-BR"/>
    </w:rPr>
  </w:style>
  <w:style w:type="paragraph" w:styleId="Revision">
    <w:name w:val="Revision"/>
    <w:qFormat/>
    <w:rsid w:val="0053272d"/>
    <w:pPr>
      <w:widowControl/>
      <w:bidi w:val="0"/>
      <w:spacing w:lineRule="auto" w:line="240" w:before="0" w:after="0"/>
      <w:jc w:val="left"/>
    </w:pPr>
    <w:rPr>
      <w:rFonts w:ascii="Calibri" w:hAnsi="Calibri" w:eastAsia="Calibri" w:cs="" w:asciiTheme="minorHAnsi" w:cstheme="minorBidi" w:eastAsiaTheme="minorHAnsi" w:hAnsiTheme="minorHAnsi"/>
      <w:color w:val="auto"/>
      <w:sz w:val="22"/>
      <w:szCs w:val="22"/>
      <w:lang w:val="pt-BR" w:eastAsia="en-US" w:bidi="ar-SA"/>
    </w:rPr>
  </w:style>
  <w:style w:type="paragraph" w:styleId="NoSpacing">
    <w:name w:val="No Spacing"/>
    <w:qFormat/>
    <w:rsid w:val="00df4e4d"/>
    <w:pPr>
      <w:widowControl/>
      <w:bidi w:val="0"/>
      <w:spacing w:lineRule="auto" w:line="240" w:before="0" w:after="0"/>
      <w:jc w:val="left"/>
    </w:pPr>
    <w:rPr>
      <w:rFonts w:ascii="Calibri" w:hAnsi="Calibri" w:eastAsia="Calibri" w:cs="Times New Roman" w:asciiTheme="minorHAnsi" w:eastAsiaTheme="minorHAnsi" w:hAnsiTheme="minorHAnsi"/>
      <w:color w:val="auto"/>
      <w:sz w:val="22"/>
      <w:szCs w:val="22"/>
      <w:lang w:val="pt-BR" w:eastAsia="en-US" w:bidi="ar-SA"/>
    </w:rPr>
  </w:style>
  <w:style w:type="paragraph" w:styleId="Linha12" w:customStyle="1">
    <w:name w:val="linha12"/>
    <w:basedOn w:val="Normal"/>
    <w:qFormat/>
    <w:rsid w:val="001868cf"/>
    <w:pPr>
      <w:spacing w:lineRule="auto" w:line="240" w:before="0" w:after="0"/>
      <w:jc w:val="both"/>
    </w:pPr>
    <w:rPr>
      <w:rFonts w:ascii="Arial" w:hAnsi="Arial" w:eastAsia="Calibri" w:cs="Times New Roman"/>
      <w:szCs w:val="20"/>
      <w:lang w:eastAsia="pt-BR"/>
    </w:rPr>
  </w:style>
  <w:style w:type="paragraph" w:styleId="Padro" w:customStyle="1">
    <w:name w:val="Padrão"/>
    <w:qFormat/>
    <w:rsid w:val="000b02fc"/>
    <w:pPr>
      <w:widowControl/>
      <w:tabs>
        <w:tab w:val="left" w:pos="708" w:leader="none"/>
      </w:tabs>
      <w:suppressAutoHyphens w:val="true"/>
      <w:bidi w:val="0"/>
      <w:spacing w:lineRule="atLeast" w:line="100" w:before="0" w:after="0"/>
      <w:jc w:val="left"/>
    </w:pPr>
    <w:rPr>
      <w:rFonts w:ascii="Times New Roman" w:hAnsi="Times New Roman" w:eastAsia="Times New Roman" w:cs="Times New Roman"/>
      <w:color w:val="000000"/>
      <w:sz w:val="24"/>
      <w:szCs w:val="24"/>
      <w:lang w:eastAsia="pt-BR" w:val="pt-BR" w:bidi="ar-SA"/>
    </w:rPr>
  </w:style>
  <w:style w:type="paragraph" w:styleId="Ttulododocumento">
    <w:name w:val="Title"/>
    <w:basedOn w:val="Padro"/>
    <w:link w:val="TtuloChar"/>
    <w:qFormat/>
    <w:rsid w:val="000b02fc"/>
    <w:pPr>
      <w:keepNext/>
      <w:spacing w:before="240" w:after="120"/>
    </w:pPr>
    <w:rPr>
      <w:rFonts w:ascii="Arial" w:hAnsi="Arial" w:eastAsia="Microsoft YaHei" w:cs="Mangal"/>
      <w:sz w:val="28"/>
      <w:szCs w:val="28"/>
    </w:rPr>
  </w:style>
  <w:style w:type="paragraph" w:styleId="Caption">
    <w:name w:val="caption"/>
    <w:basedOn w:val="Padro"/>
    <w:qFormat/>
    <w:rsid w:val="000b02fc"/>
    <w:pPr>
      <w:suppressLineNumbers/>
      <w:spacing w:before="120" w:after="120"/>
    </w:pPr>
    <w:rPr>
      <w:rFonts w:cs="Mangal"/>
      <w:i/>
      <w:iCs/>
    </w:rPr>
  </w:style>
  <w:style w:type="paragraph" w:styleId="Yiv1308036644msonormal" w:customStyle="1">
    <w:name w:val="yiv1308036644msonormal"/>
    <w:basedOn w:val="Normal"/>
    <w:qFormat/>
    <w:rsid w:val="00c62e26"/>
    <w:pPr>
      <w:spacing w:lineRule="auto" w:line="240" w:beforeAutospacing="1" w:afterAutospacing="1"/>
    </w:pPr>
    <w:rPr>
      <w:rFonts w:ascii="Times New Roman" w:hAnsi="Times New Roman" w:eastAsia="Times New Roman" w:cs="Times New Roman"/>
      <w:sz w:val="24"/>
      <w:szCs w:val="24"/>
      <w:lang w:val="es-ES" w:eastAsia="es-ES"/>
    </w:rPr>
  </w:style>
  <w:style w:type="paragraph" w:styleId="PlainText">
    <w:name w:val="Plain Text"/>
    <w:basedOn w:val="Normal"/>
    <w:link w:val="TextosemFormataoChar"/>
    <w:qFormat/>
    <w:rsid w:val="00c62e26"/>
    <w:pPr>
      <w:spacing w:lineRule="auto" w:line="240" w:before="0" w:after="0"/>
    </w:pPr>
    <w:rPr>
      <w:rFonts w:ascii="Courier New" w:hAnsi="Courier New" w:eastAsia="Times New Roman" w:cs="Times New Roman"/>
      <w:sz w:val="20"/>
      <w:szCs w:val="20"/>
      <w:lang w:eastAsia="pt-BR"/>
    </w:rPr>
  </w:style>
  <w:style w:type="paragraph" w:styleId="Ttulo11" w:customStyle="1">
    <w:name w:val="Título1"/>
    <w:qFormat/>
    <w:rsid w:val="00a24883"/>
    <w:pPr>
      <w:keepNext/>
      <w:widowControl w:val="false"/>
      <w:spacing w:before="240" w:after="120"/>
    </w:pPr>
    <w:rPr>
      <w:rFonts w:ascii="Arial" w:hAnsi="Arial" w:eastAsia="Microsoft YaHei" w:cs="Mangal"/>
      <w:color w:val="auto"/>
      <w:sz w:val="28"/>
      <w:szCs w:val="28"/>
      <w:lang w:val="pt-BR" w:eastAsia="en-US" w:bidi="ar-SA"/>
    </w:rPr>
  </w:style>
  <w:style w:type="paragraph" w:styleId="WWPadro" w:customStyle="1">
    <w:name w:val="WW-Padrão"/>
    <w:qFormat/>
    <w:rsid w:val="00a24883"/>
    <w:pPr>
      <w:widowControl/>
      <w:tabs>
        <w:tab w:val="left" w:pos="708" w:leader="none"/>
      </w:tabs>
      <w:suppressAutoHyphens w:val="true"/>
      <w:bidi w:val="0"/>
      <w:jc w:val="left"/>
    </w:pPr>
    <w:rPr>
      <w:rFonts w:ascii="Calibri" w:hAnsi="Calibri" w:eastAsia="SimSun" w:cs="Times New Roman" w:asciiTheme="minorHAnsi" w:hAnsiTheme="minorHAnsi"/>
      <w:color w:val="auto"/>
      <w:sz w:val="22"/>
      <w:szCs w:val="22"/>
      <w:lang w:eastAsia="zh-CN" w:val="pt-BR" w:bidi="ar-SA"/>
    </w:rPr>
  </w:style>
  <w:style w:type="paragraph" w:styleId="Textodecomentrio1" w:customStyle="1">
    <w:name w:val="Texto de comentário1"/>
    <w:basedOn w:val="Normal"/>
    <w:qFormat/>
    <w:rsid w:val="00a24883"/>
    <w:pPr>
      <w:suppressAutoHyphens w:val="true"/>
      <w:spacing w:lineRule="auto" w:line="240"/>
    </w:pPr>
    <w:rPr>
      <w:rFonts w:ascii="Calibri" w:hAnsi="Calibri" w:eastAsia="Times New Roman" w:cs="Times New Roman"/>
      <w:sz w:val="20"/>
      <w:szCs w:val="20"/>
      <w:lang w:eastAsia="zh-CN"/>
    </w:rPr>
  </w:style>
  <w:style w:type="paragraph" w:styleId="Corpodetextorecuado">
    <w:name w:val="Body Text Indent"/>
    <w:basedOn w:val="WWPadro"/>
    <w:link w:val="RecuodecorpodetextoChar"/>
    <w:rsid w:val="00a24883"/>
    <w:pPr>
      <w:widowControl w:val="false"/>
      <w:ind w:left="3540" w:hanging="0"/>
      <w:jc w:val="both"/>
    </w:pPr>
    <w:rPr>
      <w:rFonts w:ascii="Arial" w:hAnsi="Arial" w:eastAsia="Lucida Sans Unicode" w:cs="Arial"/>
      <w:b/>
      <w:sz w:val="24"/>
      <w:szCs w:val="20"/>
    </w:rPr>
  </w:style>
  <w:style w:type="paragraph" w:styleId="Captulo" w:customStyle="1">
    <w:name w:val="Capítulo"/>
    <w:basedOn w:val="WWPadro"/>
    <w:qFormat/>
    <w:rsid w:val="00a24883"/>
    <w:pPr>
      <w:keepNext/>
      <w:widowControl w:val="false"/>
      <w:spacing w:before="240" w:after="120"/>
    </w:pPr>
    <w:rPr>
      <w:rFonts w:ascii="Arial" w:hAnsi="Arial" w:eastAsia="Lucida Sans Unicode" w:cs="Tahoma"/>
      <w:sz w:val="28"/>
      <w:szCs w:val="28"/>
    </w:rPr>
  </w:style>
  <w:style w:type="paragraph" w:styleId="Legenda1" w:customStyle="1">
    <w:name w:val="Legenda1"/>
    <w:basedOn w:val="WWPadro"/>
    <w:qFormat/>
    <w:rsid w:val="00a24883"/>
    <w:pPr>
      <w:widowControl w:val="false"/>
      <w:suppressLineNumbers/>
      <w:spacing w:before="120" w:after="120"/>
    </w:pPr>
    <w:rPr>
      <w:rFonts w:ascii="Times New Roman" w:hAnsi="Times New Roman" w:eastAsia="Lucida Sans Unicode" w:cs="Tahoma"/>
      <w:i/>
      <w:iCs/>
      <w:sz w:val="24"/>
      <w:szCs w:val="24"/>
    </w:rPr>
  </w:style>
  <w:style w:type="paragraph" w:styleId="ListarContedo" w:customStyle="1">
    <w:name w:val="Listar Conteúdo"/>
    <w:basedOn w:val="WWPadro"/>
    <w:qFormat/>
    <w:rsid w:val="00a24883"/>
    <w:pPr>
      <w:widowControl w:val="false"/>
      <w:ind w:left="567" w:hanging="0"/>
    </w:pPr>
    <w:rPr>
      <w:rFonts w:ascii="Times New Roman" w:hAnsi="Times New Roman" w:eastAsia="Lucida Sans Unicode"/>
      <w:sz w:val="24"/>
      <w:szCs w:val="24"/>
    </w:rPr>
  </w:style>
  <w:style w:type="paragraph" w:styleId="Recuodecorpodetexto21" w:customStyle="1">
    <w:name w:val="Recuo de corpo de texto 21"/>
    <w:basedOn w:val="WWPadro"/>
    <w:qFormat/>
    <w:rsid w:val="00a24883"/>
    <w:pPr>
      <w:widowControl w:val="false"/>
      <w:ind w:firstLine="1701"/>
      <w:jc w:val="both"/>
    </w:pPr>
    <w:rPr>
      <w:rFonts w:ascii="Arial" w:hAnsi="Arial" w:eastAsia="Lucida Sans Unicode" w:cs="Arial"/>
      <w:sz w:val="24"/>
      <w:szCs w:val="20"/>
    </w:rPr>
  </w:style>
  <w:style w:type="paragraph" w:styleId="Textopadro11" w:customStyle="1">
    <w:name w:val="Texto padrão:1:1"/>
    <w:basedOn w:val="WWPadro"/>
    <w:qFormat/>
    <w:rsid w:val="00a24883"/>
    <w:pPr>
      <w:widowControl w:val="false"/>
    </w:pPr>
    <w:rPr>
      <w:rFonts w:ascii="Times New Roman" w:hAnsi="Times New Roman" w:eastAsia="Lucida Sans Unicode"/>
      <w:sz w:val="24"/>
      <w:szCs w:val="24"/>
    </w:rPr>
  </w:style>
  <w:style w:type="paragraph" w:styleId="Textopadro" w:customStyle="1">
    <w:name w:val="Texto padrão"/>
    <w:basedOn w:val="WWPadro"/>
    <w:qFormat/>
    <w:rsid w:val="00a24883"/>
    <w:pPr>
      <w:widowControl w:val="false"/>
    </w:pPr>
    <w:rPr>
      <w:rFonts w:ascii="Times New Roman" w:hAnsi="Times New Roman" w:eastAsia="Lucida Sans Unicode"/>
      <w:sz w:val="24"/>
      <w:szCs w:val="24"/>
    </w:rPr>
  </w:style>
  <w:style w:type="paragraph" w:styleId="Textopadro1" w:customStyle="1">
    <w:name w:val="Texto padrão:1"/>
    <w:basedOn w:val="WWPadro"/>
    <w:qFormat/>
    <w:rsid w:val="00a24883"/>
    <w:pPr>
      <w:widowControl w:val="false"/>
    </w:pPr>
    <w:rPr>
      <w:rFonts w:ascii="Times New Roman" w:hAnsi="Times New Roman" w:eastAsia="Lucida Sans Unicode"/>
      <w:sz w:val="24"/>
      <w:szCs w:val="24"/>
    </w:rPr>
  </w:style>
  <w:style w:type="paragraph" w:styleId="Contedodatabela" w:customStyle="1">
    <w:name w:val="Conteúdo da tabela"/>
    <w:basedOn w:val="Normal"/>
    <w:qFormat/>
    <w:rsid w:val="00a24883"/>
    <w:pPr>
      <w:suppressLineNumbers/>
      <w:suppressAutoHyphens w:val="true"/>
    </w:pPr>
    <w:rPr>
      <w:rFonts w:ascii="Calibri" w:hAnsi="Calibri" w:eastAsia="Times New Roman" w:cs="Times New Roman"/>
      <w:lang w:eastAsia="zh-CN"/>
    </w:rPr>
  </w:style>
  <w:style w:type="paragraph" w:styleId="Ttulodetabela" w:customStyle="1">
    <w:name w:val="Título de tabela"/>
    <w:basedOn w:val="Contedodatabela"/>
    <w:qFormat/>
    <w:rsid w:val="00a24883"/>
    <w:pPr>
      <w:jc w:val="center"/>
    </w:pPr>
    <w:rPr>
      <w:b/>
      <w:bCs/>
    </w:rPr>
  </w:style>
  <w:style w:type="paragraph" w:styleId="Contedodoquadro" w:customStyle="1">
    <w:name w:val="Conteúdo do quadro"/>
    <w:basedOn w:val="Corpodetexto"/>
    <w:qFormat/>
    <w:rsid w:val="00a24883"/>
    <w:pPr>
      <w:suppressAutoHyphens w:val="true"/>
      <w:spacing w:lineRule="auto" w:line="240" w:before="0" w:after="0"/>
      <w:jc w:val="both"/>
    </w:pPr>
    <w:rPr>
      <w:rFonts w:ascii="Arial" w:hAnsi="Arial" w:eastAsia="Calibri" w:cs="Times New Roman"/>
      <w:sz w:val="20"/>
      <w:szCs w:val="20"/>
      <w:lang w:eastAsia="zh-CN"/>
    </w:rPr>
  </w:style>
  <w:style w:type="paragraph" w:styleId="Notaderodap">
    <w:name w:val="Footnote Text"/>
    <w:basedOn w:val="Normal"/>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39"/>
    <w:rsid w:val="008a51d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deGrade1Clara1">
    <w:name w:val="Tabela de Grade 1 Clara1"/>
    <w:basedOn w:val="Tabelanormal"/>
    <w:uiPriority w:val="46"/>
    <w:rsid w:val="00a1652d"/>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sz="12" w:space="0"/>
        </w:tcBorders>
      </w:tcPr>
    </w:tblStylePr>
    <w:tblStylePr w:type="lastRow">
      <w:rPr>
        <w:b/>
        <w:bCs/>
      </w:rPr>
      <w:tblPr/>
      <w:tcPr>
        <w:tcBorders>
          <w:top w:val="double" w:color="666666" w:themeColor="text1" w:sz="2" w:space="0"/>
        </w:tcBorders>
      </w:tcPr>
    </w:tblStylePr>
    <w:tblStylePr w:type="firstCol">
      <w:rPr>
        <w:b/>
        <w:bCs/>
      </w:rPr>
      <w:tblPr/>
    </w:tblStylePr>
    <w:tblStylePr w:type="lastCol">
      <w:rPr>
        <w:b/>
        <w:bCs/>
      </w:rPr>
      <w:tblPr/>
    </w:tblStylePr>
  </w:style>
  <w:style w:type="table" w:customStyle="1" w:styleId="TabeladeGradeClara1">
    <w:name w:val="Tabela de Grade Clara1"/>
    <w:basedOn w:val="Tabelanormal"/>
    <w:uiPriority w:val="40"/>
    <w:rsid w:val="00a1652d"/>
    <w:pPr>
      <w:spacing w:after="0" w:line="240" w:lineRule="auto"/>
    </w:pPr>
    <w:tblPr>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ad.ufvjm.edu.br/" TargetMode="External"/><Relationship Id="rId3" Type="http://schemas.openxmlformats.org/officeDocument/2006/relationships/hyperlink" Target="file:///C:\Downloads\ http\www.ufvjm.edu.br\prograd\estruturas-curriculares.html"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diagramData" Target="diagrams/data3.xml"/><Relationship Id="rId7" Type="http://schemas.openxmlformats.org/officeDocument/2006/relationships/diagramLayout" Target="diagrams/layout3.xml"/><Relationship Id="rId8" Type="http://schemas.openxmlformats.org/officeDocument/2006/relationships/diagramQuickStyle" Target="diagrams/quickStyle3.xml"/><Relationship Id="rId9" Type="http://schemas.openxmlformats.org/officeDocument/2006/relationships/diagramColors" Target="diagrams/colors3.xml"/><Relationship Id="rId10" Type="http://schemas.microsoft.com/office/2007/relationships/diagramDrawing" Target="diagrams/drawing3.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yperlink" Target="http://www.scribd.com/doc/95562107/Livro-Estudante-2007" TargetMode="Externa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header" Target="header4.xml"/><Relationship Id="rId17" Type="http://schemas.openxmlformats.org/officeDocument/2006/relationships/footer" Target="footer4.xml"/><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header" Target="header5.xml"/><Relationship Id="rId22" Type="http://schemas.openxmlformats.org/officeDocument/2006/relationships/footer" Target="footer5.xml"/><Relationship Id="rId23" Type="http://schemas.openxmlformats.org/officeDocument/2006/relationships/header" Target="header6.xml"/><Relationship Id="rId24" Type="http://schemas.openxmlformats.org/officeDocument/2006/relationships/footer" Target="footer6.xml"/><Relationship Id="rId25" Type="http://schemas.openxmlformats.org/officeDocument/2006/relationships/footnotes" Target="footnotes.xml"/><Relationship Id="rId26" Type="http://schemas.openxmlformats.org/officeDocument/2006/relationships/numbering" Target="numbering.xml"/><Relationship Id="rId27" Type="http://schemas.openxmlformats.org/officeDocument/2006/relationships/fontTable" Target="fontTable.xml"/><Relationship Id="rId28" Type="http://schemas.openxmlformats.org/officeDocument/2006/relationships/settings" Target="settings.xml"/><Relationship Id="rId29" Type="http://schemas.openxmlformats.org/officeDocument/2006/relationships/theme" Target="theme/theme1.xml"/><Relationship Id="rId3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
</Relationships>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3.xml><?xml version="1.0" encoding="utf-8"?>
<dgm:dataModel xmlns:dgm="http://schemas.openxmlformats.org/drawingml/2006/diagram" xmlns:a="http://schemas.openxmlformats.org/drawingml/2006/main">
  <dgm:ptLst>
    <dgm:pt modelId="{23278341-F6E9-471E-9D49-660DC80481A3}" type="doc">
      <dgm:prSet loTypeId="urn:microsoft.com/office/officeart/2005/8/layout/lProcess2" loCatId="list" qsTypeId="urn:microsoft.com/office/officeart/2005/8/quickstyle/simple1" qsCatId="simple" csTypeId="urn:microsoft.com/office/officeart/2005/8/colors/colorful5" csCatId="colorful" phldr="1"/>
      <dgm:spPr/>
      <dgm:t>
        <a:bodyPr/>
        <a:lstStyle/>
        <a:p>
          <a:endParaRPr lang="pt-BR"/>
        </a:p>
      </dgm:t>
    </dgm:pt>
    <dgm:pt modelId="{EEA99D33-35EA-4F46-8E3A-83AC1DF76615}">
      <dgm:prSet phldrT="[Texto]"/>
      <dgm:spPr>
        <a:xfrm>
          <a:off x="85830" y="627562"/>
          <a:ext cx="956295" cy="4110867"/>
        </a:xfrm>
        <a:solidFill>
          <a:sysClr val="window" lastClr="FFFFFF">
            <a:lumMod val="95000"/>
          </a:sysClr>
        </a:solidFill>
        <a:ln>
          <a:noFill/>
        </a:ln>
        <a:effectLst/>
      </dgm:spPr>
      <dgm:t>
        <a:bodyPr tIns="216000" anchor="t" anchorCtr="0"/>
        <a:lstStyle/>
        <a:p>
          <a:r>
            <a:rPr lang="pt-BR"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1º PERÍODO</a:t>
          </a:r>
        </a:p>
      </dgm:t>
    </dgm:pt>
    <dgm:pt modelId="{89AB112C-D751-4845-8D1B-DA378C4034CE}" type="parTrans" cxnId="{3D852646-6FA8-4CFB-B06C-1E6F6227A34A}">
      <dgm:prSet/>
      <dgm:spPr/>
      <dgm:t>
        <a:bodyPr/>
        <a:lstStyle/>
        <a:p>
          <a:endParaRPr lang="pt-BR"/>
        </a:p>
      </dgm:t>
    </dgm:pt>
    <dgm:pt modelId="{925732D9-EF58-46C4-B8A0-B754D923CD1A}" type="sibTrans" cxnId="{3D852646-6FA8-4CFB-B06C-1E6F6227A34A}">
      <dgm:prSet/>
      <dgm:spPr/>
      <dgm:t>
        <a:bodyPr/>
        <a:lstStyle/>
        <a:p>
          <a:endParaRPr lang="pt-BR"/>
        </a:p>
      </dgm:t>
    </dgm:pt>
    <dgm:pt modelId="{B4500965-57E0-4518-A8E9-2AEBF6251B43}">
      <dgm:prSet phldrT="[Texto]" custT="1"/>
      <dgm:spPr>
        <a:xfrm>
          <a:off x="3938" y="1479557"/>
          <a:ext cx="1120078" cy="577841"/>
        </a:xfr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Introdução aos Estudos Historicos</a:t>
          </a:r>
        </a:p>
      </dgm:t>
    </dgm:pt>
    <dgm:pt modelId="{5377F9AE-5020-4C95-A0AF-B89B0EB132FD}" type="parTrans" cxnId="{35F30643-DA66-4D5B-862B-160A6871690E}">
      <dgm:prSet/>
      <dgm:spPr/>
      <dgm:t>
        <a:bodyPr/>
        <a:lstStyle/>
        <a:p>
          <a:endParaRPr lang="pt-BR"/>
        </a:p>
      </dgm:t>
    </dgm:pt>
    <dgm:pt modelId="{0A6D16DC-CC00-47A4-858F-A801067B1C65}" type="sibTrans" cxnId="{35F30643-DA66-4D5B-862B-160A6871690E}">
      <dgm:prSet/>
      <dgm:spPr/>
      <dgm:t>
        <a:bodyPr/>
        <a:lstStyle/>
        <a:p>
          <a:endParaRPr lang="pt-BR"/>
        </a:p>
      </dgm:t>
    </dgm:pt>
    <dgm:pt modelId="{DAC54909-FF3C-45BE-A4C8-B5A430F49DB1}">
      <dgm:prSet phldrT="[Texto]"/>
      <dgm:spPr>
        <a:xfrm>
          <a:off x="1310916" y="627562"/>
          <a:ext cx="956295" cy="4110867"/>
        </a:xfrm>
        <a:solidFill>
          <a:sysClr val="window" lastClr="FFFFFF">
            <a:lumMod val="95000"/>
          </a:sysClr>
        </a:solidFill>
        <a:ln>
          <a:noFill/>
        </a:ln>
        <a:effectLst/>
      </dgm:spPr>
      <dgm:t>
        <a:bodyPr tIns="216000" anchor="t" anchorCtr="0"/>
        <a:lstStyle/>
        <a:p>
          <a:r>
            <a:rPr lang="pt-BR"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2º PERÍODO</a:t>
          </a:r>
        </a:p>
      </dgm:t>
    </dgm:pt>
    <dgm:pt modelId="{A199C09A-A223-4F58-9436-FA119BE5C95F}" type="parTrans" cxnId="{26829B6F-DA07-4528-9243-634538DB8478}">
      <dgm:prSet/>
      <dgm:spPr/>
      <dgm:t>
        <a:bodyPr/>
        <a:lstStyle/>
        <a:p>
          <a:endParaRPr lang="pt-BR"/>
        </a:p>
      </dgm:t>
    </dgm:pt>
    <dgm:pt modelId="{F9588B14-ABCF-4408-9F21-4142C1539A79}" type="sibTrans" cxnId="{26829B6F-DA07-4528-9243-634538DB8478}">
      <dgm:prSet/>
      <dgm:spPr/>
      <dgm:t>
        <a:bodyPr/>
        <a:lstStyle/>
        <a:p>
          <a:endParaRPr lang="pt-BR"/>
        </a:p>
      </dgm:t>
    </dgm:pt>
    <dgm:pt modelId="{C4A4FA88-F261-49FF-A54A-4F1056B4A172}">
      <dgm:prSet phldrT="[Texto]" custT="1"/>
      <dgm:spPr>
        <a:xfrm>
          <a:off x="1229024" y="1479557"/>
          <a:ext cx="1120078" cy="577841"/>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100">
              <a:solidFill>
                <a:sysClr val="window" lastClr="FFFFFF"/>
              </a:solidFill>
              <a:latin typeface="Calibri" panose="020F0502020204030204"/>
              <a:ea typeface="+mn-ea"/>
              <a:cs typeface="+mn-cs"/>
            </a:rPr>
            <a:t>História Indígena nas Américas</a:t>
          </a:r>
        </a:p>
      </dgm:t>
    </dgm:pt>
    <dgm:pt modelId="{432281A9-9CCA-4D55-847F-E6836FF00700}" type="parTrans" cxnId="{32D7138D-AB7F-4886-B3A9-D639F347042A}">
      <dgm:prSet/>
      <dgm:spPr/>
      <dgm:t>
        <a:bodyPr/>
        <a:lstStyle/>
        <a:p>
          <a:endParaRPr lang="pt-BR"/>
        </a:p>
      </dgm:t>
    </dgm:pt>
    <dgm:pt modelId="{E45EB763-96B4-4090-AF2E-9E61A42D076A}" type="sibTrans" cxnId="{32D7138D-AB7F-4886-B3A9-D639F347042A}">
      <dgm:prSet/>
      <dgm:spPr/>
      <dgm:t>
        <a:bodyPr/>
        <a:lstStyle/>
        <a:p>
          <a:endParaRPr lang="pt-BR"/>
        </a:p>
      </dgm:t>
    </dgm:pt>
    <dgm:pt modelId="{2797AB4F-958A-40E2-B456-B9296B971E8E}">
      <dgm:prSet phldrT="[Texto]" custT="1"/>
      <dgm:spPr>
        <a:xfrm>
          <a:off x="1229024" y="2146297"/>
          <a:ext cx="1120078" cy="577841"/>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050" dirty="0">
              <a:solidFill>
                <a:sysClr val="window" lastClr="FFFFFF"/>
              </a:solidFill>
              <a:latin typeface="Calibri" panose="020F0502020204030204"/>
              <a:ea typeface="+mn-ea"/>
              <a:cs typeface="+mn-cs"/>
            </a:rPr>
            <a:t>História da África</a:t>
          </a:r>
        </a:p>
      </dgm:t>
    </dgm:pt>
    <dgm:pt modelId="{9BF5403A-FC5B-4D67-9850-1DAD77F4D512}" type="parTrans" cxnId="{960C974B-3054-492C-A70F-EDAE47955A69}">
      <dgm:prSet/>
      <dgm:spPr/>
      <dgm:t>
        <a:bodyPr/>
        <a:lstStyle/>
        <a:p>
          <a:endParaRPr lang="pt-BR"/>
        </a:p>
      </dgm:t>
    </dgm:pt>
    <dgm:pt modelId="{301CD5E5-B10D-4C32-AB04-AA6406A187E0}" type="sibTrans" cxnId="{960C974B-3054-492C-A70F-EDAE47955A69}">
      <dgm:prSet/>
      <dgm:spPr/>
      <dgm:t>
        <a:bodyPr/>
        <a:lstStyle/>
        <a:p>
          <a:endParaRPr lang="pt-BR"/>
        </a:p>
      </dgm:t>
    </dgm:pt>
    <dgm:pt modelId="{01ABCE83-B917-40A8-9471-C4550E6C6C9D}">
      <dgm:prSet phldrT="[Texto]"/>
      <dgm:spPr>
        <a:xfrm>
          <a:off x="2536002" y="627984"/>
          <a:ext cx="956295" cy="4110867"/>
        </a:xfrm>
        <a:solidFill>
          <a:sysClr val="window" lastClr="FFFFFF">
            <a:lumMod val="95000"/>
          </a:sysClr>
        </a:solidFill>
        <a:ln>
          <a:noFill/>
        </a:ln>
        <a:effectLst/>
      </dgm:spPr>
      <dgm:t>
        <a:bodyPr tIns="216000" anchor="t" anchorCtr="0"/>
        <a:lstStyle/>
        <a:p>
          <a:r>
            <a:rPr lang="pt-BR">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3º PERÍODO</a:t>
          </a:r>
          <a:endParaRPr lang="pt-BR"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61020794-1E7F-48B0-96C0-A3316746A200}" type="parTrans" cxnId="{91801C9D-A771-4423-B16F-2BAC669097EB}">
      <dgm:prSet/>
      <dgm:spPr/>
      <dgm:t>
        <a:bodyPr/>
        <a:lstStyle/>
        <a:p>
          <a:endParaRPr lang="pt-BR"/>
        </a:p>
      </dgm:t>
    </dgm:pt>
    <dgm:pt modelId="{BED127E1-59F4-4C91-B525-096E333B2A45}" type="sibTrans" cxnId="{91801C9D-A771-4423-B16F-2BAC669097EB}">
      <dgm:prSet/>
      <dgm:spPr/>
      <dgm:t>
        <a:bodyPr/>
        <a:lstStyle/>
        <a:p>
          <a:endParaRPr lang="pt-BR"/>
        </a:p>
      </dgm:t>
    </dgm:pt>
    <dgm:pt modelId="{A3713F10-7155-42F1-9689-B311D3DD1CFD}">
      <dgm:prSet phldrT="[Texto]" custT="1"/>
      <dgm:spPr>
        <a:xfrm>
          <a:off x="2454110" y="1480824"/>
          <a:ext cx="1120078" cy="696275"/>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050">
              <a:solidFill>
                <a:sysClr val="window" lastClr="FFFFFF"/>
              </a:solidFill>
              <a:latin typeface="Calibri" panose="020F0502020204030204"/>
              <a:ea typeface="+mn-ea"/>
              <a:cs typeface="+mn-cs"/>
            </a:rPr>
            <a:t>História Moderna</a:t>
          </a:r>
        </a:p>
      </dgm:t>
    </dgm:pt>
    <dgm:pt modelId="{CBF4928F-2FEB-4784-8E86-E6CA0795FA3A}" type="parTrans" cxnId="{5CA12CC2-2B89-44F1-AF91-D83FEE9E340E}">
      <dgm:prSet/>
      <dgm:spPr/>
      <dgm:t>
        <a:bodyPr/>
        <a:lstStyle/>
        <a:p>
          <a:endParaRPr lang="pt-BR"/>
        </a:p>
      </dgm:t>
    </dgm:pt>
    <dgm:pt modelId="{51602E24-9349-468D-AE02-AECC50CBF2C1}" type="sibTrans" cxnId="{5CA12CC2-2B89-44F1-AF91-D83FEE9E340E}">
      <dgm:prSet/>
      <dgm:spPr/>
      <dgm:t>
        <a:bodyPr/>
        <a:lstStyle/>
        <a:p>
          <a:endParaRPr lang="pt-BR"/>
        </a:p>
      </dgm:t>
    </dgm:pt>
    <dgm:pt modelId="{66F12FBF-9543-409E-8E9E-245CE029C70D}">
      <dgm:prSet phldrT="[Texto]" custT="1"/>
      <dgm:spPr>
        <a:xfrm>
          <a:off x="3679196" y="4813258"/>
          <a:ext cx="1120078" cy="577841"/>
        </a:xfrm>
        <a:solidFill>
          <a:srgbClr val="00B050"/>
        </a:solidFill>
        <a:ln w="12700" cap="flat" cmpd="sng" algn="ctr">
          <a:solidFill>
            <a:sysClr val="window" lastClr="FFFFFF">
              <a:hueOff val="0"/>
              <a:satOff val="0"/>
              <a:lumOff val="0"/>
              <a:alphaOff val="0"/>
            </a:sysClr>
          </a:solidFill>
          <a:prstDash val="solid"/>
          <a:miter lim="800000"/>
        </a:ln>
        <a:effectLst/>
      </dgm:spPr>
      <dgm:t>
        <a:bodyPr/>
        <a:lstStyle/>
        <a:p>
          <a:r>
            <a:rPr lang="pt-BR" sz="800" dirty="0">
              <a:solidFill>
                <a:sysClr val="window" lastClr="FFFFFF"/>
              </a:solidFill>
              <a:latin typeface="Calibri" panose="020F0502020204030204"/>
              <a:ea typeface="+mn-ea"/>
              <a:cs typeface="+mn-cs"/>
            </a:rPr>
            <a:t>Laboratório de Ensino de História: metodologia e tecnologias do Ensino de História</a:t>
          </a:r>
        </a:p>
      </dgm:t>
    </dgm:pt>
    <dgm:pt modelId="{ADC00835-D34D-43D0-B63C-AE0E5664777F}" type="parTrans" cxnId="{EF954E40-B487-478E-BB8D-C4086BA3A95D}">
      <dgm:prSet/>
      <dgm:spPr/>
      <dgm:t>
        <a:bodyPr/>
        <a:lstStyle/>
        <a:p>
          <a:endParaRPr lang="pt-BR"/>
        </a:p>
      </dgm:t>
    </dgm:pt>
    <dgm:pt modelId="{6AE5ED01-1D51-4EDB-90D2-29985E7E6486}" type="sibTrans" cxnId="{EF954E40-B487-478E-BB8D-C4086BA3A95D}">
      <dgm:prSet/>
      <dgm:spPr/>
      <dgm:t>
        <a:bodyPr/>
        <a:lstStyle/>
        <a:p>
          <a:endParaRPr lang="pt-BR"/>
        </a:p>
      </dgm:t>
    </dgm:pt>
    <dgm:pt modelId="{E4D39793-E396-4008-8484-71A22A7D4E74}">
      <dgm:prSet phldrT="[Texto]" custT="1"/>
      <dgm:spPr>
        <a:xfrm>
          <a:off x="3938" y="2146297"/>
          <a:ext cx="1120078" cy="577841"/>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História Antiga</a:t>
          </a:r>
        </a:p>
      </dgm:t>
    </dgm:pt>
    <dgm:pt modelId="{93E84F3A-8E48-4EAC-A282-6456A28B93B2}" type="parTrans" cxnId="{D974243D-ADAA-4C4C-80B1-13FA092AA64F}">
      <dgm:prSet/>
      <dgm:spPr/>
      <dgm:t>
        <a:bodyPr/>
        <a:lstStyle/>
        <a:p>
          <a:endParaRPr lang="pt-BR"/>
        </a:p>
      </dgm:t>
    </dgm:pt>
    <dgm:pt modelId="{20EFBC7C-72A5-463C-BD94-C0B1CA4DED67}" type="sibTrans" cxnId="{D974243D-ADAA-4C4C-80B1-13FA092AA64F}">
      <dgm:prSet/>
      <dgm:spPr/>
      <dgm:t>
        <a:bodyPr/>
        <a:lstStyle/>
        <a:p>
          <a:endParaRPr lang="pt-BR"/>
        </a:p>
      </dgm:t>
    </dgm:pt>
    <dgm:pt modelId="{CA3969F5-AA39-42E0-A82D-8B16A49EF2C2}">
      <dgm:prSet phldrT="[Texto]" custT="1"/>
      <dgm:spPr>
        <a:xfrm>
          <a:off x="3938" y="4146518"/>
          <a:ext cx="1120078" cy="577841"/>
        </a:xfrm>
        <a:solidFill>
          <a:srgbClr val="00B050"/>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História da Educação *</a:t>
          </a:r>
        </a:p>
      </dgm:t>
    </dgm:pt>
    <dgm:pt modelId="{DCAD70CA-96F7-4254-B11A-990CF73C351E}" type="parTrans" cxnId="{79D0B7D6-76BE-4878-AD6C-6266B8FA5E34}">
      <dgm:prSet/>
      <dgm:spPr/>
      <dgm:t>
        <a:bodyPr/>
        <a:lstStyle/>
        <a:p>
          <a:endParaRPr lang="pt-BR"/>
        </a:p>
      </dgm:t>
    </dgm:pt>
    <dgm:pt modelId="{3BB1B93C-84F6-4384-AD03-3C9E0F4BECD4}" type="sibTrans" cxnId="{79D0B7D6-76BE-4878-AD6C-6266B8FA5E34}">
      <dgm:prSet/>
      <dgm:spPr/>
      <dgm:t>
        <a:bodyPr/>
        <a:lstStyle/>
        <a:p>
          <a:endParaRPr lang="pt-BR"/>
        </a:p>
      </dgm:t>
    </dgm:pt>
    <dgm:pt modelId="{25D9B946-C61B-4E64-85C9-A06184CCF951}">
      <dgm:prSet phldrT="[Texto]" custT="1"/>
      <dgm:spPr>
        <a:xfrm>
          <a:off x="3938" y="4813258"/>
          <a:ext cx="1120078" cy="577841"/>
        </a:xfrm>
        <a:solidFill>
          <a:srgbClr val="00B050"/>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Políticas Educacionais </a:t>
          </a:r>
          <a:r>
            <a:rPr lang="pt-BR" sz="1200" dirty="0">
              <a:solidFill>
                <a:sysClr val="window" lastClr="FFFFFF"/>
              </a:solidFill>
              <a:latin typeface="Calibri" panose="020F0502020204030204"/>
              <a:ea typeface="+mn-ea"/>
              <a:cs typeface="+mn-cs"/>
            </a:rPr>
            <a:t>*</a:t>
          </a:r>
        </a:p>
      </dgm:t>
    </dgm:pt>
    <dgm:pt modelId="{037CA699-CCF9-4390-A7B4-E0619CD1B242}" type="parTrans" cxnId="{A6B5D0AF-D684-4C32-9DD4-B1580E6C3980}">
      <dgm:prSet/>
      <dgm:spPr/>
      <dgm:t>
        <a:bodyPr/>
        <a:lstStyle/>
        <a:p>
          <a:endParaRPr lang="pt-BR"/>
        </a:p>
      </dgm:t>
    </dgm:pt>
    <dgm:pt modelId="{652E3F50-A0C9-4BF3-ABAD-F73D9D533B30}" type="sibTrans" cxnId="{A6B5D0AF-D684-4C32-9DD4-B1580E6C3980}">
      <dgm:prSet/>
      <dgm:spPr/>
      <dgm:t>
        <a:bodyPr/>
        <a:lstStyle/>
        <a:p>
          <a:endParaRPr lang="pt-BR"/>
        </a:p>
      </dgm:t>
    </dgm:pt>
    <dgm:pt modelId="{485F8DD0-E3B3-4580-B787-BAC01EE23120}">
      <dgm:prSet phldrT="[Texto]" custT="1"/>
      <dgm:spPr>
        <a:xfrm>
          <a:off x="1229024" y="2813037"/>
          <a:ext cx="1120078" cy="577841"/>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200" dirty="0">
              <a:solidFill>
                <a:sysClr val="window" lastClr="FFFFFF"/>
              </a:solidFill>
              <a:latin typeface="Calibri" panose="020F0502020204030204"/>
              <a:ea typeface="+mn-ea"/>
              <a:cs typeface="+mn-cs"/>
            </a:rPr>
            <a:t>História Medieval</a:t>
          </a:r>
        </a:p>
      </dgm:t>
    </dgm:pt>
    <dgm:pt modelId="{69B27FBA-6C70-4C3C-88E3-E8C2B80B0122}" type="parTrans" cxnId="{F217C07C-BFD5-4921-A4F0-4C778B50846E}">
      <dgm:prSet/>
      <dgm:spPr/>
      <dgm:t>
        <a:bodyPr/>
        <a:lstStyle/>
        <a:p>
          <a:endParaRPr lang="pt-BR"/>
        </a:p>
      </dgm:t>
    </dgm:pt>
    <dgm:pt modelId="{E46BA700-0A38-4BE5-9248-0A0F5D015EFC}" type="sibTrans" cxnId="{F217C07C-BFD5-4921-A4F0-4C778B50846E}">
      <dgm:prSet/>
      <dgm:spPr/>
      <dgm:t>
        <a:bodyPr/>
        <a:lstStyle/>
        <a:p>
          <a:endParaRPr lang="pt-BR"/>
        </a:p>
      </dgm:t>
    </dgm:pt>
    <dgm:pt modelId="{0797DE79-27F4-4437-B54E-D18763A99BAC}">
      <dgm:prSet phldrT="[Texto]" custT="1"/>
      <dgm:spPr>
        <a:xfrm>
          <a:off x="1229024" y="3479778"/>
          <a:ext cx="1120078" cy="577841"/>
        </a:xfrm>
        <a:solidFill>
          <a:srgbClr val="00B050"/>
        </a:solidFill>
        <a:ln w="12700" cap="flat" cmpd="sng" algn="ctr">
          <a:solidFill>
            <a:sysClr val="window" lastClr="FFFFFF">
              <a:hueOff val="0"/>
              <a:satOff val="0"/>
              <a:lumOff val="0"/>
              <a:alphaOff val="0"/>
            </a:sysClr>
          </a:solidFill>
          <a:prstDash val="solid"/>
          <a:miter lim="800000"/>
        </a:ln>
        <a:effectLst/>
      </dgm:spPr>
      <dgm:t>
        <a:bodyPr/>
        <a:lstStyle/>
        <a:p>
          <a:r>
            <a:rPr lang="pt-BR" sz="1200" dirty="0">
              <a:solidFill>
                <a:sysClr val="window" lastClr="FFFFFF"/>
              </a:solidFill>
              <a:latin typeface="Calibri" panose="020F0502020204030204"/>
              <a:ea typeface="+mn-ea"/>
              <a:cs typeface="+mn-cs"/>
            </a:rPr>
            <a:t>Didática</a:t>
          </a:r>
        </a:p>
      </dgm:t>
    </dgm:pt>
    <dgm:pt modelId="{41B37E9E-31AF-4954-9EB2-E3FEC4A512CE}" type="parTrans" cxnId="{3460134F-D7E4-4059-BB62-2B0CB3E93BDF}">
      <dgm:prSet/>
      <dgm:spPr/>
      <dgm:t>
        <a:bodyPr/>
        <a:lstStyle/>
        <a:p>
          <a:endParaRPr lang="pt-BR"/>
        </a:p>
      </dgm:t>
    </dgm:pt>
    <dgm:pt modelId="{3A7D4F18-2EC9-468B-8DC6-34E370550B5C}" type="sibTrans" cxnId="{3460134F-D7E4-4059-BB62-2B0CB3E93BDF}">
      <dgm:prSet/>
      <dgm:spPr/>
      <dgm:t>
        <a:bodyPr/>
        <a:lstStyle/>
        <a:p>
          <a:endParaRPr lang="pt-BR"/>
        </a:p>
      </dgm:t>
    </dgm:pt>
    <dgm:pt modelId="{AE6DA854-8718-4FBB-93EE-03D3729FE0F1}">
      <dgm:prSet phldrT="[Texto]" custT="1"/>
      <dgm:spPr>
        <a:xfrm>
          <a:off x="2454110" y="3087613"/>
          <a:ext cx="1120078" cy="696275"/>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050" dirty="0">
              <a:solidFill>
                <a:sysClr val="window" lastClr="FFFFFF"/>
              </a:solidFill>
              <a:latin typeface="Calibri" panose="020F0502020204030204"/>
              <a:ea typeface="+mn-ea"/>
              <a:cs typeface="+mn-cs"/>
            </a:rPr>
            <a:t>Teoria da História</a:t>
          </a:r>
        </a:p>
      </dgm:t>
    </dgm:pt>
    <dgm:pt modelId="{2CB475D7-6901-4D00-A792-F77A8A9A8117}" type="parTrans" cxnId="{049CE5B0-7153-44F6-B9FE-E6C1C08E32E5}">
      <dgm:prSet/>
      <dgm:spPr/>
      <dgm:t>
        <a:bodyPr/>
        <a:lstStyle/>
        <a:p>
          <a:endParaRPr lang="pt-BR"/>
        </a:p>
      </dgm:t>
    </dgm:pt>
    <dgm:pt modelId="{A0AF67F1-8954-4DF7-B863-93A66CCE3E82}" type="sibTrans" cxnId="{049CE5B0-7153-44F6-B9FE-E6C1C08E32E5}">
      <dgm:prSet/>
      <dgm:spPr/>
      <dgm:t>
        <a:bodyPr/>
        <a:lstStyle/>
        <a:p>
          <a:endParaRPr lang="pt-BR"/>
        </a:p>
      </dgm:t>
    </dgm:pt>
    <dgm:pt modelId="{2BD1954F-3075-4104-82BD-9D5B2B17D1AB}">
      <dgm:prSet phldrT="[Texto]" custT="1"/>
      <dgm:spPr>
        <a:xfrm>
          <a:off x="2454110" y="3891008"/>
          <a:ext cx="1120078" cy="696275"/>
        </a:xfrm>
        <a:solidFill>
          <a:srgbClr val="00B050"/>
        </a:solidFill>
        <a:ln w="12700" cap="flat" cmpd="sng" algn="ctr">
          <a:solidFill>
            <a:sysClr val="window" lastClr="FFFFFF">
              <a:hueOff val="0"/>
              <a:satOff val="0"/>
              <a:lumOff val="0"/>
              <a:alphaOff val="0"/>
            </a:sysClr>
          </a:solidFill>
          <a:prstDash val="solid"/>
          <a:miter lim="800000"/>
        </a:ln>
        <a:effectLst/>
      </dgm:spPr>
      <dgm:t>
        <a:bodyPr/>
        <a:lstStyle/>
        <a:p>
          <a:r>
            <a:rPr lang="pt-BR" sz="1050" dirty="0">
              <a:solidFill>
                <a:sysClr val="window" lastClr="FFFFFF"/>
              </a:solidFill>
              <a:latin typeface="Calibri" panose="020F0502020204030204"/>
              <a:ea typeface="+mn-ea"/>
              <a:cs typeface="+mn-cs"/>
            </a:rPr>
            <a:t>Psicologia da Educação *</a:t>
          </a:r>
        </a:p>
      </dgm:t>
    </dgm:pt>
    <dgm:pt modelId="{2BB82B00-4DDC-4AF4-A69B-C63D82B9DF37}" type="parTrans" cxnId="{98E2A724-A8B5-415E-8870-38D7D27C100E}">
      <dgm:prSet/>
      <dgm:spPr/>
      <dgm:t>
        <a:bodyPr/>
        <a:lstStyle/>
        <a:p>
          <a:endParaRPr lang="pt-BR"/>
        </a:p>
      </dgm:t>
    </dgm:pt>
    <dgm:pt modelId="{D68111F5-3F69-4B12-AD1B-C1E859084957}" type="sibTrans" cxnId="{98E2A724-A8B5-415E-8870-38D7D27C100E}">
      <dgm:prSet/>
      <dgm:spPr/>
      <dgm:t>
        <a:bodyPr/>
        <a:lstStyle/>
        <a:p>
          <a:endParaRPr lang="pt-BR"/>
        </a:p>
      </dgm:t>
    </dgm:pt>
    <dgm:pt modelId="{233C80F0-1138-4126-8694-ED4BE8236705}">
      <dgm:prSet phldrT="[Texto]" custT="1"/>
      <dgm:spPr>
        <a:xfrm>
          <a:off x="2454110" y="4694402"/>
          <a:ext cx="1120078" cy="696275"/>
        </a:xfrm>
        <a:solidFill>
          <a:srgbClr val="00B050"/>
        </a:solidFill>
        <a:ln w="12700" cap="flat" cmpd="sng" algn="ctr">
          <a:solidFill>
            <a:sysClr val="window" lastClr="FFFFFF">
              <a:hueOff val="0"/>
              <a:satOff val="0"/>
              <a:lumOff val="0"/>
              <a:alphaOff val="0"/>
            </a:sysClr>
          </a:solidFill>
          <a:prstDash val="solid"/>
          <a:miter lim="800000"/>
        </a:ln>
        <a:effectLst/>
      </dgm:spPr>
      <dgm:t>
        <a:bodyPr/>
        <a:lstStyle/>
        <a:p>
          <a:r>
            <a:rPr lang="pt-BR" sz="800" dirty="0">
              <a:solidFill>
                <a:sysClr val="window" lastClr="FFFFFF"/>
              </a:solidFill>
              <a:latin typeface="Calibri" panose="020F0502020204030204"/>
              <a:ea typeface="+mn-ea"/>
              <a:cs typeface="+mn-cs"/>
            </a:rPr>
            <a:t>Laboratório de Ensino de História: memória, patrimônio e educação histórica</a:t>
          </a:r>
        </a:p>
      </dgm:t>
    </dgm:pt>
    <dgm:pt modelId="{5F7C8284-3E36-4EE7-B197-CA67253A0352}" type="parTrans" cxnId="{2CF84FC4-AC75-4B82-975A-881348444E02}">
      <dgm:prSet/>
      <dgm:spPr/>
      <dgm:t>
        <a:bodyPr/>
        <a:lstStyle/>
        <a:p>
          <a:endParaRPr lang="pt-BR"/>
        </a:p>
      </dgm:t>
    </dgm:pt>
    <dgm:pt modelId="{B5AB416D-773B-49F5-A597-2C109D8118AF}" type="sibTrans" cxnId="{2CF84FC4-AC75-4B82-975A-881348444E02}">
      <dgm:prSet/>
      <dgm:spPr/>
      <dgm:t>
        <a:bodyPr/>
        <a:lstStyle/>
        <a:p>
          <a:endParaRPr lang="pt-BR"/>
        </a:p>
      </dgm:t>
    </dgm:pt>
    <dgm:pt modelId="{94DA2CAE-A0E3-45EE-B64B-346FA521EB33}">
      <dgm:prSet phldrT="[Texto]"/>
      <dgm:spPr>
        <a:xfrm>
          <a:off x="3761088" y="627562"/>
          <a:ext cx="956295" cy="4110867"/>
        </a:xfrm>
        <a:solidFill>
          <a:sysClr val="window" lastClr="FFFFFF">
            <a:lumMod val="95000"/>
          </a:sysClr>
        </a:solidFill>
        <a:ln>
          <a:noFill/>
        </a:ln>
        <a:effectLst/>
      </dgm:spPr>
      <dgm:t>
        <a:bodyPr tIns="216000" anchor="t" anchorCtr="0"/>
        <a:lstStyle/>
        <a:p>
          <a:r>
            <a:rPr lang="pt-BR"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4</a:t>
          </a:r>
          <a:r>
            <a:rPr lang="pt-BR">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º PERÍODO</a:t>
          </a:r>
          <a:endParaRPr lang="pt-BR"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FE1B3699-457F-49EE-AC44-E5610CAC4B7D}" type="parTrans" cxnId="{D56B6D92-2599-449F-A5D0-6824C702E10E}">
      <dgm:prSet/>
      <dgm:spPr/>
      <dgm:t>
        <a:bodyPr/>
        <a:lstStyle/>
        <a:p>
          <a:endParaRPr lang="pt-BR"/>
        </a:p>
      </dgm:t>
    </dgm:pt>
    <dgm:pt modelId="{4D576FD7-BBCF-47E7-9068-88AD9AC88F84}" type="sibTrans" cxnId="{D56B6D92-2599-449F-A5D0-6824C702E10E}">
      <dgm:prSet/>
      <dgm:spPr/>
      <dgm:t>
        <a:bodyPr/>
        <a:lstStyle/>
        <a:p>
          <a:endParaRPr lang="pt-BR"/>
        </a:p>
      </dgm:t>
    </dgm:pt>
    <dgm:pt modelId="{D398DA85-1AB3-4BF9-BF99-DF1DCD28ACB3}">
      <dgm:prSet phldrT="[Texto]" custT="1"/>
      <dgm:spPr>
        <a:xfrm>
          <a:off x="3679196" y="1479557"/>
          <a:ext cx="1120078" cy="577841"/>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História da América Colonial</a:t>
          </a:r>
        </a:p>
      </dgm:t>
    </dgm:pt>
    <dgm:pt modelId="{D0ACAEF9-D92B-4A8E-B234-371679555562}" type="parTrans" cxnId="{4B4A74AB-5ED8-4D18-B371-4B791B79334D}">
      <dgm:prSet/>
      <dgm:spPr/>
      <dgm:t>
        <a:bodyPr/>
        <a:lstStyle/>
        <a:p>
          <a:endParaRPr lang="pt-BR"/>
        </a:p>
      </dgm:t>
    </dgm:pt>
    <dgm:pt modelId="{A54B3626-6DD1-4C23-991B-869977F4B6BE}" type="sibTrans" cxnId="{4B4A74AB-5ED8-4D18-B371-4B791B79334D}">
      <dgm:prSet/>
      <dgm:spPr/>
      <dgm:t>
        <a:bodyPr/>
        <a:lstStyle/>
        <a:p>
          <a:endParaRPr lang="pt-BR"/>
        </a:p>
      </dgm:t>
    </dgm:pt>
    <dgm:pt modelId="{1C4FA953-39F5-4012-9D35-D597D1E3B0CC}">
      <dgm:prSet phldrT="[Texto]" custT="1"/>
      <dgm:spPr>
        <a:xfrm>
          <a:off x="3679196" y="2146297"/>
          <a:ext cx="1120078" cy="577841"/>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História da América Portuguesa</a:t>
          </a:r>
        </a:p>
      </dgm:t>
    </dgm:pt>
    <dgm:pt modelId="{14F06531-9E97-4E98-93B5-638E5C25DFA3}" type="parTrans" cxnId="{81394042-2F97-4F8E-8D7F-030CE92CB844}">
      <dgm:prSet/>
      <dgm:spPr/>
      <dgm:t>
        <a:bodyPr/>
        <a:lstStyle/>
        <a:p>
          <a:endParaRPr lang="pt-BR"/>
        </a:p>
      </dgm:t>
    </dgm:pt>
    <dgm:pt modelId="{BB8E8C60-8386-426E-825F-388E43BC7F32}" type="sibTrans" cxnId="{81394042-2F97-4F8E-8D7F-030CE92CB844}">
      <dgm:prSet/>
      <dgm:spPr/>
      <dgm:t>
        <a:bodyPr/>
        <a:lstStyle/>
        <a:p>
          <a:endParaRPr lang="pt-BR"/>
        </a:p>
      </dgm:t>
    </dgm:pt>
    <dgm:pt modelId="{B954C9AA-9923-4496-A0A9-DAEDE048F07B}">
      <dgm:prSet phldrT="[Texto]" custT="1"/>
      <dgm:spPr>
        <a:xfrm>
          <a:off x="3679196" y="3479778"/>
          <a:ext cx="1120078" cy="577841"/>
        </a:xfrm>
        <a:solidFill>
          <a:srgbClr val="00B050"/>
        </a:solidFill>
        <a:ln w="12700" cap="flat" cmpd="sng" algn="ctr">
          <a:solidFill>
            <a:sysClr val="window" lastClr="FFFFFF">
              <a:hueOff val="0"/>
              <a:satOff val="0"/>
              <a:lumOff val="0"/>
              <a:alphaOff val="0"/>
            </a:sysClr>
          </a:solidFill>
          <a:prstDash val="solid"/>
          <a:miter lim="800000"/>
        </a:ln>
        <a:effectLst/>
      </dgm:spPr>
      <dgm:t>
        <a:bodyPr/>
        <a:lstStyle/>
        <a:p>
          <a:r>
            <a:rPr lang="pt-BR" sz="900" dirty="0">
              <a:solidFill>
                <a:sysClr val="window" lastClr="FFFFFF"/>
              </a:solidFill>
              <a:latin typeface="Calibri" panose="020F0502020204030204"/>
              <a:ea typeface="+mn-ea"/>
              <a:cs typeface="+mn-cs"/>
            </a:rPr>
            <a:t>História, Meio-ambiente e educação ambiental *</a:t>
          </a:r>
        </a:p>
      </dgm:t>
    </dgm:pt>
    <dgm:pt modelId="{F82C5567-4159-48EC-BCE9-9712C2FA45D0}" type="parTrans" cxnId="{8037CD92-7F7E-4B01-867E-0A296811FDAC}">
      <dgm:prSet/>
      <dgm:spPr/>
      <dgm:t>
        <a:bodyPr/>
        <a:lstStyle/>
        <a:p>
          <a:endParaRPr lang="pt-BR"/>
        </a:p>
      </dgm:t>
    </dgm:pt>
    <dgm:pt modelId="{D2D7E298-3ABB-44C2-8717-773A6AC35291}" type="sibTrans" cxnId="{8037CD92-7F7E-4B01-867E-0A296811FDAC}">
      <dgm:prSet/>
      <dgm:spPr/>
      <dgm:t>
        <a:bodyPr/>
        <a:lstStyle/>
        <a:p>
          <a:endParaRPr lang="pt-BR"/>
        </a:p>
      </dgm:t>
    </dgm:pt>
    <dgm:pt modelId="{14BE43D0-BE15-48CF-B65A-F660961255ED}">
      <dgm:prSet phldrT="[Texto]" custT="1"/>
      <dgm:spPr>
        <a:xfrm>
          <a:off x="3679196" y="4146518"/>
          <a:ext cx="1120078" cy="577841"/>
        </a:xfrm>
        <a:solidFill>
          <a:srgbClr val="00B050"/>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Sociologia da Educação*</a:t>
          </a:r>
        </a:p>
      </dgm:t>
    </dgm:pt>
    <dgm:pt modelId="{F072C08D-76F7-4346-933C-EC6430FCE8E3}" type="parTrans" cxnId="{A8D1D90C-CDEA-4A92-B8C0-4B375E577FC0}">
      <dgm:prSet/>
      <dgm:spPr/>
      <dgm:t>
        <a:bodyPr/>
        <a:lstStyle/>
        <a:p>
          <a:endParaRPr lang="pt-BR"/>
        </a:p>
      </dgm:t>
    </dgm:pt>
    <dgm:pt modelId="{69B16909-1205-4CB9-8DD9-7628D4774BFE}" type="sibTrans" cxnId="{A8D1D90C-CDEA-4A92-B8C0-4B375E577FC0}">
      <dgm:prSet/>
      <dgm:spPr/>
      <dgm:t>
        <a:bodyPr/>
        <a:lstStyle/>
        <a:p>
          <a:endParaRPr lang="pt-BR"/>
        </a:p>
      </dgm:t>
    </dgm:pt>
    <dgm:pt modelId="{02023070-5020-4686-8714-50B73706D428}">
      <dgm:prSet phldrT="[Texto]"/>
      <dgm:spPr>
        <a:xfrm>
          <a:off x="4986174" y="627984"/>
          <a:ext cx="956295" cy="4110867"/>
        </a:xfrm>
        <a:solidFill>
          <a:sysClr val="window" lastClr="FFFFFF">
            <a:lumMod val="95000"/>
          </a:sysClr>
        </a:solidFill>
        <a:ln>
          <a:noFill/>
        </a:ln>
        <a:effectLst/>
      </dgm:spPr>
      <dgm:t>
        <a:bodyPr tIns="216000" anchor="t" anchorCtr="0"/>
        <a:lstStyle/>
        <a:p>
          <a:r>
            <a:rPr lang="pt-BR"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5</a:t>
          </a:r>
          <a:r>
            <a:rPr lang="pt-BR">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º PERÍODO</a:t>
          </a:r>
          <a:endParaRPr lang="pt-BR"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D035F23A-A9ED-46E4-B7BA-0F91CC71857F}" type="parTrans" cxnId="{A22B24E2-9A22-4AC1-8A1A-701C115CA942}">
      <dgm:prSet/>
      <dgm:spPr/>
      <dgm:t>
        <a:bodyPr/>
        <a:lstStyle/>
        <a:p>
          <a:endParaRPr lang="pt-BR"/>
        </a:p>
      </dgm:t>
    </dgm:pt>
    <dgm:pt modelId="{35C7B79C-4DC8-439C-95A0-48D2CF8D89BD}" type="sibTrans" cxnId="{A22B24E2-9A22-4AC1-8A1A-701C115CA942}">
      <dgm:prSet/>
      <dgm:spPr/>
      <dgm:t>
        <a:bodyPr/>
        <a:lstStyle/>
        <a:p>
          <a:endParaRPr lang="pt-BR"/>
        </a:p>
      </dgm:t>
    </dgm:pt>
    <dgm:pt modelId="{2EA3A082-DFF2-450F-A489-1C13DC556BE5}">
      <dgm:prSet phldrT="[Texto]" custT="1"/>
      <dgm:spPr>
        <a:xfrm>
          <a:off x="4904282" y="1480824"/>
          <a:ext cx="1120078" cy="696275"/>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Historiografia Contemporânea</a:t>
          </a:r>
        </a:p>
      </dgm:t>
    </dgm:pt>
    <dgm:pt modelId="{E53C10EA-C695-416E-8BA4-533094375267}" type="parTrans" cxnId="{E3D47014-1081-4D5A-AE75-6B8DB6910E1B}">
      <dgm:prSet/>
      <dgm:spPr/>
      <dgm:t>
        <a:bodyPr/>
        <a:lstStyle/>
        <a:p>
          <a:endParaRPr lang="pt-BR"/>
        </a:p>
      </dgm:t>
    </dgm:pt>
    <dgm:pt modelId="{AC74D26F-814E-4A6A-8F6D-BC246E4BDA23}" type="sibTrans" cxnId="{E3D47014-1081-4D5A-AE75-6B8DB6910E1B}">
      <dgm:prSet/>
      <dgm:spPr/>
      <dgm:t>
        <a:bodyPr/>
        <a:lstStyle/>
        <a:p>
          <a:endParaRPr lang="pt-BR"/>
        </a:p>
      </dgm:t>
    </dgm:pt>
    <dgm:pt modelId="{7F28BABF-72C3-4023-8B4A-424CDFB62160}">
      <dgm:prSet phldrT="[Texto]" custT="1"/>
      <dgm:spPr>
        <a:xfrm>
          <a:off x="4904282" y="2284219"/>
          <a:ext cx="1120078" cy="696275"/>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050" dirty="0">
              <a:solidFill>
                <a:sysClr val="window" lastClr="FFFFFF"/>
              </a:solidFill>
              <a:latin typeface="Calibri" panose="020F0502020204030204"/>
              <a:ea typeface="+mn-ea"/>
              <a:cs typeface="+mn-cs"/>
            </a:rPr>
            <a:t>História da América Independente</a:t>
          </a:r>
        </a:p>
      </dgm:t>
    </dgm:pt>
    <dgm:pt modelId="{7C08B70C-D03C-4B8E-AF27-D70CD40414E2}" type="parTrans" cxnId="{07EDFE7E-8F26-4B4E-B00E-4F6CA9BCB10E}">
      <dgm:prSet/>
      <dgm:spPr/>
      <dgm:t>
        <a:bodyPr/>
        <a:lstStyle/>
        <a:p>
          <a:endParaRPr lang="pt-BR"/>
        </a:p>
      </dgm:t>
    </dgm:pt>
    <dgm:pt modelId="{736BB8D3-FFDD-4668-A500-2A9DF4DB0087}" type="sibTrans" cxnId="{07EDFE7E-8F26-4B4E-B00E-4F6CA9BCB10E}">
      <dgm:prSet/>
      <dgm:spPr/>
      <dgm:t>
        <a:bodyPr/>
        <a:lstStyle/>
        <a:p>
          <a:endParaRPr lang="pt-BR"/>
        </a:p>
      </dgm:t>
    </dgm:pt>
    <dgm:pt modelId="{260F887A-DF6C-4BBA-A2CC-848D8CF8CF1F}">
      <dgm:prSet phldrT="[Texto]" custT="1"/>
      <dgm:spPr>
        <a:xfrm>
          <a:off x="4904282" y="3087613"/>
          <a:ext cx="1120078" cy="696275"/>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História do Brasil Monárquico</a:t>
          </a:r>
        </a:p>
      </dgm:t>
    </dgm:pt>
    <dgm:pt modelId="{3374E9FA-C18E-4B5B-8361-971C7F8311D1}" type="parTrans" cxnId="{E27DDE9B-B017-4AF2-BA32-72DC4DB4A0D5}">
      <dgm:prSet/>
      <dgm:spPr/>
      <dgm:t>
        <a:bodyPr/>
        <a:lstStyle/>
        <a:p>
          <a:endParaRPr lang="pt-BR"/>
        </a:p>
      </dgm:t>
    </dgm:pt>
    <dgm:pt modelId="{A529E18E-4F3D-4B9B-9C22-B2F9E17615FA}" type="sibTrans" cxnId="{E27DDE9B-B017-4AF2-BA32-72DC4DB4A0D5}">
      <dgm:prSet/>
      <dgm:spPr/>
      <dgm:t>
        <a:bodyPr/>
        <a:lstStyle/>
        <a:p>
          <a:endParaRPr lang="pt-BR"/>
        </a:p>
      </dgm:t>
    </dgm:pt>
    <dgm:pt modelId="{2A6AD63A-1483-4535-821B-2B95D5ECC5E9}">
      <dgm:prSet phldrT="[Texto]" custT="1"/>
      <dgm:spPr>
        <a:xfrm>
          <a:off x="4904282" y="3891008"/>
          <a:ext cx="1120078" cy="696275"/>
        </a:xfr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UC Eletiva</a:t>
          </a:r>
        </a:p>
      </dgm:t>
    </dgm:pt>
    <dgm:pt modelId="{F4D7D2FC-28DC-4696-B732-A8D62EC993C7}" type="parTrans" cxnId="{D25F67BD-8516-4719-A620-F1C3722FC9D3}">
      <dgm:prSet/>
      <dgm:spPr/>
      <dgm:t>
        <a:bodyPr/>
        <a:lstStyle/>
        <a:p>
          <a:endParaRPr lang="pt-BR"/>
        </a:p>
      </dgm:t>
    </dgm:pt>
    <dgm:pt modelId="{F2796BE6-C4C7-4E87-9451-AF159376EBF3}" type="sibTrans" cxnId="{D25F67BD-8516-4719-A620-F1C3722FC9D3}">
      <dgm:prSet/>
      <dgm:spPr/>
      <dgm:t>
        <a:bodyPr/>
        <a:lstStyle/>
        <a:p>
          <a:endParaRPr lang="pt-BR"/>
        </a:p>
      </dgm:t>
    </dgm:pt>
    <dgm:pt modelId="{74387AFC-9C44-4BC6-8AA2-B7F33A7FDB19}">
      <dgm:prSet phldrT="[Texto]"/>
      <dgm:spPr>
        <a:xfrm>
          <a:off x="4904282" y="4694402"/>
          <a:ext cx="1120078" cy="696275"/>
        </a:xfrm>
        <a:solidFill>
          <a:srgbClr val="00B050"/>
        </a:solidFill>
        <a:ln w="12700" cap="flat" cmpd="sng" algn="ctr">
          <a:solidFill>
            <a:sysClr val="window" lastClr="FFFFFF">
              <a:hueOff val="0"/>
              <a:satOff val="0"/>
              <a:lumOff val="0"/>
              <a:alphaOff val="0"/>
            </a:sysClr>
          </a:solidFill>
          <a:prstDash val="solid"/>
          <a:miter lim="800000"/>
        </a:ln>
        <a:effectLst/>
      </dgm:spPr>
      <dgm:t>
        <a:bodyPr/>
        <a:lstStyle/>
        <a:p>
          <a:r>
            <a:rPr lang="pt-BR" dirty="0">
              <a:solidFill>
                <a:sysClr val="window" lastClr="FFFFFF"/>
              </a:solidFill>
              <a:latin typeface="Calibri" panose="020F0502020204030204"/>
              <a:ea typeface="+mn-ea"/>
              <a:cs typeface="+mn-cs"/>
            </a:rPr>
            <a:t>Laboratório de Ensino de História: produção de material didático</a:t>
          </a:r>
        </a:p>
      </dgm:t>
    </dgm:pt>
    <dgm:pt modelId="{CA53AD75-5FC0-4242-B06A-A82B0731567C}" type="parTrans" cxnId="{E3746232-F527-44A8-B60D-0C205D653D63}">
      <dgm:prSet/>
      <dgm:spPr/>
      <dgm:t>
        <a:bodyPr/>
        <a:lstStyle/>
        <a:p>
          <a:endParaRPr lang="pt-BR"/>
        </a:p>
      </dgm:t>
    </dgm:pt>
    <dgm:pt modelId="{3CCA6A0E-C611-4314-98A2-1F1C6FBB7F31}" type="sibTrans" cxnId="{E3746232-F527-44A8-B60D-0C205D653D63}">
      <dgm:prSet/>
      <dgm:spPr/>
      <dgm:t>
        <a:bodyPr/>
        <a:lstStyle/>
        <a:p>
          <a:endParaRPr lang="pt-BR"/>
        </a:p>
      </dgm:t>
    </dgm:pt>
    <dgm:pt modelId="{D7AA1BEB-2546-49A2-A0F8-21EE5CE848FE}">
      <dgm:prSet phldrT="[Texto]"/>
      <dgm:spPr>
        <a:xfrm>
          <a:off x="6211260" y="627984"/>
          <a:ext cx="956295" cy="4110867"/>
        </a:xfrm>
        <a:solidFill>
          <a:sysClr val="window" lastClr="FFFFFF">
            <a:lumMod val="95000"/>
          </a:sysClr>
        </a:solidFill>
        <a:ln>
          <a:noFill/>
        </a:ln>
        <a:effectLst/>
      </dgm:spPr>
      <dgm:t>
        <a:bodyPr tIns="216000" anchor="t" anchorCtr="0"/>
        <a:lstStyle/>
        <a:p>
          <a:r>
            <a:rPr lang="pt-BR">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6º PERÍODO</a:t>
          </a:r>
          <a:endParaRPr lang="pt-BR"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2DB32A45-21DF-4BE0-B714-64BFDEDADC93}" type="parTrans" cxnId="{A598BB44-C40B-44FE-B9F7-8A43B6EF9388}">
      <dgm:prSet/>
      <dgm:spPr/>
      <dgm:t>
        <a:bodyPr/>
        <a:lstStyle/>
        <a:p>
          <a:endParaRPr lang="pt-BR"/>
        </a:p>
      </dgm:t>
    </dgm:pt>
    <dgm:pt modelId="{B08D11D9-756C-4148-AA79-C9FFA3CF2EFE}" type="sibTrans" cxnId="{A598BB44-C40B-44FE-B9F7-8A43B6EF9388}">
      <dgm:prSet/>
      <dgm:spPr/>
      <dgm:t>
        <a:bodyPr/>
        <a:lstStyle/>
        <a:p>
          <a:endParaRPr lang="pt-BR"/>
        </a:p>
      </dgm:t>
    </dgm:pt>
    <dgm:pt modelId="{B5251CCC-098E-49EF-86BA-0423DAFB21E1}">
      <dgm:prSet phldrT="[Texto]" custT="1"/>
      <dgm:spPr>
        <a:xfrm>
          <a:off x="6129368" y="2284219"/>
          <a:ext cx="1120078" cy="696275"/>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História da América Contemporânea</a:t>
          </a:r>
        </a:p>
      </dgm:t>
    </dgm:pt>
    <dgm:pt modelId="{6C511253-42C9-4CBA-84DE-34B64A142795}" type="parTrans" cxnId="{28BABC75-1475-48F9-BC84-6FC4094F9487}">
      <dgm:prSet/>
      <dgm:spPr/>
      <dgm:t>
        <a:bodyPr/>
        <a:lstStyle/>
        <a:p>
          <a:endParaRPr lang="pt-BR"/>
        </a:p>
      </dgm:t>
    </dgm:pt>
    <dgm:pt modelId="{A9011977-C98B-42BB-A41D-EA7E012BD82E}" type="sibTrans" cxnId="{28BABC75-1475-48F9-BC84-6FC4094F9487}">
      <dgm:prSet/>
      <dgm:spPr/>
      <dgm:t>
        <a:bodyPr/>
        <a:lstStyle/>
        <a:p>
          <a:endParaRPr lang="pt-BR"/>
        </a:p>
      </dgm:t>
    </dgm:pt>
    <dgm:pt modelId="{D6B58285-CBFB-47FF-8F79-3DE16A5925EB}">
      <dgm:prSet phldrT="[Texto]" custT="1"/>
      <dgm:spPr>
        <a:xfrm>
          <a:off x="6129368" y="3087613"/>
          <a:ext cx="1120078" cy="696275"/>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História do Brasil Republicano</a:t>
          </a:r>
        </a:p>
      </dgm:t>
    </dgm:pt>
    <dgm:pt modelId="{473CC2E7-A674-4E81-BAF3-A4D613DF8654}" type="parTrans" cxnId="{3FD01679-62DC-495D-A00D-BEDFAFB66063}">
      <dgm:prSet/>
      <dgm:spPr/>
      <dgm:t>
        <a:bodyPr/>
        <a:lstStyle/>
        <a:p>
          <a:endParaRPr lang="pt-BR"/>
        </a:p>
      </dgm:t>
    </dgm:pt>
    <dgm:pt modelId="{E3D09431-7B1D-406F-B975-70D7D058EEC1}" type="sibTrans" cxnId="{3FD01679-62DC-495D-A00D-BEDFAFB66063}">
      <dgm:prSet/>
      <dgm:spPr/>
      <dgm:t>
        <a:bodyPr/>
        <a:lstStyle/>
        <a:p>
          <a:endParaRPr lang="pt-BR"/>
        </a:p>
      </dgm:t>
    </dgm:pt>
    <dgm:pt modelId="{6899337B-68F5-4B54-8A1A-03110823B138}">
      <dgm:prSet phldrT="[Texto]" custT="1"/>
      <dgm:spPr>
        <a:xfrm>
          <a:off x="6129368" y="3891008"/>
          <a:ext cx="1120078" cy="696275"/>
        </a:xfrm>
        <a:solidFill>
          <a:srgbClr val="44546A"/>
        </a:solidFill>
        <a:ln w="12700" cap="flat" cmpd="sng" algn="ctr">
          <a:solidFill>
            <a:sysClr val="window" lastClr="FFFFFF">
              <a:hueOff val="0"/>
              <a:satOff val="0"/>
              <a:lumOff val="0"/>
              <a:alphaOff val="0"/>
            </a:sysClr>
          </a:solidFill>
          <a:prstDash val="solid"/>
          <a:miter lim="800000"/>
        </a:ln>
        <a:effectLst/>
      </dgm:spPr>
      <dgm:t>
        <a:bodyPr/>
        <a:lstStyle/>
        <a:p>
          <a:r>
            <a:rPr lang="pt-BR" sz="900" dirty="0">
              <a:solidFill>
                <a:sysClr val="window" lastClr="FFFFFF"/>
              </a:solidFill>
              <a:latin typeface="Calibri" panose="020F0502020204030204"/>
              <a:ea typeface="+mn-ea"/>
              <a:cs typeface="+mn-cs"/>
            </a:rPr>
            <a:t>Estágio supervisionado: gestão e cultura escolar</a:t>
          </a:r>
        </a:p>
      </dgm:t>
    </dgm:pt>
    <dgm:pt modelId="{FD23F232-D889-48E4-B650-060A351BF248}" type="parTrans" cxnId="{497671A6-79EF-4D5C-A00E-079A1CF8FC08}">
      <dgm:prSet/>
      <dgm:spPr/>
      <dgm:t>
        <a:bodyPr/>
        <a:lstStyle/>
        <a:p>
          <a:endParaRPr lang="pt-BR"/>
        </a:p>
      </dgm:t>
    </dgm:pt>
    <dgm:pt modelId="{335E9896-99A2-4235-90B4-E6AAAB6CA0CE}" type="sibTrans" cxnId="{497671A6-79EF-4D5C-A00E-079A1CF8FC08}">
      <dgm:prSet/>
      <dgm:spPr/>
      <dgm:t>
        <a:bodyPr/>
        <a:lstStyle/>
        <a:p>
          <a:endParaRPr lang="pt-BR"/>
        </a:p>
      </dgm:t>
    </dgm:pt>
    <dgm:pt modelId="{DA6BAE4F-E160-482A-BDF3-C46469807CB1}">
      <dgm:prSet phldrT="[Texto]" custT="1"/>
      <dgm:spPr>
        <a:xfrm>
          <a:off x="6129368" y="4694402"/>
          <a:ext cx="1120078" cy="696275"/>
        </a:xfr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UC Eletiva</a:t>
          </a:r>
        </a:p>
      </dgm:t>
    </dgm:pt>
    <dgm:pt modelId="{6BB7F947-55F0-4347-A67C-1B4A8606F637}" type="parTrans" cxnId="{E64CE466-9B19-40FF-B296-1A43272DEB85}">
      <dgm:prSet/>
      <dgm:spPr/>
      <dgm:t>
        <a:bodyPr/>
        <a:lstStyle/>
        <a:p>
          <a:endParaRPr lang="pt-BR"/>
        </a:p>
      </dgm:t>
    </dgm:pt>
    <dgm:pt modelId="{4B32F171-E1BD-4FD2-A3B8-806FCE269E9B}" type="sibTrans" cxnId="{E64CE466-9B19-40FF-B296-1A43272DEB85}">
      <dgm:prSet/>
      <dgm:spPr/>
      <dgm:t>
        <a:bodyPr/>
        <a:lstStyle/>
        <a:p>
          <a:endParaRPr lang="pt-BR"/>
        </a:p>
      </dgm:t>
    </dgm:pt>
    <dgm:pt modelId="{31EAB39F-FF25-49E5-9797-416618DE186C}">
      <dgm:prSet phldrT="[Texto]"/>
      <dgm:spPr>
        <a:xfrm>
          <a:off x="7436346" y="627984"/>
          <a:ext cx="956295" cy="4110867"/>
        </a:xfrm>
        <a:solidFill>
          <a:sysClr val="window" lastClr="FFFFFF">
            <a:lumMod val="95000"/>
          </a:sysClr>
        </a:solidFill>
        <a:ln>
          <a:noFill/>
        </a:ln>
        <a:effectLst/>
      </dgm:spPr>
      <dgm:t>
        <a:bodyPr tIns="216000" anchor="t" anchorCtr="0"/>
        <a:lstStyle/>
        <a:p>
          <a:r>
            <a:rPr lang="pt-BR"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7</a:t>
          </a:r>
          <a:r>
            <a:rPr lang="pt-BR">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º PERÍODO</a:t>
          </a:r>
          <a:endParaRPr lang="pt-BR"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117B1F8C-9555-44A2-9761-F9A9D548483B}" type="parTrans" cxnId="{02CDC3F5-1D11-43EC-93D4-ECFD4BE8C918}">
      <dgm:prSet/>
      <dgm:spPr/>
      <dgm:t>
        <a:bodyPr/>
        <a:lstStyle/>
        <a:p>
          <a:endParaRPr lang="pt-BR"/>
        </a:p>
      </dgm:t>
    </dgm:pt>
    <dgm:pt modelId="{BA73804E-D0D8-46FB-B191-B11160503D01}" type="sibTrans" cxnId="{02CDC3F5-1D11-43EC-93D4-ECFD4BE8C918}">
      <dgm:prSet/>
      <dgm:spPr/>
      <dgm:t>
        <a:bodyPr/>
        <a:lstStyle/>
        <a:p>
          <a:endParaRPr lang="pt-BR"/>
        </a:p>
      </dgm:t>
    </dgm:pt>
    <dgm:pt modelId="{AF50B5E2-5F37-4AC3-A2FA-FD44CB64BC1C}">
      <dgm:prSet phldrT="[Texto]" custT="1"/>
      <dgm:spPr>
        <a:xfrm>
          <a:off x="7354454" y="1480824"/>
          <a:ext cx="1120078" cy="696275"/>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000" dirty="0">
              <a:solidFill>
                <a:sysClr val="window" lastClr="FFFFFF"/>
              </a:solidFill>
              <a:latin typeface="Calibri" panose="020F0502020204030204"/>
              <a:ea typeface="+mn-ea"/>
              <a:cs typeface="+mn-cs"/>
            </a:rPr>
            <a:t>História Contemporânea nos séculos XX e XXI</a:t>
          </a:r>
        </a:p>
      </dgm:t>
    </dgm:pt>
    <dgm:pt modelId="{5D28F769-8E59-498C-BC55-28C08A82E8F1}" type="parTrans" cxnId="{4761D6AC-D420-4B82-AF57-7291C9352627}">
      <dgm:prSet/>
      <dgm:spPr/>
      <dgm:t>
        <a:bodyPr/>
        <a:lstStyle/>
        <a:p>
          <a:endParaRPr lang="pt-BR"/>
        </a:p>
      </dgm:t>
    </dgm:pt>
    <dgm:pt modelId="{9A4FA98C-147A-4123-A0F8-4A5129BAD381}" type="sibTrans" cxnId="{4761D6AC-D420-4B82-AF57-7291C9352627}">
      <dgm:prSet/>
      <dgm:spPr/>
      <dgm:t>
        <a:bodyPr/>
        <a:lstStyle/>
        <a:p>
          <a:endParaRPr lang="pt-BR"/>
        </a:p>
      </dgm:t>
    </dgm:pt>
    <dgm:pt modelId="{08048074-B717-41EF-90CD-855921492341}">
      <dgm:prSet phldrT="[Texto]" custT="1"/>
      <dgm:spPr>
        <a:xfrm>
          <a:off x="7354454" y="2284219"/>
          <a:ext cx="1120078" cy="696275"/>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História do Brasil Contemporâneo</a:t>
          </a:r>
        </a:p>
      </dgm:t>
    </dgm:pt>
    <dgm:pt modelId="{AC079A24-23D0-4472-9909-698AD9350B39}" type="parTrans" cxnId="{8553D28D-7BC4-4CF8-AC38-655CF5C8AB89}">
      <dgm:prSet/>
      <dgm:spPr/>
      <dgm:t>
        <a:bodyPr/>
        <a:lstStyle/>
        <a:p>
          <a:endParaRPr lang="pt-BR"/>
        </a:p>
      </dgm:t>
    </dgm:pt>
    <dgm:pt modelId="{CC9DE3EC-14C7-4F24-BC84-0B726A8E97F1}" type="sibTrans" cxnId="{8553D28D-7BC4-4CF8-AC38-655CF5C8AB89}">
      <dgm:prSet/>
      <dgm:spPr/>
      <dgm:t>
        <a:bodyPr/>
        <a:lstStyle/>
        <a:p>
          <a:endParaRPr lang="pt-BR"/>
        </a:p>
      </dgm:t>
    </dgm:pt>
    <dgm:pt modelId="{28ECE26D-5FB0-44EE-89C2-78DE7C188A95}">
      <dgm:prSet phldrT="[Texto]" custT="1"/>
      <dgm:spPr>
        <a:xfrm>
          <a:off x="7354454" y="3087613"/>
          <a:ext cx="1120078" cy="696275"/>
        </a:xfr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UC Eletiva</a:t>
          </a:r>
        </a:p>
      </dgm:t>
    </dgm:pt>
    <dgm:pt modelId="{29AE4421-7B59-4DFA-AC60-03ED78AB60C6}" type="parTrans" cxnId="{69D51635-4204-48BB-BED8-CAED73B27537}">
      <dgm:prSet/>
      <dgm:spPr/>
      <dgm:t>
        <a:bodyPr/>
        <a:lstStyle/>
        <a:p>
          <a:endParaRPr lang="pt-BR"/>
        </a:p>
      </dgm:t>
    </dgm:pt>
    <dgm:pt modelId="{D018EE54-2F8E-4FBA-9EEA-CFA168E14075}" type="sibTrans" cxnId="{69D51635-4204-48BB-BED8-CAED73B27537}">
      <dgm:prSet/>
      <dgm:spPr/>
      <dgm:t>
        <a:bodyPr/>
        <a:lstStyle/>
        <a:p>
          <a:endParaRPr lang="pt-BR"/>
        </a:p>
      </dgm:t>
    </dgm:pt>
    <dgm:pt modelId="{FF5F826D-E3C6-429E-A4C9-03EDE5C665D1}">
      <dgm:prSet phldrT="[Texto]" custT="1"/>
      <dgm:spPr>
        <a:xfrm>
          <a:off x="7354454" y="3891008"/>
          <a:ext cx="1120078" cy="696275"/>
        </a:xfrm>
        <a:solidFill>
          <a:srgbClr val="44546A"/>
        </a:solidFill>
        <a:ln w="12700" cap="flat" cmpd="sng" algn="ctr">
          <a:solidFill>
            <a:sysClr val="window" lastClr="FFFFFF">
              <a:hueOff val="0"/>
              <a:satOff val="0"/>
              <a:lumOff val="0"/>
              <a:alphaOff val="0"/>
            </a:sysClr>
          </a:solidFill>
          <a:prstDash val="solid"/>
          <a:miter lim="800000"/>
        </a:ln>
        <a:effectLst/>
      </dgm:spPr>
      <dgm:t>
        <a:bodyPr/>
        <a:lstStyle/>
        <a:p>
          <a:r>
            <a:rPr lang="pt-BR" sz="900" dirty="0">
              <a:solidFill>
                <a:sysClr val="window" lastClr="FFFFFF"/>
              </a:solidFill>
              <a:latin typeface="Calibri" panose="020F0502020204030204"/>
              <a:ea typeface="+mn-ea"/>
              <a:cs typeface="+mn-cs"/>
            </a:rPr>
            <a:t>Estágio Supervisionado: Ensino Fundamental (Séries finais)</a:t>
          </a:r>
        </a:p>
      </dgm:t>
    </dgm:pt>
    <dgm:pt modelId="{C3A3C592-0B70-47A1-BB11-D58F5E0B696E}" type="parTrans" cxnId="{28FF6791-473F-4315-BA1E-50D687CC168E}">
      <dgm:prSet/>
      <dgm:spPr/>
      <dgm:t>
        <a:bodyPr/>
        <a:lstStyle/>
        <a:p>
          <a:endParaRPr lang="pt-BR"/>
        </a:p>
      </dgm:t>
    </dgm:pt>
    <dgm:pt modelId="{63F875F9-888C-43DB-9528-88EEE95DE60B}" type="sibTrans" cxnId="{28FF6791-473F-4315-BA1E-50D687CC168E}">
      <dgm:prSet/>
      <dgm:spPr/>
      <dgm:t>
        <a:bodyPr/>
        <a:lstStyle/>
        <a:p>
          <a:endParaRPr lang="pt-BR"/>
        </a:p>
      </dgm:t>
    </dgm:pt>
    <dgm:pt modelId="{832145A9-EDD2-4C40-A6EE-5F3AE4D3EDAD}">
      <dgm:prSet phldrT="[Texto]" custT="1"/>
      <dgm:spPr>
        <a:xfrm>
          <a:off x="7354454" y="4694402"/>
          <a:ext cx="1120078" cy="696275"/>
        </a:xfr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r>
            <a:rPr lang="pt-BR" sz="1050" dirty="0">
              <a:solidFill>
                <a:sysClr val="window" lastClr="FFFFFF"/>
              </a:solidFill>
              <a:latin typeface="Calibri" panose="020F0502020204030204"/>
              <a:ea typeface="+mn-ea"/>
              <a:cs typeface="+mn-cs"/>
            </a:rPr>
            <a:t>Língua Brasileira de Sinas *</a:t>
          </a:r>
        </a:p>
      </dgm:t>
    </dgm:pt>
    <dgm:pt modelId="{132C5E80-209E-4A68-8602-9B9679438AC9}" type="parTrans" cxnId="{DD886E7D-3023-46FF-A97D-1A482825B455}">
      <dgm:prSet/>
      <dgm:spPr/>
      <dgm:t>
        <a:bodyPr/>
        <a:lstStyle/>
        <a:p>
          <a:endParaRPr lang="pt-BR"/>
        </a:p>
      </dgm:t>
    </dgm:pt>
    <dgm:pt modelId="{D6899C0B-670C-4FB4-AB75-770644F8359A}" type="sibTrans" cxnId="{DD886E7D-3023-46FF-A97D-1A482825B455}">
      <dgm:prSet/>
      <dgm:spPr/>
      <dgm:t>
        <a:bodyPr/>
        <a:lstStyle/>
        <a:p>
          <a:endParaRPr lang="pt-BR"/>
        </a:p>
      </dgm:t>
    </dgm:pt>
    <dgm:pt modelId="{67FA34F0-877E-4744-8CDC-89C73CD86107}">
      <dgm:prSet phldrT="[Texto]"/>
      <dgm:spPr>
        <a:xfrm>
          <a:off x="8661432" y="627562"/>
          <a:ext cx="956295" cy="4110867"/>
        </a:xfrm>
        <a:solidFill>
          <a:sysClr val="window" lastClr="FFFFFF">
            <a:lumMod val="95000"/>
          </a:sysClr>
        </a:solidFill>
        <a:ln>
          <a:noFill/>
        </a:ln>
        <a:effectLst/>
      </dgm:spPr>
      <dgm:t>
        <a:bodyPr tIns="216000" anchor="t" anchorCtr="0"/>
        <a:lstStyle/>
        <a:p>
          <a:r>
            <a:rPr lang="pt-BR"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8</a:t>
          </a:r>
          <a:r>
            <a:rPr lang="pt-BR">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º PERÍODO</a:t>
          </a:r>
          <a:endParaRPr lang="pt-BR"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2F8C247B-B890-4283-B160-9484FD57E999}" type="parTrans" cxnId="{7DFD972F-79F1-41A9-BCE9-4EC9909C3344}">
      <dgm:prSet/>
      <dgm:spPr/>
      <dgm:t>
        <a:bodyPr/>
        <a:lstStyle/>
        <a:p>
          <a:endParaRPr lang="pt-BR"/>
        </a:p>
      </dgm:t>
    </dgm:pt>
    <dgm:pt modelId="{0146199D-1700-4377-B6E9-5D06AD118E64}" type="sibTrans" cxnId="{7DFD972F-79F1-41A9-BCE9-4EC9909C3344}">
      <dgm:prSet/>
      <dgm:spPr/>
      <dgm:t>
        <a:bodyPr/>
        <a:lstStyle/>
        <a:p>
          <a:endParaRPr lang="pt-BR"/>
        </a:p>
      </dgm:t>
    </dgm:pt>
    <dgm:pt modelId="{419CA0E6-9382-4433-B75A-37B0D0AE9133}">
      <dgm:prSet phldrT="[Texto]" custT="1"/>
      <dgm:spPr>
        <a:xfrm>
          <a:off x="8579540" y="4146518"/>
          <a:ext cx="1120078" cy="577841"/>
        </a:xfrm>
        <a:solidFill>
          <a:srgbClr val="44546A"/>
        </a:solidFill>
        <a:ln w="12700" cap="flat" cmpd="sng" algn="ctr">
          <a:solidFill>
            <a:sysClr val="window" lastClr="FFFFFF">
              <a:hueOff val="0"/>
              <a:satOff val="0"/>
              <a:lumOff val="0"/>
              <a:alphaOff val="0"/>
            </a:sysClr>
          </a:solidFill>
          <a:prstDash val="solid"/>
          <a:miter lim="800000"/>
        </a:ln>
        <a:effectLst/>
      </dgm:spPr>
      <dgm:t>
        <a:bodyPr/>
        <a:lstStyle/>
        <a:p>
          <a:r>
            <a:rPr lang="pt-BR" sz="900" dirty="0">
              <a:solidFill>
                <a:sysClr val="window" lastClr="FFFFFF"/>
              </a:solidFill>
              <a:latin typeface="Calibri" panose="020F0502020204030204"/>
              <a:ea typeface="+mn-ea"/>
              <a:cs typeface="+mn-cs"/>
            </a:rPr>
            <a:t>Estágio Supervisionado: Ensino Médio</a:t>
          </a:r>
        </a:p>
      </dgm:t>
    </dgm:pt>
    <dgm:pt modelId="{5D9920F3-3262-42DE-A597-AFA0FB8B5F22}" type="parTrans" cxnId="{8691186C-96F7-43D0-9957-053C65139F16}">
      <dgm:prSet/>
      <dgm:spPr/>
      <dgm:t>
        <a:bodyPr/>
        <a:lstStyle/>
        <a:p>
          <a:endParaRPr lang="pt-BR"/>
        </a:p>
      </dgm:t>
    </dgm:pt>
    <dgm:pt modelId="{E1AD0B09-BDE6-49C3-B5CA-7C9E30D4442A}" type="sibTrans" cxnId="{8691186C-96F7-43D0-9957-053C65139F16}">
      <dgm:prSet/>
      <dgm:spPr/>
      <dgm:t>
        <a:bodyPr/>
        <a:lstStyle/>
        <a:p>
          <a:endParaRPr lang="pt-BR"/>
        </a:p>
      </dgm:t>
    </dgm:pt>
    <dgm:pt modelId="{9B2AF6A4-A590-43D0-99D5-07D556451201}">
      <dgm:prSet phldrT="[Texto]" custT="1"/>
      <dgm:spPr>
        <a:xfrm>
          <a:off x="8579540" y="4813258"/>
          <a:ext cx="1120078" cy="577841"/>
        </a:xfr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r>
            <a:rPr lang="pt-BR" sz="1200" dirty="0">
              <a:solidFill>
                <a:sysClr val="window" lastClr="FFFFFF"/>
              </a:solidFill>
              <a:latin typeface="Calibri" panose="020F0502020204030204"/>
              <a:ea typeface="+mn-ea"/>
              <a:cs typeface="+mn-cs"/>
            </a:rPr>
            <a:t>UC Eletiva</a:t>
          </a:r>
        </a:p>
      </dgm:t>
    </dgm:pt>
    <dgm:pt modelId="{52AEC477-BD04-4719-8227-7BC2B5CA73A0}" type="parTrans" cxnId="{964A60A5-8D48-49DB-97F0-4E7AA8AA64FF}">
      <dgm:prSet/>
      <dgm:spPr/>
      <dgm:t>
        <a:bodyPr/>
        <a:lstStyle/>
        <a:p>
          <a:endParaRPr lang="pt-BR"/>
        </a:p>
      </dgm:t>
    </dgm:pt>
    <dgm:pt modelId="{8CC77F2A-B0FF-44A1-B334-4BA0A3EEED00}" type="sibTrans" cxnId="{964A60A5-8D48-49DB-97F0-4E7AA8AA64FF}">
      <dgm:prSet/>
      <dgm:spPr/>
      <dgm:t>
        <a:bodyPr/>
        <a:lstStyle/>
        <a:p>
          <a:endParaRPr lang="pt-BR"/>
        </a:p>
      </dgm:t>
    </dgm:pt>
    <dgm:pt modelId="{FF041791-8C80-4D88-A30E-157602DBE68A}">
      <dgm:prSet phldrT="[Texto]" custT="1"/>
      <dgm:spPr>
        <a:xfrm>
          <a:off x="8579540" y="2146297"/>
          <a:ext cx="1120078" cy="577841"/>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050" dirty="0">
              <a:solidFill>
                <a:sysClr val="window" lastClr="FFFFFF"/>
              </a:solidFill>
              <a:latin typeface="Calibri" panose="020F0502020204030204"/>
              <a:ea typeface="+mn-ea"/>
              <a:cs typeface="+mn-cs"/>
            </a:rPr>
            <a:t>Gestão de Sistema Es</a:t>
          </a:r>
          <a:r>
            <a:rPr lang="pt-BR" sz="1200" dirty="0">
              <a:solidFill>
                <a:sysClr val="window" lastClr="FFFFFF"/>
              </a:solidFill>
              <a:latin typeface="Calibri" panose="020F0502020204030204"/>
              <a:ea typeface="+mn-ea"/>
              <a:cs typeface="+mn-cs"/>
            </a:rPr>
            <a:t>colar*</a:t>
          </a:r>
        </a:p>
      </dgm:t>
    </dgm:pt>
    <dgm:pt modelId="{4B644BD5-8F0E-43B7-B552-CD1E4B8CA1F5}" type="parTrans" cxnId="{7FD2BFEC-BC7F-448A-881D-634934FBC8C9}">
      <dgm:prSet/>
      <dgm:spPr/>
      <dgm:t>
        <a:bodyPr/>
        <a:lstStyle/>
        <a:p>
          <a:endParaRPr lang="pt-BR"/>
        </a:p>
      </dgm:t>
    </dgm:pt>
    <dgm:pt modelId="{C2BADF2E-B709-4E88-8305-64150B8B4CDF}" type="sibTrans" cxnId="{7FD2BFEC-BC7F-448A-881D-634934FBC8C9}">
      <dgm:prSet/>
      <dgm:spPr/>
      <dgm:t>
        <a:bodyPr/>
        <a:lstStyle/>
        <a:p>
          <a:endParaRPr lang="pt-BR"/>
        </a:p>
      </dgm:t>
    </dgm:pt>
    <dgm:pt modelId="{582007C8-2433-4B0F-A943-357451E34129}">
      <dgm:prSet phldrT="[Texto]" custT="1"/>
      <dgm:spPr>
        <a:xfrm>
          <a:off x="8579540" y="2813037"/>
          <a:ext cx="1120078" cy="577841"/>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200" dirty="0">
              <a:solidFill>
                <a:sysClr val="window" lastClr="FFFFFF"/>
              </a:solidFill>
              <a:latin typeface="Calibri" panose="020F0502020204030204"/>
              <a:ea typeface="+mn-ea"/>
              <a:cs typeface="+mn-cs"/>
            </a:rPr>
            <a:t>Trabalho de Conclusão de curso</a:t>
          </a:r>
          <a:endParaRPr lang="pt-BR" sz="1050" dirty="0">
            <a:solidFill>
              <a:sysClr val="window" lastClr="FFFFFF"/>
            </a:solidFill>
            <a:latin typeface="Calibri" panose="020F0502020204030204"/>
            <a:ea typeface="+mn-ea"/>
            <a:cs typeface="+mn-cs"/>
          </a:endParaRPr>
        </a:p>
      </dgm:t>
    </dgm:pt>
    <dgm:pt modelId="{390C610B-1454-4EB4-983B-CEC70C6450AF}" type="parTrans" cxnId="{04613D16-58A2-403C-A75A-A92D31FF7FC7}">
      <dgm:prSet/>
      <dgm:spPr/>
      <dgm:t>
        <a:bodyPr/>
        <a:lstStyle/>
        <a:p>
          <a:endParaRPr lang="pt-BR"/>
        </a:p>
      </dgm:t>
    </dgm:pt>
    <dgm:pt modelId="{D6DE02E8-8E77-4E9C-8F2F-87B46757C0AC}" type="sibTrans" cxnId="{04613D16-58A2-403C-A75A-A92D31FF7FC7}">
      <dgm:prSet/>
      <dgm:spPr/>
      <dgm:t>
        <a:bodyPr/>
        <a:lstStyle/>
        <a:p>
          <a:endParaRPr lang="pt-BR"/>
        </a:p>
      </dgm:t>
    </dgm:pt>
    <dgm:pt modelId="{C24F541A-A648-4048-BD6A-5FC5A58255C7}">
      <dgm:prSet phldrT="[Texto]" custT="1"/>
      <dgm:spPr>
        <a:xfrm>
          <a:off x="6129368" y="1480824"/>
          <a:ext cx="1120078" cy="696275"/>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História Contemporânea no século XIX</a:t>
          </a:r>
        </a:p>
      </dgm:t>
    </dgm:pt>
    <dgm:pt modelId="{F29F1C9F-9568-44D9-8F40-C30DD484774F}" type="parTrans" cxnId="{BE0DF8A5-2AAD-482F-AB8A-075129E25664}">
      <dgm:prSet/>
      <dgm:spPr/>
      <dgm:t>
        <a:bodyPr/>
        <a:lstStyle/>
        <a:p>
          <a:endParaRPr lang="pt-BR"/>
        </a:p>
      </dgm:t>
    </dgm:pt>
    <dgm:pt modelId="{94C22074-7E08-4F06-ABDC-E8E8AC96EF72}" type="sibTrans" cxnId="{BE0DF8A5-2AAD-482F-AB8A-075129E25664}">
      <dgm:prSet/>
      <dgm:spPr/>
      <dgm:t>
        <a:bodyPr/>
        <a:lstStyle/>
        <a:p>
          <a:endParaRPr lang="pt-BR"/>
        </a:p>
      </dgm:t>
    </dgm:pt>
    <dgm:pt modelId="{A7F00FC4-62E3-40CB-A8AF-F2F7A72D3D3B}">
      <dgm:prSet phldrT="[Texto]" custT="1"/>
      <dgm:spPr>
        <a:xfrm>
          <a:off x="1229024" y="4146518"/>
          <a:ext cx="1120078" cy="577841"/>
        </a:xfrm>
        <a:solidFill>
          <a:srgbClr val="00B050"/>
        </a:solidFill>
        <a:ln w="12700" cap="flat" cmpd="sng" algn="ctr">
          <a:solidFill>
            <a:sysClr val="window" lastClr="FFFFFF">
              <a:hueOff val="0"/>
              <a:satOff val="0"/>
              <a:lumOff val="0"/>
              <a:alphaOff val="0"/>
            </a:sysClr>
          </a:solidFill>
          <a:prstDash val="solid"/>
          <a:miter lim="800000"/>
        </a:ln>
        <a:effectLst/>
      </dgm:spPr>
      <dgm:t>
        <a:bodyPr/>
        <a:lstStyle/>
        <a:p>
          <a:r>
            <a:rPr lang="pt-BR" sz="1200" dirty="0">
              <a:solidFill>
                <a:sysClr val="window" lastClr="FFFFFF"/>
              </a:solidFill>
              <a:latin typeface="Calibri" panose="020F0502020204030204"/>
              <a:ea typeface="+mn-ea"/>
              <a:cs typeface="+mn-cs"/>
            </a:rPr>
            <a:t>Filosofia da Educação</a:t>
          </a:r>
        </a:p>
      </dgm:t>
    </dgm:pt>
    <dgm:pt modelId="{79B19995-A4C0-453E-A1A9-FF172B7B02AD}" type="parTrans" cxnId="{EDA74C46-C777-4CF1-A929-FD8F0DA2D5FE}">
      <dgm:prSet/>
      <dgm:spPr/>
      <dgm:t>
        <a:bodyPr/>
        <a:lstStyle/>
        <a:p>
          <a:endParaRPr lang="pt-BR"/>
        </a:p>
      </dgm:t>
    </dgm:pt>
    <dgm:pt modelId="{05D140FC-6A93-4CE2-8D24-F24413E06AB6}" type="sibTrans" cxnId="{EDA74C46-C777-4CF1-A929-FD8F0DA2D5FE}">
      <dgm:prSet/>
      <dgm:spPr/>
      <dgm:t>
        <a:bodyPr/>
        <a:lstStyle/>
        <a:p>
          <a:endParaRPr lang="pt-BR"/>
        </a:p>
      </dgm:t>
    </dgm:pt>
    <dgm:pt modelId="{E5AAF4F0-4367-4CE2-A867-1CA50D75B2D9}">
      <dgm:prSet phldrT="[Texto]" custT="1"/>
      <dgm:spPr>
        <a:xfrm>
          <a:off x="6129368" y="4694402"/>
          <a:ext cx="1120078" cy="696275"/>
        </a:xfr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r>
            <a:rPr lang="pt-BR" sz="900" dirty="0">
              <a:solidFill>
                <a:sysClr val="window" lastClr="FFFFFF"/>
              </a:solidFill>
              <a:latin typeface="Calibri" panose="020F0502020204030204"/>
              <a:ea typeface="+mn-ea"/>
              <a:cs typeface="+mn-cs"/>
            </a:rPr>
            <a:t>Política, Cidadania e Direitos humanos no Brasil</a:t>
          </a:r>
        </a:p>
      </dgm:t>
    </dgm:pt>
    <dgm:pt modelId="{EE74BB1B-C48F-436B-909B-01FC8FC6BE3D}" type="parTrans" cxnId="{2EC0A4DE-3D25-4A0D-A972-A9ACF21AA1FD}">
      <dgm:prSet/>
      <dgm:spPr/>
      <dgm:t>
        <a:bodyPr/>
        <a:lstStyle/>
        <a:p>
          <a:endParaRPr lang="pt-BR"/>
        </a:p>
      </dgm:t>
    </dgm:pt>
    <dgm:pt modelId="{3592F31E-1848-417B-9F15-870AF8441C6C}" type="sibTrans" cxnId="{2EC0A4DE-3D25-4A0D-A972-A9ACF21AA1FD}">
      <dgm:prSet/>
      <dgm:spPr/>
      <dgm:t>
        <a:bodyPr/>
        <a:lstStyle/>
        <a:p>
          <a:endParaRPr lang="pt-BR"/>
        </a:p>
      </dgm:t>
    </dgm:pt>
    <dgm:pt modelId="{FBE50144-D1B6-4BBF-8E6D-E7FE49A1469F}">
      <dgm:prSet phldrT="[Texto]" custT="1"/>
      <dgm:spPr>
        <a:xfrm>
          <a:off x="6129368" y="4694402"/>
          <a:ext cx="1120078" cy="696275"/>
        </a:xfr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UC  Eletiva</a:t>
          </a:r>
        </a:p>
      </dgm:t>
    </dgm:pt>
    <dgm:pt modelId="{09BB3CCD-E5B9-4225-A21B-35BF0847A6D0}" type="parTrans" cxnId="{F2B1D61C-F5CF-4B81-80E5-2EE08F58437F}">
      <dgm:prSet/>
      <dgm:spPr/>
      <dgm:t>
        <a:bodyPr/>
        <a:lstStyle/>
        <a:p>
          <a:endParaRPr lang="pt-BR"/>
        </a:p>
      </dgm:t>
    </dgm:pt>
    <dgm:pt modelId="{B10A8665-076A-4C32-A6A1-23C5D2099F7F}" type="sibTrans" cxnId="{F2B1D61C-F5CF-4B81-80E5-2EE08F58437F}">
      <dgm:prSet/>
      <dgm:spPr/>
      <dgm:t>
        <a:bodyPr/>
        <a:lstStyle/>
        <a:p>
          <a:endParaRPr lang="pt-BR"/>
        </a:p>
      </dgm:t>
    </dgm:pt>
    <dgm:pt modelId="{6A532D29-F22B-4E13-B7B5-145CD33BD24B}">
      <dgm:prSet phldrT="[Texto]" custT="1"/>
      <dgm:spPr>
        <a:xfrm>
          <a:off x="2454110" y="2284219"/>
          <a:ext cx="1120078" cy="696275"/>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Metodologia da pesquisa histórica</a:t>
          </a:r>
        </a:p>
      </dgm:t>
    </dgm:pt>
    <dgm:pt modelId="{2299AFEB-A591-4194-AD80-A631C322AEFB}" type="sibTrans" cxnId="{7BF6C77D-F592-4F13-A80F-BDD405C21088}">
      <dgm:prSet/>
      <dgm:spPr/>
      <dgm:t>
        <a:bodyPr/>
        <a:lstStyle/>
        <a:p>
          <a:endParaRPr lang="pt-BR"/>
        </a:p>
      </dgm:t>
    </dgm:pt>
    <dgm:pt modelId="{9B0C748D-3C4D-400A-9860-A4071B04087A}" type="parTrans" cxnId="{7BF6C77D-F592-4F13-A80F-BDD405C21088}">
      <dgm:prSet/>
      <dgm:spPr/>
      <dgm:t>
        <a:bodyPr/>
        <a:lstStyle/>
        <a:p>
          <a:endParaRPr lang="pt-BR"/>
        </a:p>
      </dgm:t>
    </dgm:pt>
    <dgm:pt modelId="{063FAED3-3E04-4AC3-BE70-9369860F9344}">
      <dgm:prSet phldrT="[Texto]" custT="1"/>
      <dgm:spPr>
        <a:xfrm>
          <a:off x="3679196" y="2813037"/>
          <a:ext cx="1120078" cy="577841"/>
        </a:xfr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UC Eletiva</a:t>
          </a:r>
        </a:p>
      </dgm:t>
    </dgm:pt>
    <dgm:pt modelId="{535990CF-F51B-4FE4-9CB7-DE3B7B4C0B08}" type="sibTrans" cxnId="{006372E2-7666-46D2-818D-5B0D0DB21446}">
      <dgm:prSet/>
      <dgm:spPr/>
      <dgm:t>
        <a:bodyPr/>
        <a:lstStyle/>
        <a:p>
          <a:endParaRPr lang="pt-BR"/>
        </a:p>
      </dgm:t>
    </dgm:pt>
    <dgm:pt modelId="{7AE38486-AB3C-4CD9-A3B7-C4E0F6AEB6CB}" type="parTrans" cxnId="{006372E2-7666-46D2-818D-5B0D0DB21446}">
      <dgm:prSet/>
      <dgm:spPr/>
      <dgm:t>
        <a:bodyPr/>
        <a:lstStyle/>
        <a:p>
          <a:endParaRPr lang="pt-BR"/>
        </a:p>
      </dgm:t>
    </dgm:pt>
    <dgm:pt modelId="{13FEB083-96E5-41AF-92CB-7F9B3DA207AB}">
      <dgm:prSet phldrT="[Texto]" custT="1"/>
      <dgm:spPr>
        <a:xfrm>
          <a:off x="1229024" y="2813037"/>
          <a:ext cx="1120078" cy="577841"/>
        </a:xfrm>
        <a:solidFill>
          <a:srgbClr val="00B050"/>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Educação e Diversidade</a:t>
          </a:r>
        </a:p>
      </dgm:t>
    </dgm:pt>
    <dgm:pt modelId="{C1D7A1FD-22B9-47E2-818A-48E65B313339}" type="parTrans" cxnId="{8C43B2B3-349E-4CAE-80F2-385284A020F9}">
      <dgm:prSet/>
      <dgm:spPr/>
      <dgm:t>
        <a:bodyPr/>
        <a:lstStyle/>
        <a:p>
          <a:endParaRPr lang="pt-BR"/>
        </a:p>
      </dgm:t>
    </dgm:pt>
    <dgm:pt modelId="{065BAC2A-F4CC-4410-8AFF-3EF38B4E385D}" type="sibTrans" cxnId="{8C43B2B3-349E-4CAE-80F2-385284A020F9}">
      <dgm:prSet/>
      <dgm:spPr/>
      <dgm:t>
        <a:bodyPr/>
        <a:lstStyle/>
        <a:p>
          <a:endParaRPr lang="pt-BR"/>
        </a:p>
      </dgm:t>
    </dgm:pt>
    <dgm:pt modelId="{3AEDC259-6883-494B-B823-7BCC1D70C1A4}">
      <dgm:prSet phldrT="[Texto]" custT="1"/>
      <dgm:spPr>
        <a:xfrm>
          <a:off x="8579540" y="2146297"/>
          <a:ext cx="1120078" cy="577841"/>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r>
            <a:rPr lang="pt-BR" sz="1100" dirty="0">
              <a:solidFill>
                <a:sysClr val="window" lastClr="FFFFFF"/>
              </a:solidFill>
              <a:latin typeface="Calibri" panose="020F0502020204030204"/>
              <a:ea typeface="+mn-ea"/>
              <a:cs typeface="+mn-cs"/>
            </a:rPr>
            <a:t>História de Minas Gerais</a:t>
          </a:r>
        </a:p>
      </dgm:t>
    </dgm:pt>
    <dgm:pt modelId="{4D38CC3B-0E9D-41F4-98E7-756A0C571ED7}" type="sibTrans" cxnId="{BC390E40-5864-406A-A1FF-C38BB4EAD487}">
      <dgm:prSet/>
      <dgm:spPr/>
      <dgm:t>
        <a:bodyPr/>
        <a:lstStyle/>
        <a:p>
          <a:endParaRPr lang="pt-BR"/>
        </a:p>
      </dgm:t>
    </dgm:pt>
    <dgm:pt modelId="{166ED53E-55EE-453B-AECD-59674B251141}" type="parTrans" cxnId="{BC390E40-5864-406A-A1FF-C38BB4EAD487}">
      <dgm:prSet/>
      <dgm:spPr/>
      <dgm:t>
        <a:bodyPr/>
        <a:lstStyle/>
        <a:p>
          <a:endParaRPr lang="pt-BR"/>
        </a:p>
      </dgm:t>
    </dgm:pt>
    <dgm:pt modelId="{466B11D5-0DB5-4A94-9316-9B3CB03F89CD}" type="pres">
      <dgm:prSet presAssocID="{23278341-F6E9-471E-9D49-660DC80481A3}" presName="theList" presStyleCnt="0">
        <dgm:presLayoutVars>
          <dgm:dir/>
          <dgm:animLvl val="lvl"/>
          <dgm:resizeHandles val="exact"/>
        </dgm:presLayoutVars>
      </dgm:prSet>
      <dgm:spPr/>
      <dgm:t>
        <a:bodyPr/>
        <a:lstStyle/>
        <a:p>
          <a:endParaRPr lang="pt-BR"/>
        </a:p>
      </dgm:t>
    </dgm:pt>
    <dgm:pt modelId="{85006803-1994-47DD-80DF-2196DCB6B48E}" type="pres">
      <dgm:prSet presAssocID="{EEA99D33-35EA-4F46-8E3A-83AC1DF76615}" presName="compNode" presStyleCnt="0"/>
      <dgm:spPr/>
    </dgm:pt>
    <dgm:pt modelId="{A01779F3-12C2-40D2-A5B8-8F3CB2DF0443}" type="pres">
      <dgm:prSet presAssocID="{EEA99D33-35EA-4F46-8E3A-83AC1DF76615}" presName="aNode" presStyleLbl="bgShp" presStyleIdx="0" presStyleCnt="8" custScaleX="68302" custScaleY="68302"/>
      <dgm:spPr>
        <a:prstGeom prst="roundRect">
          <a:avLst>
            <a:gd name="adj" fmla="val 10000"/>
          </a:avLst>
        </a:prstGeom>
      </dgm:spPr>
      <dgm:t>
        <a:bodyPr/>
        <a:lstStyle/>
        <a:p>
          <a:endParaRPr lang="pt-BR"/>
        </a:p>
      </dgm:t>
    </dgm:pt>
    <dgm:pt modelId="{EC91E06A-6ADB-44A6-A337-B32D84790BCB}" type="pres">
      <dgm:prSet presAssocID="{EEA99D33-35EA-4F46-8E3A-83AC1DF76615}" presName="textNode" presStyleLbl="bgShp" presStyleIdx="0" presStyleCnt="8"/>
      <dgm:spPr/>
      <dgm:t>
        <a:bodyPr/>
        <a:lstStyle/>
        <a:p>
          <a:endParaRPr lang="pt-BR"/>
        </a:p>
      </dgm:t>
    </dgm:pt>
    <dgm:pt modelId="{0F241A54-1118-480D-86A1-9ED5006BF235}" type="pres">
      <dgm:prSet presAssocID="{EEA99D33-35EA-4F46-8E3A-83AC1DF76615}" presName="compChildNode" presStyleCnt="0"/>
      <dgm:spPr/>
    </dgm:pt>
    <dgm:pt modelId="{E3950DAE-92FC-4BAA-BA51-AAD8237CA619}" type="pres">
      <dgm:prSet presAssocID="{EEA99D33-35EA-4F46-8E3A-83AC1DF76615}" presName="theInnerList" presStyleCnt="0"/>
      <dgm:spPr/>
    </dgm:pt>
    <dgm:pt modelId="{351D97C9-E4B0-4541-B560-2F232E922138}" type="pres">
      <dgm:prSet presAssocID="{B4500965-57E0-4518-A8E9-2AEBF6251B43}" presName="childNode" presStyleLbl="node1" presStyleIdx="0" presStyleCnt="43" custLinFactY="100000" custLinFactNeighborX="-352" custLinFactNeighborY="124563">
        <dgm:presLayoutVars>
          <dgm:bulletEnabled val="1"/>
        </dgm:presLayoutVars>
      </dgm:prSet>
      <dgm:spPr>
        <a:prstGeom prst="roundRect">
          <a:avLst>
            <a:gd name="adj" fmla="val 10000"/>
          </a:avLst>
        </a:prstGeom>
      </dgm:spPr>
      <dgm:t>
        <a:bodyPr/>
        <a:lstStyle/>
        <a:p>
          <a:endParaRPr lang="pt-BR"/>
        </a:p>
      </dgm:t>
    </dgm:pt>
    <dgm:pt modelId="{9A7FE096-6B58-4665-AA0A-6850D06AAA4C}" type="pres">
      <dgm:prSet presAssocID="{B4500965-57E0-4518-A8E9-2AEBF6251B43}" presName="aSpace2" presStyleCnt="0"/>
      <dgm:spPr/>
    </dgm:pt>
    <dgm:pt modelId="{FCEB8A49-7B31-4062-9CC9-6EA79DF93A1E}" type="pres">
      <dgm:prSet presAssocID="{E4D39793-E396-4008-8484-71A22A7D4E74}" presName="childNode" presStyleLbl="node1" presStyleIdx="1" presStyleCnt="43" custLinFactY="-97159" custLinFactNeighborX="-1193" custLinFactNeighborY="-100000">
        <dgm:presLayoutVars>
          <dgm:bulletEnabled val="1"/>
        </dgm:presLayoutVars>
      </dgm:prSet>
      <dgm:spPr>
        <a:prstGeom prst="roundRect">
          <a:avLst>
            <a:gd name="adj" fmla="val 10000"/>
          </a:avLst>
        </a:prstGeom>
      </dgm:spPr>
      <dgm:t>
        <a:bodyPr/>
        <a:lstStyle/>
        <a:p>
          <a:endParaRPr lang="pt-BR"/>
        </a:p>
      </dgm:t>
    </dgm:pt>
    <dgm:pt modelId="{4CC6DA84-444C-46B9-8048-E4CE98F0BA23}" type="pres">
      <dgm:prSet presAssocID="{E4D39793-E396-4008-8484-71A22A7D4E74}" presName="aSpace2" presStyleCnt="0"/>
      <dgm:spPr/>
    </dgm:pt>
    <dgm:pt modelId="{1E27EB20-4E55-4C6E-AD44-57A922AD1E26}" type="pres">
      <dgm:prSet presAssocID="{E5AAF4F0-4367-4CE2-A867-1CA50D75B2D9}" presName="childNode" presStyleLbl="node1" presStyleIdx="2" presStyleCnt="43">
        <dgm:presLayoutVars>
          <dgm:bulletEnabled val="1"/>
        </dgm:presLayoutVars>
      </dgm:prSet>
      <dgm:spPr>
        <a:prstGeom prst="roundRect">
          <a:avLst>
            <a:gd name="adj" fmla="val 10000"/>
          </a:avLst>
        </a:prstGeom>
      </dgm:spPr>
      <dgm:t>
        <a:bodyPr/>
        <a:lstStyle/>
        <a:p>
          <a:endParaRPr lang="pt-BR"/>
        </a:p>
      </dgm:t>
    </dgm:pt>
    <dgm:pt modelId="{1EBC95AE-CA01-4798-A204-AE011A5BE6A2}" type="pres">
      <dgm:prSet presAssocID="{E5AAF4F0-4367-4CE2-A867-1CA50D75B2D9}" presName="aSpace2" presStyleCnt="0"/>
      <dgm:spPr/>
    </dgm:pt>
    <dgm:pt modelId="{983D58CC-0F3C-4BBF-A34B-5DC42579520C}" type="pres">
      <dgm:prSet presAssocID="{FBE50144-D1B6-4BBF-8E6D-E7FE49A1469F}" presName="childNode" presStyleLbl="node1" presStyleIdx="3" presStyleCnt="43">
        <dgm:presLayoutVars>
          <dgm:bulletEnabled val="1"/>
        </dgm:presLayoutVars>
      </dgm:prSet>
      <dgm:spPr>
        <a:prstGeom prst="roundRect">
          <a:avLst>
            <a:gd name="adj" fmla="val 10000"/>
          </a:avLst>
        </a:prstGeom>
      </dgm:spPr>
      <dgm:t>
        <a:bodyPr/>
        <a:lstStyle/>
        <a:p>
          <a:endParaRPr lang="pt-BR"/>
        </a:p>
      </dgm:t>
    </dgm:pt>
    <dgm:pt modelId="{1CF551EA-E981-4AF8-9C47-AD4C05AF65E5}" type="pres">
      <dgm:prSet presAssocID="{FBE50144-D1B6-4BBF-8E6D-E7FE49A1469F}" presName="aSpace2" presStyleCnt="0"/>
      <dgm:spPr/>
    </dgm:pt>
    <dgm:pt modelId="{3A0CECA1-6F7C-449E-A0A4-A18B7B62E218}" type="pres">
      <dgm:prSet presAssocID="{CA3969F5-AA39-42E0-A82D-8B16A49EF2C2}" presName="childNode" presStyleLbl="node1" presStyleIdx="4" presStyleCnt="43">
        <dgm:presLayoutVars>
          <dgm:bulletEnabled val="1"/>
        </dgm:presLayoutVars>
      </dgm:prSet>
      <dgm:spPr>
        <a:prstGeom prst="roundRect">
          <a:avLst>
            <a:gd name="adj" fmla="val 10000"/>
          </a:avLst>
        </a:prstGeom>
      </dgm:spPr>
      <dgm:t>
        <a:bodyPr/>
        <a:lstStyle/>
        <a:p>
          <a:endParaRPr lang="pt-BR"/>
        </a:p>
      </dgm:t>
    </dgm:pt>
    <dgm:pt modelId="{4C14C9FE-C289-4400-A53A-48055C106B5A}" type="pres">
      <dgm:prSet presAssocID="{CA3969F5-AA39-42E0-A82D-8B16A49EF2C2}" presName="aSpace2" presStyleCnt="0"/>
      <dgm:spPr/>
    </dgm:pt>
    <dgm:pt modelId="{EC8215ED-C71E-4826-9F39-1FEFC26AD001}" type="pres">
      <dgm:prSet presAssocID="{25D9B946-C61B-4E64-85C9-A06184CCF951}" presName="childNode" presStyleLbl="node1" presStyleIdx="5" presStyleCnt="43">
        <dgm:presLayoutVars>
          <dgm:bulletEnabled val="1"/>
        </dgm:presLayoutVars>
      </dgm:prSet>
      <dgm:spPr>
        <a:prstGeom prst="roundRect">
          <a:avLst>
            <a:gd name="adj" fmla="val 10000"/>
          </a:avLst>
        </a:prstGeom>
      </dgm:spPr>
      <dgm:t>
        <a:bodyPr/>
        <a:lstStyle/>
        <a:p>
          <a:endParaRPr lang="pt-BR"/>
        </a:p>
      </dgm:t>
    </dgm:pt>
    <dgm:pt modelId="{9ABEDA6D-5F1F-41D1-A98C-F4D0EE95894A}" type="pres">
      <dgm:prSet presAssocID="{EEA99D33-35EA-4F46-8E3A-83AC1DF76615}" presName="aSpace" presStyleCnt="0"/>
      <dgm:spPr/>
    </dgm:pt>
    <dgm:pt modelId="{79A3A1F4-1F31-46DE-8821-459F1EE449AF}" type="pres">
      <dgm:prSet presAssocID="{DAC54909-FF3C-45BE-A4C8-B5A430F49DB1}" presName="compNode" presStyleCnt="0"/>
      <dgm:spPr/>
    </dgm:pt>
    <dgm:pt modelId="{32E9B4A4-A74E-482A-81D9-9E5D63A01AA6}" type="pres">
      <dgm:prSet presAssocID="{DAC54909-FF3C-45BE-A4C8-B5A430F49DB1}" presName="aNode" presStyleLbl="bgShp" presStyleIdx="1" presStyleCnt="8" custScaleX="68302" custScaleY="68302"/>
      <dgm:spPr>
        <a:prstGeom prst="roundRect">
          <a:avLst>
            <a:gd name="adj" fmla="val 10000"/>
          </a:avLst>
        </a:prstGeom>
      </dgm:spPr>
      <dgm:t>
        <a:bodyPr/>
        <a:lstStyle/>
        <a:p>
          <a:endParaRPr lang="pt-BR"/>
        </a:p>
      </dgm:t>
    </dgm:pt>
    <dgm:pt modelId="{116D88ED-6A55-46AA-B06E-940C961FA678}" type="pres">
      <dgm:prSet presAssocID="{DAC54909-FF3C-45BE-A4C8-B5A430F49DB1}" presName="textNode" presStyleLbl="bgShp" presStyleIdx="1" presStyleCnt="8"/>
      <dgm:spPr/>
      <dgm:t>
        <a:bodyPr/>
        <a:lstStyle/>
        <a:p>
          <a:endParaRPr lang="pt-BR"/>
        </a:p>
      </dgm:t>
    </dgm:pt>
    <dgm:pt modelId="{79CDE1BB-B683-497B-BEA9-9CC54107F669}" type="pres">
      <dgm:prSet presAssocID="{DAC54909-FF3C-45BE-A4C8-B5A430F49DB1}" presName="compChildNode" presStyleCnt="0"/>
      <dgm:spPr/>
    </dgm:pt>
    <dgm:pt modelId="{9F831005-6ED0-4CA9-8B60-4E8B9BF88BDC}" type="pres">
      <dgm:prSet presAssocID="{DAC54909-FF3C-45BE-A4C8-B5A430F49DB1}" presName="theInnerList" presStyleCnt="0"/>
      <dgm:spPr/>
    </dgm:pt>
    <dgm:pt modelId="{01D06994-6248-4BE4-A0C6-50F6964D328B}" type="pres">
      <dgm:prSet presAssocID="{C4A4FA88-F261-49FF-A54A-4F1056B4A172}" presName="childNode" presStyleLbl="node1" presStyleIdx="6" presStyleCnt="43">
        <dgm:presLayoutVars>
          <dgm:bulletEnabled val="1"/>
        </dgm:presLayoutVars>
      </dgm:prSet>
      <dgm:spPr>
        <a:prstGeom prst="roundRect">
          <a:avLst>
            <a:gd name="adj" fmla="val 10000"/>
          </a:avLst>
        </a:prstGeom>
      </dgm:spPr>
      <dgm:t>
        <a:bodyPr/>
        <a:lstStyle/>
        <a:p>
          <a:endParaRPr lang="pt-BR"/>
        </a:p>
      </dgm:t>
    </dgm:pt>
    <dgm:pt modelId="{8F06B682-4AAD-4C2F-BA49-1EF8A2A2B2E1}" type="pres">
      <dgm:prSet presAssocID="{C4A4FA88-F261-49FF-A54A-4F1056B4A172}" presName="aSpace2" presStyleCnt="0"/>
      <dgm:spPr/>
    </dgm:pt>
    <dgm:pt modelId="{E59E8AC7-AB45-4064-8131-3091C1303AF3}" type="pres">
      <dgm:prSet presAssocID="{2797AB4F-958A-40E2-B456-B9296B971E8E}" presName="childNode" presStyleLbl="node1" presStyleIdx="7" presStyleCnt="43">
        <dgm:presLayoutVars>
          <dgm:bulletEnabled val="1"/>
        </dgm:presLayoutVars>
      </dgm:prSet>
      <dgm:spPr>
        <a:prstGeom prst="roundRect">
          <a:avLst>
            <a:gd name="adj" fmla="val 10000"/>
          </a:avLst>
        </a:prstGeom>
      </dgm:spPr>
      <dgm:t>
        <a:bodyPr/>
        <a:lstStyle/>
        <a:p>
          <a:endParaRPr lang="pt-BR"/>
        </a:p>
      </dgm:t>
    </dgm:pt>
    <dgm:pt modelId="{56BA8420-0AC3-47BC-B4DE-579B61EF55CA}" type="pres">
      <dgm:prSet presAssocID="{2797AB4F-958A-40E2-B456-B9296B971E8E}" presName="aSpace2" presStyleCnt="0"/>
      <dgm:spPr/>
    </dgm:pt>
    <dgm:pt modelId="{388F0F6F-CA50-45BD-880A-3ED4D0890BD5}" type="pres">
      <dgm:prSet presAssocID="{485F8DD0-E3B3-4580-B787-BAC01EE23120}" presName="childNode" presStyleLbl="node1" presStyleIdx="8" presStyleCnt="43" custLinFactNeighborY="23808">
        <dgm:presLayoutVars>
          <dgm:bulletEnabled val="1"/>
        </dgm:presLayoutVars>
      </dgm:prSet>
      <dgm:spPr>
        <a:prstGeom prst="roundRect">
          <a:avLst>
            <a:gd name="adj" fmla="val 10000"/>
          </a:avLst>
        </a:prstGeom>
      </dgm:spPr>
      <dgm:t>
        <a:bodyPr/>
        <a:lstStyle/>
        <a:p>
          <a:endParaRPr lang="pt-BR"/>
        </a:p>
      </dgm:t>
    </dgm:pt>
    <dgm:pt modelId="{87DF5C43-A49B-4FED-8C9B-E02350216578}" type="pres">
      <dgm:prSet presAssocID="{485F8DD0-E3B3-4580-B787-BAC01EE23120}" presName="aSpace2" presStyleCnt="0"/>
      <dgm:spPr/>
    </dgm:pt>
    <dgm:pt modelId="{B18F3544-9CBD-427F-8EE2-613E03A42802}" type="pres">
      <dgm:prSet presAssocID="{13FEB083-96E5-41AF-92CB-7F9B3DA207AB}" presName="childNode" presStyleLbl="node1" presStyleIdx="9" presStyleCnt="43">
        <dgm:presLayoutVars>
          <dgm:bulletEnabled val="1"/>
        </dgm:presLayoutVars>
      </dgm:prSet>
      <dgm:spPr>
        <a:prstGeom prst="roundRect">
          <a:avLst>
            <a:gd name="adj" fmla="val 10000"/>
          </a:avLst>
        </a:prstGeom>
      </dgm:spPr>
      <dgm:t>
        <a:bodyPr/>
        <a:lstStyle/>
        <a:p>
          <a:endParaRPr lang="pt-BR"/>
        </a:p>
      </dgm:t>
    </dgm:pt>
    <dgm:pt modelId="{FBDE8C37-E1CC-4655-8EF6-2173AABEBBF9}" type="pres">
      <dgm:prSet presAssocID="{13FEB083-96E5-41AF-92CB-7F9B3DA207AB}" presName="aSpace2" presStyleCnt="0"/>
      <dgm:spPr/>
    </dgm:pt>
    <dgm:pt modelId="{9BE9AC15-82ED-4C5C-8402-99E86F8B33ED}" type="pres">
      <dgm:prSet presAssocID="{0797DE79-27F4-4437-B54E-D18763A99BAC}" presName="childNode" presStyleLbl="node1" presStyleIdx="10" presStyleCnt="43">
        <dgm:presLayoutVars>
          <dgm:bulletEnabled val="1"/>
        </dgm:presLayoutVars>
      </dgm:prSet>
      <dgm:spPr>
        <a:prstGeom prst="roundRect">
          <a:avLst>
            <a:gd name="adj" fmla="val 10000"/>
          </a:avLst>
        </a:prstGeom>
      </dgm:spPr>
      <dgm:t>
        <a:bodyPr/>
        <a:lstStyle/>
        <a:p>
          <a:endParaRPr lang="pt-BR"/>
        </a:p>
      </dgm:t>
    </dgm:pt>
    <dgm:pt modelId="{17253C87-3779-40F1-94E5-2EDE00D2D7E1}" type="pres">
      <dgm:prSet presAssocID="{0797DE79-27F4-4437-B54E-D18763A99BAC}" presName="aSpace2" presStyleCnt="0"/>
      <dgm:spPr/>
    </dgm:pt>
    <dgm:pt modelId="{DAF3F12C-E3C4-44C4-8961-3B6372939CF4}" type="pres">
      <dgm:prSet presAssocID="{A7F00FC4-62E3-40CB-A8AF-F2F7A72D3D3B}" presName="childNode" presStyleLbl="node1" presStyleIdx="11" presStyleCnt="43">
        <dgm:presLayoutVars>
          <dgm:bulletEnabled val="1"/>
        </dgm:presLayoutVars>
      </dgm:prSet>
      <dgm:spPr>
        <a:prstGeom prst="roundRect">
          <a:avLst>
            <a:gd name="adj" fmla="val 10000"/>
          </a:avLst>
        </a:prstGeom>
      </dgm:spPr>
      <dgm:t>
        <a:bodyPr/>
        <a:lstStyle/>
        <a:p>
          <a:endParaRPr lang="pt-BR"/>
        </a:p>
      </dgm:t>
    </dgm:pt>
    <dgm:pt modelId="{B32C3C23-A00E-4738-A1C0-6D5DBD7FD024}" type="pres">
      <dgm:prSet presAssocID="{DAC54909-FF3C-45BE-A4C8-B5A430F49DB1}" presName="aSpace" presStyleCnt="0"/>
      <dgm:spPr/>
    </dgm:pt>
    <dgm:pt modelId="{C03FDD29-1764-4668-B87F-DC7388C1B19C}" type="pres">
      <dgm:prSet presAssocID="{01ABCE83-B917-40A8-9471-C4550E6C6C9D}" presName="compNode" presStyleCnt="0"/>
      <dgm:spPr/>
    </dgm:pt>
    <dgm:pt modelId="{B5D5F797-E487-483C-9C14-197B59514F84}" type="pres">
      <dgm:prSet presAssocID="{01ABCE83-B917-40A8-9471-C4550E6C6C9D}" presName="aNode" presStyleLbl="bgShp" presStyleIdx="2" presStyleCnt="8" custScaleX="68302" custScaleY="68302"/>
      <dgm:spPr>
        <a:prstGeom prst="roundRect">
          <a:avLst>
            <a:gd name="adj" fmla="val 10000"/>
          </a:avLst>
        </a:prstGeom>
      </dgm:spPr>
      <dgm:t>
        <a:bodyPr/>
        <a:lstStyle/>
        <a:p>
          <a:endParaRPr lang="pt-BR"/>
        </a:p>
      </dgm:t>
    </dgm:pt>
    <dgm:pt modelId="{A46ADD70-521A-40C8-A0B8-EE0CF5CFD6FA}" type="pres">
      <dgm:prSet presAssocID="{01ABCE83-B917-40A8-9471-C4550E6C6C9D}" presName="textNode" presStyleLbl="bgShp" presStyleIdx="2" presStyleCnt="8"/>
      <dgm:spPr/>
      <dgm:t>
        <a:bodyPr/>
        <a:lstStyle/>
        <a:p>
          <a:endParaRPr lang="pt-BR"/>
        </a:p>
      </dgm:t>
    </dgm:pt>
    <dgm:pt modelId="{0B0A2186-2699-4C3E-9560-A66F636E279E}" type="pres">
      <dgm:prSet presAssocID="{01ABCE83-B917-40A8-9471-C4550E6C6C9D}" presName="compChildNode" presStyleCnt="0"/>
      <dgm:spPr/>
    </dgm:pt>
    <dgm:pt modelId="{F0AF51D9-BD29-497E-BC06-0B4D713833CD}" type="pres">
      <dgm:prSet presAssocID="{01ABCE83-B917-40A8-9471-C4550E6C6C9D}" presName="theInnerList" presStyleCnt="0"/>
      <dgm:spPr/>
    </dgm:pt>
    <dgm:pt modelId="{F9E70B55-81AE-4F59-893A-3315A397D28B}" type="pres">
      <dgm:prSet presAssocID="{A3713F10-7155-42F1-9689-B311D3DD1CFD}" presName="childNode" presStyleLbl="node1" presStyleIdx="12" presStyleCnt="43">
        <dgm:presLayoutVars>
          <dgm:bulletEnabled val="1"/>
        </dgm:presLayoutVars>
      </dgm:prSet>
      <dgm:spPr>
        <a:prstGeom prst="roundRect">
          <a:avLst>
            <a:gd name="adj" fmla="val 10000"/>
          </a:avLst>
        </a:prstGeom>
      </dgm:spPr>
      <dgm:t>
        <a:bodyPr/>
        <a:lstStyle/>
        <a:p>
          <a:endParaRPr lang="pt-BR"/>
        </a:p>
      </dgm:t>
    </dgm:pt>
    <dgm:pt modelId="{1AF1855E-44E5-4BB7-B6CA-CEB1F22FE53A}" type="pres">
      <dgm:prSet presAssocID="{A3713F10-7155-42F1-9689-B311D3DD1CFD}" presName="aSpace2" presStyleCnt="0"/>
      <dgm:spPr/>
    </dgm:pt>
    <dgm:pt modelId="{0379949A-40E6-449F-8447-CDBC7DCAF3C6}" type="pres">
      <dgm:prSet presAssocID="{6A532D29-F22B-4E13-B7B5-145CD33BD24B}" presName="childNode" presStyleLbl="node1" presStyleIdx="13" presStyleCnt="43">
        <dgm:presLayoutVars>
          <dgm:bulletEnabled val="1"/>
        </dgm:presLayoutVars>
      </dgm:prSet>
      <dgm:spPr>
        <a:prstGeom prst="roundRect">
          <a:avLst>
            <a:gd name="adj" fmla="val 10000"/>
          </a:avLst>
        </a:prstGeom>
      </dgm:spPr>
      <dgm:t>
        <a:bodyPr/>
        <a:lstStyle/>
        <a:p>
          <a:endParaRPr lang="pt-BR"/>
        </a:p>
      </dgm:t>
    </dgm:pt>
    <dgm:pt modelId="{76D3CE11-A5DA-4B0D-BF2C-BF13E33F157E}" type="pres">
      <dgm:prSet presAssocID="{6A532D29-F22B-4E13-B7B5-145CD33BD24B}" presName="aSpace2" presStyleCnt="0"/>
      <dgm:spPr/>
    </dgm:pt>
    <dgm:pt modelId="{E8BCA177-AF5E-4F00-822F-74C769FF12DB}" type="pres">
      <dgm:prSet presAssocID="{AE6DA854-8718-4FBB-93EE-03D3729FE0F1}" presName="childNode" presStyleLbl="node1" presStyleIdx="14" presStyleCnt="43" custLinFactNeighborX="0" custLinFactNeighborY="-11903">
        <dgm:presLayoutVars>
          <dgm:bulletEnabled val="1"/>
        </dgm:presLayoutVars>
      </dgm:prSet>
      <dgm:spPr>
        <a:prstGeom prst="roundRect">
          <a:avLst>
            <a:gd name="adj" fmla="val 10000"/>
          </a:avLst>
        </a:prstGeom>
      </dgm:spPr>
      <dgm:t>
        <a:bodyPr/>
        <a:lstStyle/>
        <a:p>
          <a:endParaRPr lang="pt-BR"/>
        </a:p>
      </dgm:t>
    </dgm:pt>
    <dgm:pt modelId="{A4A70B0F-87EF-44AE-B11A-EB7B9205AFD3}" type="pres">
      <dgm:prSet presAssocID="{AE6DA854-8718-4FBB-93EE-03D3729FE0F1}" presName="aSpace2" presStyleCnt="0"/>
      <dgm:spPr/>
    </dgm:pt>
    <dgm:pt modelId="{ED41083D-1F94-4055-82BE-CAE013D33B66}" type="pres">
      <dgm:prSet presAssocID="{2BD1954F-3075-4104-82BD-9D5B2B17D1AB}" presName="childNode" presStyleLbl="node1" presStyleIdx="15" presStyleCnt="43">
        <dgm:presLayoutVars>
          <dgm:bulletEnabled val="1"/>
        </dgm:presLayoutVars>
      </dgm:prSet>
      <dgm:spPr>
        <a:prstGeom prst="roundRect">
          <a:avLst>
            <a:gd name="adj" fmla="val 10000"/>
          </a:avLst>
        </a:prstGeom>
      </dgm:spPr>
      <dgm:t>
        <a:bodyPr/>
        <a:lstStyle/>
        <a:p>
          <a:endParaRPr lang="pt-BR"/>
        </a:p>
      </dgm:t>
    </dgm:pt>
    <dgm:pt modelId="{24C9108A-ABC8-4F8A-BF7E-EEA942BBC5E1}" type="pres">
      <dgm:prSet presAssocID="{2BD1954F-3075-4104-82BD-9D5B2B17D1AB}" presName="aSpace2" presStyleCnt="0"/>
      <dgm:spPr/>
    </dgm:pt>
    <dgm:pt modelId="{E1CAE400-24E2-49D6-B8E5-ED0AFA5F613B}" type="pres">
      <dgm:prSet presAssocID="{233C80F0-1138-4126-8694-ED4BE8236705}" presName="childNode" presStyleLbl="node1" presStyleIdx="16" presStyleCnt="43">
        <dgm:presLayoutVars>
          <dgm:bulletEnabled val="1"/>
        </dgm:presLayoutVars>
      </dgm:prSet>
      <dgm:spPr>
        <a:prstGeom prst="roundRect">
          <a:avLst>
            <a:gd name="adj" fmla="val 10000"/>
          </a:avLst>
        </a:prstGeom>
      </dgm:spPr>
      <dgm:t>
        <a:bodyPr/>
        <a:lstStyle/>
        <a:p>
          <a:endParaRPr lang="pt-BR"/>
        </a:p>
      </dgm:t>
    </dgm:pt>
    <dgm:pt modelId="{8B5C15F3-54EA-4DC1-815C-C437BEF533AB}" type="pres">
      <dgm:prSet presAssocID="{01ABCE83-B917-40A8-9471-C4550E6C6C9D}" presName="aSpace" presStyleCnt="0"/>
      <dgm:spPr/>
    </dgm:pt>
    <dgm:pt modelId="{3E3EE92A-E751-418F-818B-8F16438E29FF}" type="pres">
      <dgm:prSet presAssocID="{94DA2CAE-A0E3-45EE-B64B-346FA521EB33}" presName="compNode" presStyleCnt="0"/>
      <dgm:spPr/>
    </dgm:pt>
    <dgm:pt modelId="{D6EC63BF-8C99-4D5F-B6C4-ED8607B8EECA}" type="pres">
      <dgm:prSet presAssocID="{94DA2CAE-A0E3-45EE-B64B-346FA521EB33}" presName="aNode" presStyleLbl="bgShp" presStyleIdx="3" presStyleCnt="8" custScaleX="68302" custScaleY="68302"/>
      <dgm:spPr>
        <a:prstGeom prst="roundRect">
          <a:avLst>
            <a:gd name="adj" fmla="val 10000"/>
          </a:avLst>
        </a:prstGeom>
      </dgm:spPr>
      <dgm:t>
        <a:bodyPr/>
        <a:lstStyle/>
        <a:p>
          <a:endParaRPr lang="pt-BR"/>
        </a:p>
      </dgm:t>
    </dgm:pt>
    <dgm:pt modelId="{09A665E1-F203-4AF1-9664-A7B24CDFA1B1}" type="pres">
      <dgm:prSet presAssocID="{94DA2CAE-A0E3-45EE-B64B-346FA521EB33}" presName="textNode" presStyleLbl="bgShp" presStyleIdx="3" presStyleCnt="8"/>
      <dgm:spPr/>
      <dgm:t>
        <a:bodyPr/>
        <a:lstStyle/>
        <a:p>
          <a:endParaRPr lang="pt-BR"/>
        </a:p>
      </dgm:t>
    </dgm:pt>
    <dgm:pt modelId="{0D5AE568-6ABF-4739-8666-34337F81381D}" type="pres">
      <dgm:prSet presAssocID="{94DA2CAE-A0E3-45EE-B64B-346FA521EB33}" presName="compChildNode" presStyleCnt="0"/>
      <dgm:spPr/>
    </dgm:pt>
    <dgm:pt modelId="{EAD2079A-C99A-412D-936D-423757C93A03}" type="pres">
      <dgm:prSet presAssocID="{94DA2CAE-A0E3-45EE-B64B-346FA521EB33}" presName="theInnerList" presStyleCnt="0"/>
      <dgm:spPr/>
    </dgm:pt>
    <dgm:pt modelId="{E8D98036-C5E4-4F14-8E11-4E5B09D17BD4}" type="pres">
      <dgm:prSet presAssocID="{D398DA85-1AB3-4BF9-BF99-DF1DCD28ACB3}" presName="childNode" presStyleLbl="node1" presStyleIdx="17" presStyleCnt="43">
        <dgm:presLayoutVars>
          <dgm:bulletEnabled val="1"/>
        </dgm:presLayoutVars>
      </dgm:prSet>
      <dgm:spPr>
        <a:prstGeom prst="roundRect">
          <a:avLst>
            <a:gd name="adj" fmla="val 10000"/>
          </a:avLst>
        </a:prstGeom>
      </dgm:spPr>
      <dgm:t>
        <a:bodyPr/>
        <a:lstStyle/>
        <a:p>
          <a:endParaRPr lang="pt-BR"/>
        </a:p>
      </dgm:t>
    </dgm:pt>
    <dgm:pt modelId="{06768BEF-C0DF-4C2D-A381-B2DDAD4DA3AB}" type="pres">
      <dgm:prSet presAssocID="{D398DA85-1AB3-4BF9-BF99-DF1DCD28ACB3}" presName="aSpace2" presStyleCnt="0"/>
      <dgm:spPr/>
    </dgm:pt>
    <dgm:pt modelId="{E62F950D-776E-421E-9E74-7F8526D04CEB}" type="pres">
      <dgm:prSet presAssocID="{1C4FA953-39F5-4012-9D35-D597D1E3B0CC}" presName="childNode" presStyleLbl="node1" presStyleIdx="18" presStyleCnt="43">
        <dgm:presLayoutVars>
          <dgm:bulletEnabled val="1"/>
        </dgm:presLayoutVars>
      </dgm:prSet>
      <dgm:spPr>
        <a:prstGeom prst="roundRect">
          <a:avLst>
            <a:gd name="adj" fmla="val 10000"/>
          </a:avLst>
        </a:prstGeom>
      </dgm:spPr>
      <dgm:t>
        <a:bodyPr/>
        <a:lstStyle/>
        <a:p>
          <a:endParaRPr lang="pt-BR"/>
        </a:p>
      </dgm:t>
    </dgm:pt>
    <dgm:pt modelId="{05296C38-B707-4432-96A9-3EAFB1263581}" type="pres">
      <dgm:prSet presAssocID="{1C4FA953-39F5-4012-9D35-D597D1E3B0CC}" presName="aSpace2" presStyleCnt="0"/>
      <dgm:spPr/>
    </dgm:pt>
    <dgm:pt modelId="{1762C222-DF06-4F42-A809-D49D8694EFCD}" type="pres">
      <dgm:prSet presAssocID="{063FAED3-3E04-4AC3-BE70-9369860F9344}" presName="childNode" presStyleLbl="node1" presStyleIdx="19" presStyleCnt="43">
        <dgm:presLayoutVars>
          <dgm:bulletEnabled val="1"/>
        </dgm:presLayoutVars>
      </dgm:prSet>
      <dgm:spPr>
        <a:prstGeom prst="roundRect">
          <a:avLst>
            <a:gd name="adj" fmla="val 10000"/>
          </a:avLst>
        </a:prstGeom>
      </dgm:spPr>
      <dgm:t>
        <a:bodyPr/>
        <a:lstStyle/>
        <a:p>
          <a:endParaRPr lang="pt-BR"/>
        </a:p>
      </dgm:t>
    </dgm:pt>
    <dgm:pt modelId="{5DC0978A-55D3-4F7A-B9EA-455BF2F1DE66}" type="pres">
      <dgm:prSet presAssocID="{063FAED3-3E04-4AC3-BE70-9369860F9344}" presName="aSpace2" presStyleCnt="0"/>
      <dgm:spPr/>
    </dgm:pt>
    <dgm:pt modelId="{505179C9-E457-4CF2-ACFF-2C981CD09691}" type="pres">
      <dgm:prSet presAssocID="{B954C9AA-9923-4496-A0A9-DAEDE048F07B}" presName="childNode" presStyleLbl="node1" presStyleIdx="20" presStyleCnt="43">
        <dgm:presLayoutVars>
          <dgm:bulletEnabled val="1"/>
        </dgm:presLayoutVars>
      </dgm:prSet>
      <dgm:spPr>
        <a:prstGeom prst="roundRect">
          <a:avLst>
            <a:gd name="adj" fmla="val 10000"/>
          </a:avLst>
        </a:prstGeom>
      </dgm:spPr>
      <dgm:t>
        <a:bodyPr/>
        <a:lstStyle/>
        <a:p>
          <a:endParaRPr lang="pt-BR"/>
        </a:p>
      </dgm:t>
    </dgm:pt>
    <dgm:pt modelId="{891E8381-F3A1-40C2-9446-49EBC9A86198}" type="pres">
      <dgm:prSet presAssocID="{B954C9AA-9923-4496-A0A9-DAEDE048F07B}" presName="aSpace2" presStyleCnt="0"/>
      <dgm:spPr/>
    </dgm:pt>
    <dgm:pt modelId="{7F95CBCC-4B34-47D9-A1D3-637E429CBD6C}" type="pres">
      <dgm:prSet presAssocID="{14BE43D0-BE15-48CF-B65A-F660961255ED}" presName="childNode" presStyleLbl="node1" presStyleIdx="21" presStyleCnt="43">
        <dgm:presLayoutVars>
          <dgm:bulletEnabled val="1"/>
        </dgm:presLayoutVars>
      </dgm:prSet>
      <dgm:spPr>
        <a:prstGeom prst="roundRect">
          <a:avLst>
            <a:gd name="adj" fmla="val 10000"/>
          </a:avLst>
        </a:prstGeom>
      </dgm:spPr>
      <dgm:t>
        <a:bodyPr/>
        <a:lstStyle/>
        <a:p>
          <a:endParaRPr lang="pt-BR"/>
        </a:p>
      </dgm:t>
    </dgm:pt>
    <dgm:pt modelId="{82E0EA1B-0DE6-49F2-85FA-8D16F22537CD}" type="pres">
      <dgm:prSet presAssocID="{14BE43D0-BE15-48CF-B65A-F660961255ED}" presName="aSpace2" presStyleCnt="0"/>
      <dgm:spPr/>
    </dgm:pt>
    <dgm:pt modelId="{7C163D57-E792-4482-BA3C-8960DE208897}" type="pres">
      <dgm:prSet presAssocID="{66F12FBF-9543-409E-8E9E-245CE029C70D}" presName="childNode" presStyleLbl="node1" presStyleIdx="22" presStyleCnt="43">
        <dgm:presLayoutVars>
          <dgm:bulletEnabled val="1"/>
        </dgm:presLayoutVars>
      </dgm:prSet>
      <dgm:spPr>
        <a:prstGeom prst="roundRect">
          <a:avLst>
            <a:gd name="adj" fmla="val 10000"/>
          </a:avLst>
        </a:prstGeom>
      </dgm:spPr>
      <dgm:t>
        <a:bodyPr/>
        <a:lstStyle/>
        <a:p>
          <a:endParaRPr lang="pt-BR"/>
        </a:p>
      </dgm:t>
    </dgm:pt>
    <dgm:pt modelId="{02966319-CC8D-4D97-AEA9-A6A367388C26}" type="pres">
      <dgm:prSet presAssocID="{94DA2CAE-A0E3-45EE-B64B-346FA521EB33}" presName="aSpace" presStyleCnt="0"/>
      <dgm:spPr/>
    </dgm:pt>
    <dgm:pt modelId="{8B078194-1A72-48A9-8ECE-2A79108DBEB9}" type="pres">
      <dgm:prSet presAssocID="{02023070-5020-4686-8714-50B73706D428}" presName="compNode" presStyleCnt="0"/>
      <dgm:spPr/>
    </dgm:pt>
    <dgm:pt modelId="{F94921AA-4CFE-4C64-8105-C6E98F624E3F}" type="pres">
      <dgm:prSet presAssocID="{02023070-5020-4686-8714-50B73706D428}" presName="aNode" presStyleLbl="bgShp" presStyleIdx="4" presStyleCnt="8" custScaleX="68302" custScaleY="68302"/>
      <dgm:spPr>
        <a:prstGeom prst="roundRect">
          <a:avLst>
            <a:gd name="adj" fmla="val 10000"/>
          </a:avLst>
        </a:prstGeom>
      </dgm:spPr>
      <dgm:t>
        <a:bodyPr/>
        <a:lstStyle/>
        <a:p>
          <a:endParaRPr lang="pt-BR"/>
        </a:p>
      </dgm:t>
    </dgm:pt>
    <dgm:pt modelId="{596CEBC2-B5FF-4DB3-B038-0CD4B6D5513A}" type="pres">
      <dgm:prSet presAssocID="{02023070-5020-4686-8714-50B73706D428}" presName="textNode" presStyleLbl="bgShp" presStyleIdx="4" presStyleCnt="8"/>
      <dgm:spPr/>
      <dgm:t>
        <a:bodyPr/>
        <a:lstStyle/>
        <a:p>
          <a:endParaRPr lang="pt-BR"/>
        </a:p>
      </dgm:t>
    </dgm:pt>
    <dgm:pt modelId="{E587EF6F-6918-4801-9DD7-FC8333B5281F}" type="pres">
      <dgm:prSet presAssocID="{02023070-5020-4686-8714-50B73706D428}" presName="compChildNode" presStyleCnt="0"/>
      <dgm:spPr/>
    </dgm:pt>
    <dgm:pt modelId="{8822F9E4-838D-4C59-B0B7-DDD0BF9C1DFF}" type="pres">
      <dgm:prSet presAssocID="{02023070-5020-4686-8714-50B73706D428}" presName="theInnerList" presStyleCnt="0"/>
      <dgm:spPr/>
    </dgm:pt>
    <dgm:pt modelId="{A80EC57D-6B70-4CB8-8D97-44AAD60E119C}" type="pres">
      <dgm:prSet presAssocID="{2EA3A082-DFF2-450F-A489-1C13DC556BE5}" presName="childNode" presStyleLbl="node1" presStyleIdx="23" presStyleCnt="43">
        <dgm:presLayoutVars>
          <dgm:bulletEnabled val="1"/>
        </dgm:presLayoutVars>
      </dgm:prSet>
      <dgm:spPr>
        <a:prstGeom prst="roundRect">
          <a:avLst>
            <a:gd name="adj" fmla="val 10000"/>
          </a:avLst>
        </a:prstGeom>
      </dgm:spPr>
      <dgm:t>
        <a:bodyPr/>
        <a:lstStyle/>
        <a:p>
          <a:endParaRPr lang="pt-BR"/>
        </a:p>
      </dgm:t>
    </dgm:pt>
    <dgm:pt modelId="{D5BC60BC-27A3-47D8-8863-A8733F7D7160}" type="pres">
      <dgm:prSet presAssocID="{2EA3A082-DFF2-450F-A489-1C13DC556BE5}" presName="aSpace2" presStyleCnt="0"/>
      <dgm:spPr/>
    </dgm:pt>
    <dgm:pt modelId="{61E3ADDD-0A10-488F-B17B-42687B4A8F8A}" type="pres">
      <dgm:prSet presAssocID="{7F28BABF-72C3-4023-8B4A-424CDFB62160}" presName="childNode" presStyleLbl="node1" presStyleIdx="24" presStyleCnt="43">
        <dgm:presLayoutVars>
          <dgm:bulletEnabled val="1"/>
        </dgm:presLayoutVars>
      </dgm:prSet>
      <dgm:spPr>
        <a:prstGeom prst="roundRect">
          <a:avLst>
            <a:gd name="adj" fmla="val 10000"/>
          </a:avLst>
        </a:prstGeom>
      </dgm:spPr>
      <dgm:t>
        <a:bodyPr/>
        <a:lstStyle/>
        <a:p>
          <a:endParaRPr lang="pt-BR"/>
        </a:p>
      </dgm:t>
    </dgm:pt>
    <dgm:pt modelId="{E45BBDDD-B9C0-422A-9C3D-90EC6E4A67A6}" type="pres">
      <dgm:prSet presAssocID="{7F28BABF-72C3-4023-8B4A-424CDFB62160}" presName="aSpace2" presStyleCnt="0"/>
      <dgm:spPr/>
    </dgm:pt>
    <dgm:pt modelId="{B0D22898-E0BB-4B04-B516-9E35003CAD3B}" type="pres">
      <dgm:prSet presAssocID="{260F887A-DF6C-4BBA-A2CC-848D8CF8CF1F}" presName="childNode" presStyleLbl="node1" presStyleIdx="25" presStyleCnt="43">
        <dgm:presLayoutVars>
          <dgm:bulletEnabled val="1"/>
        </dgm:presLayoutVars>
      </dgm:prSet>
      <dgm:spPr>
        <a:prstGeom prst="roundRect">
          <a:avLst>
            <a:gd name="adj" fmla="val 10000"/>
          </a:avLst>
        </a:prstGeom>
      </dgm:spPr>
      <dgm:t>
        <a:bodyPr/>
        <a:lstStyle/>
        <a:p>
          <a:endParaRPr lang="pt-BR"/>
        </a:p>
      </dgm:t>
    </dgm:pt>
    <dgm:pt modelId="{AB2E649C-FB5D-4AFC-80E3-F10C37E28003}" type="pres">
      <dgm:prSet presAssocID="{260F887A-DF6C-4BBA-A2CC-848D8CF8CF1F}" presName="aSpace2" presStyleCnt="0"/>
      <dgm:spPr/>
    </dgm:pt>
    <dgm:pt modelId="{BED46B49-B058-4EE7-98DF-03E3F9373717}" type="pres">
      <dgm:prSet presAssocID="{2A6AD63A-1483-4535-821B-2B95D5ECC5E9}" presName="childNode" presStyleLbl="node1" presStyleIdx="26" presStyleCnt="43">
        <dgm:presLayoutVars>
          <dgm:bulletEnabled val="1"/>
        </dgm:presLayoutVars>
      </dgm:prSet>
      <dgm:spPr>
        <a:prstGeom prst="roundRect">
          <a:avLst>
            <a:gd name="adj" fmla="val 10000"/>
          </a:avLst>
        </a:prstGeom>
      </dgm:spPr>
      <dgm:t>
        <a:bodyPr/>
        <a:lstStyle/>
        <a:p>
          <a:endParaRPr lang="pt-BR"/>
        </a:p>
      </dgm:t>
    </dgm:pt>
    <dgm:pt modelId="{59F6EE17-13E4-4DF9-84F0-9359927DF08C}" type="pres">
      <dgm:prSet presAssocID="{2A6AD63A-1483-4535-821B-2B95D5ECC5E9}" presName="aSpace2" presStyleCnt="0"/>
      <dgm:spPr/>
    </dgm:pt>
    <dgm:pt modelId="{C2F54181-96FE-4EEF-AE81-E23CA96AF49F}" type="pres">
      <dgm:prSet presAssocID="{74387AFC-9C44-4BC6-8AA2-B7F33A7FDB19}" presName="childNode" presStyleLbl="node1" presStyleIdx="27" presStyleCnt="43">
        <dgm:presLayoutVars>
          <dgm:bulletEnabled val="1"/>
        </dgm:presLayoutVars>
      </dgm:prSet>
      <dgm:spPr>
        <a:prstGeom prst="roundRect">
          <a:avLst>
            <a:gd name="adj" fmla="val 10000"/>
          </a:avLst>
        </a:prstGeom>
      </dgm:spPr>
      <dgm:t>
        <a:bodyPr/>
        <a:lstStyle/>
        <a:p>
          <a:endParaRPr lang="pt-BR"/>
        </a:p>
      </dgm:t>
    </dgm:pt>
    <dgm:pt modelId="{21608E4F-D390-494A-A0B4-05E5B0E15225}" type="pres">
      <dgm:prSet presAssocID="{02023070-5020-4686-8714-50B73706D428}" presName="aSpace" presStyleCnt="0"/>
      <dgm:spPr/>
    </dgm:pt>
    <dgm:pt modelId="{185B537E-D83D-4F42-825E-6D7234049522}" type="pres">
      <dgm:prSet presAssocID="{D7AA1BEB-2546-49A2-A0F8-21EE5CE848FE}" presName="compNode" presStyleCnt="0"/>
      <dgm:spPr/>
    </dgm:pt>
    <dgm:pt modelId="{CB9AB3F0-A51C-4611-81A1-965C9BAC6B1A}" type="pres">
      <dgm:prSet presAssocID="{D7AA1BEB-2546-49A2-A0F8-21EE5CE848FE}" presName="aNode" presStyleLbl="bgShp" presStyleIdx="5" presStyleCnt="8" custScaleX="68302" custScaleY="68302"/>
      <dgm:spPr>
        <a:prstGeom prst="roundRect">
          <a:avLst>
            <a:gd name="adj" fmla="val 10000"/>
          </a:avLst>
        </a:prstGeom>
      </dgm:spPr>
      <dgm:t>
        <a:bodyPr/>
        <a:lstStyle/>
        <a:p>
          <a:endParaRPr lang="pt-BR"/>
        </a:p>
      </dgm:t>
    </dgm:pt>
    <dgm:pt modelId="{B5F3AE83-6A57-4DAD-862A-DD17BA4CF47A}" type="pres">
      <dgm:prSet presAssocID="{D7AA1BEB-2546-49A2-A0F8-21EE5CE848FE}" presName="textNode" presStyleLbl="bgShp" presStyleIdx="5" presStyleCnt="8"/>
      <dgm:spPr/>
      <dgm:t>
        <a:bodyPr/>
        <a:lstStyle/>
        <a:p>
          <a:endParaRPr lang="pt-BR"/>
        </a:p>
      </dgm:t>
    </dgm:pt>
    <dgm:pt modelId="{0AA949C2-7369-4AA7-A152-1E8ABBC3AE23}" type="pres">
      <dgm:prSet presAssocID="{D7AA1BEB-2546-49A2-A0F8-21EE5CE848FE}" presName="compChildNode" presStyleCnt="0"/>
      <dgm:spPr/>
    </dgm:pt>
    <dgm:pt modelId="{F641B846-4A34-4DB1-9748-498716D58D49}" type="pres">
      <dgm:prSet presAssocID="{D7AA1BEB-2546-49A2-A0F8-21EE5CE848FE}" presName="theInnerList" presStyleCnt="0"/>
      <dgm:spPr/>
    </dgm:pt>
    <dgm:pt modelId="{46C06980-EDA3-43E9-AFE4-B46A7C3E421F}" type="pres">
      <dgm:prSet presAssocID="{C24F541A-A648-4048-BD6A-5FC5A58255C7}" presName="childNode" presStyleLbl="node1" presStyleIdx="28" presStyleCnt="43">
        <dgm:presLayoutVars>
          <dgm:bulletEnabled val="1"/>
        </dgm:presLayoutVars>
      </dgm:prSet>
      <dgm:spPr>
        <a:prstGeom prst="roundRect">
          <a:avLst>
            <a:gd name="adj" fmla="val 10000"/>
          </a:avLst>
        </a:prstGeom>
      </dgm:spPr>
      <dgm:t>
        <a:bodyPr/>
        <a:lstStyle/>
        <a:p>
          <a:endParaRPr lang="pt-BR"/>
        </a:p>
      </dgm:t>
    </dgm:pt>
    <dgm:pt modelId="{A10C7591-3402-478A-8B94-A3BAD0E70AC8}" type="pres">
      <dgm:prSet presAssocID="{C24F541A-A648-4048-BD6A-5FC5A58255C7}" presName="aSpace2" presStyleCnt="0"/>
      <dgm:spPr/>
    </dgm:pt>
    <dgm:pt modelId="{321F759F-6654-40C8-9D02-A373D9ACCD0C}" type="pres">
      <dgm:prSet presAssocID="{B5251CCC-098E-49EF-86BA-0423DAFB21E1}" presName="childNode" presStyleLbl="node1" presStyleIdx="29" presStyleCnt="43">
        <dgm:presLayoutVars>
          <dgm:bulletEnabled val="1"/>
        </dgm:presLayoutVars>
      </dgm:prSet>
      <dgm:spPr>
        <a:prstGeom prst="roundRect">
          <a:avLst>
            <a:gd name="adj" fmla="val 10000"/>
          </a:avLst>
        </a:prstGeom>
      </dgm:spPr>
      <dgm:t>
        <a:bodyPr/>
        <a:lstStyle/>
        <a:p>
          <a:endParaRPr lang="pt-BR"/>
        </a:p>
      </dgm:t>
    </dgm:pt>
    <dgm:pt modelId="{DFB16130-79CF-4DAF-81F6-0E90D5EB32CB}" type="pres">
      <dgm:prSet presAssocID="{B5251CCC-098E-49EF-86BA-0423DAFB21E1}" presName="aSpace2" presStyleCnt="0"/>
      <dgm:spPr/>
    </dgm:pt>
    <dgm:pt modelId="{027F7A12-B20D-4E04-A7F8-181F6F9423DA}" type="pres">
      <dgm:prSet presAssocID="{D6B58285-CBFB-47FF-8F79-3DE16A5925EB}" presName="childNode" presStyleLbl="node1" presStyleIdx="30" presStyleCnt="43">
        <dgm:presLayoutVars>
          <dgm:bulletEnabled val="1"/>
        </dgm:presLayoutVars>
      </dgm:prSet>
      <dgm:spPr>
        <a:prstGeom prst="roundRect">
          <a:avLst>
            <a:gd name="adj" fmla="val 10000"/>
          </a:avLst>
        </a:prstGeom>
      </dgm:spPr>
      <dgm:t>
        <a:bodyPr/>
        <a:lstStyle/>
        <a:p>
          <a:endParaRPr lang="pt-BR"/>
        </a:p>
      </dgm:t>
    </dgm:pt>
    <dgm:pt modelId="{D1B03E98-064F-4F75-A185-6201F9BE03B3}" type="pres">
      <dgm:prSet presAssocID="{D6B58285-CBFB-47FF-8F79-3DE16A5925EB}" presName="aSpace2" presStyleCnt="0"/>
      <dgm:spPr/>
    </dgm:pt>
    <dgm:pt modelId="{EFBF6BB4-79C7-492B-A285-D414E514BCEB}" type="pres">
      <dgm:prSet presAssocID="{6899337B-68F5-4B54-8A1A-03110823B138}" presName="childNode" presStyleLbl="node1" presStyleIdx="31" presStyleCnt="43">
        <dgm:presLayoutVars>
          <dgm:bulletEnabled val="1"/>
        </dgm:presLayoutVars>
      </dgm:prSet>
      <dgm:spPr>
        <a:prstGeom prst="roundRect">
          <a:avLst>
            <a:gd name="adj" fmla="val 10000"/>
          </a:avLst>
        </a:prstGeom>
      </dgm:spPr>
      <dgm:t>
        <a:bodyPr/>
        <a:lstStyle/>
        <a:p>
          <a:endParaRPr lang="pt-BR"/>
        </a:p>
      </dgm:t>
    </dgm:pt>
    <dgm:pt modelId="{10A6D301-5142-4826-8E79-D539A6C4027A}" type="pres">
      <dgm:prSet presAssocID="{6899337B-68F5-4B54-8A1A-03110823B138}" presName="aSpace2" presStyleCnt="0"/>
      <dgm:spPr/>
    </dgm:pt>
    <dgm:pt modelId="{52402AAF-59CF-4FAD-B0E5-D6E901C12A81}" type="pres">
      <dgm:prSet presAssocID="{DA6BAE4F-E160-482A-BDF3-C46469807CB1}" presName="childNode" presStyleLbl="node1" presStyleIdx="32" presStyleCnt="43">
        <dgm:presLayoutVars>
          <dgm:bulletEnabled val="1"/>
        </dgm:presLayoutVars>
      </dgm:prSet>
      <dgm:spPr>
        <a:prstGeom prst="roundRect">
          <a:avLst>
            <a:gd name="adj" fmla="val 10000"/>
          </a:avLst>
        </a:prstGeom>
      </dgm:spPr>
      <dgm:t>
        <a:bodyPr/>
        <a:lstStyle/>
        <a:p>
          <a:endParaRPr lang="pt-BR"/>
        </a:p>
      </dgm:t>
    </dgm:pt>
    <dgm:pt modelId="{6DD630F6-CB57-42A1-B6C0-EDD5F53529B4}" type="pres">
      <dgm:prSet presAssocID="{D7AA1BEB-2546-49A2-A0F8-21EE5CE848FE}" presName="aSpace" presStyleCnt="0"/>
      <dgm:spPr/>
    </dgm:pt>
    <dgm:pt modelId="{AE958A15-D100-47CA-B6BF-A8A7D5FD88FA}" type="pres">
      <dgm:prSet presAssocID="{31EAB39F-FF25-49E5-9797-416618DE186C}" presName="compNode" presStyleCnt="0"/>
      <dgm:spPr/>
    </dgm:pt>
    <dgm:pt modelId="{93413AB3-3BEF-4995-9212-A599DC46596A}" type="pres">
      <dgm:prSet presAssocID="{31EAB39F-FF25-49E5-9797-416618DE186C}" presName="aNode" presStyleLbl="bgShp" presStyleIdx="6" presStyleCnt="8" custScaleX="68302" custScaleY="68302"/>
      <dgm:spPr>
        <a:prstGeom prst="roundRect">
          <a:avLst>
            <a:gd name="adj" fmla="val 10000"/>
          </a:avLst>
        </a:prstGeom>
      </dgm:spPr>
      <dgm:t>
        <a:bodyPr/>
        <a:lstStyle/>
        <a:p>
          <a:endParaRPr lang="pt-BR"/>
        </a:p>
      </dgm:t>
    </dgm:pt>
    <dgm:pt modelId="{D1520B8C-ECBF-4CC5-A0BC-0CE3BA5B2650}" type="pres">
      <dgm:prSet presAssocID="{31EAB39F-FF25-49E5-9797-416618DE186C}" presName="textNode" presStyleLbl="bgShp" presStyleIdx="6" presStyleCnt="8"/>
      <dgm:spPr/>
      <dgm:t>
        <a:bodyPr/>
        <a:lstStyle/>
        <a:p>
          <a:endParaRPr lang="pt-BR"/>
        </a:p>
      </dgm:t>
    </dgm:pt>
    <dgm:pt modelId="{FFE54EDB-F9F5-4A50-B4DC-72C2D89ECB56}" type="pres">
      <dgm:prSet presAssocID="{31EAB39F-FF25-49E5-9797-416618DE186C}" presName="compChildNode" presStyleCnt="0"/>
      <dgm:spPr/>
    </dgm:pt>
    <dgm:pt modelId="{746B90F5-89B1-4B3E-A587-832D3AF73EC2}" type="pres">
      <dgm:prSet presAssocID="{31EAB39F-FF25-49E5-9797-416618DE186C}" presName="theInnerList" presStyleCnt="0"/>
      <dgm:spPr/>
    </dgm:pt>
    <dgm:pt modelId="{611409A6-8C9F-4FBD-93E0-C9D3CE6AC288}" type="pres">
      <dgm:prSet presAssocID="{AF50B5E2-5F37-4AC3-A2FA-FD44CB64BC1C}" presName="childNode" presStyleLbl="node1" presStyleIdx="33" presStyleCnt="43">
        <dgm:presLayoutVars>
          <dgm:bulletEnabled val="1"/>
        </dgm:presLayoutVars>
      </dgm:prSet>
      <dgm:spPr>
        <a:prstGeom prst="roundRect">
          <a:avLst>
            <a:gd name="adj" fmla="val 10000"/>
          </a:avLst>
        </a:prstGeom>
      </dgm:spPr>
      <dgm:t>
        <a:bodyPr/>
        <a:lstStyle/>
        <a:p>
          <a:endParaRPr lang="pt-BR"/>
        </a:p>
      </dgm:t>
    </dgm:pt>
    <dgm:pt modelId="{67DA4225-D231-4DB6-9064-EEF2971D5774}" type="pres">
      <dgm:prSet presAssocID="{AF50B5E2-5F37-4AC3-A2FA-FD44CB64BC1C}" presName="aSpace2" presStyleCnt="0"/>
      <dgm:spPr/>
    </dgm:pt>
    <dgm:pt modelId="{8CA67989-6EAD-4737-9BE4-50744894F71F}" type="pres">
      <dgm:prSet presAssocID="{08048074-B717-41EF-90CD-855921492341}" presName="childNode" presStyleLbl="node1" presStyleIdx="34" presStyleCnt="43">
        <dgm:presLayoutVars>
          <dgm:bulletEnabled val="1"/>
        </dgm:presLayoutVars>
      </dgm:prSet>
      <dgm:spPr>
        <a:prstGeom prst="roundRect">
          <a:avLst>
            <a:gd name="adj" fmla="val 10000"/>
          </a:avLst>
        </a:prstGeom>
      </dgm:spPr>
      <dgm:t>
        <a:bodyPr/>
        <a:lstStyle/>
        <a:p>
          <a:endParaRPr lang="pt-BR"/>
        </a:p>
      </dgm:t>
    </dgm:pt>
    <dgm:pt modelId="{3AEA50CC-0424-447C-B1AA-BEFB29DF4850}" type="pres">
      <dgm:prSet presAssocID="{08048074-B717-41EF-90CD-855921492341}" presName="aSpace2" presStyleCnt="0"/>
      <dgm:spPr/>
    </dgm:pt>
    <dgm:pt modelId="{3A88516C-0337-4CD4-A2B1-54DCB40D05A9}" type="pres">
      <dgm:prSet presAssocID="{28ECE26D-5FB0-44EE-89C2-78DE7C188A95}" presName="childNode" presStyleLbl="node1" presStyleIdx="35" presStyleCnt="43">
        <dgm:presLayoutVars>
          <dgm:bulletEnabled val="1"/>
        </dgm:presLayoutVars>
      </dgm:prSet>
      <dgm:spPr>
        <a:prstGeom prst="roundRect">
          <a:avLst>
            <a:gd name="adj" fmla="val 10000"/>
          </a:avLst>
        </a:prstGeom>
      </dgm:spPr>
      <dgm:t>
        <a:bodyPr/>
        <a:lstStyle/>
        <a:p>
          <a:endParaRPr lang="pt-BR"/>
        </a:p>
      </dgm:t>
    </dgm:pt>
    <dgm:pt modelId="{D0CB7F82-C474-432B-B5D5-587D613FA894}" type="pres">
      <dgm:prSet presAssocID="{28ECE26D-5FB0-44EE-89C2-78DE7C188A95}" presName="aSpace2" presStyleCnt="0"/>
      <dgm:spPr/>
    </dgm:pt>
    <dgm:pt modelId="{90BABA62-41F4-4FF3-A017-0251BC0A437B}" type="pres">
      <dgm:prSet presAssocID="{FF5F826D-E3C6-429E-A4C9-03EDE5C665D1}" presName="childNode" presStyleLbl="node1" presStyleIdx="36" presStyleCnt="43">
        <dgm:presLayoutVars>
          <dgm:bulletEnabled val="1"/>
        </dgm:presLayoutVars>
      </dgm:prSet>
      <dgm:spPr>
        <a:prstGeom prst="roundRect">
          <a:avLst>
            <a:gd name="adj" fmla="val 10000"/>
          </a:avLst>
        </a:prstGeom>
      </dgm:spPr>
      <dgm:t>
        <a:bodyPr/>
        <a:lstStyle/>
        <a:p>
          <a:endParaRPr lang="pt-BR"/>
        </a:p>
      </dgm:t>
    </dgm:pt>
    <dgm:pt modelId="{07254CBD-CDBD-456B-94D4-F960837680D1}" type="pres">
      <dgm:prSet presAssocID="{FF5F826D-E3C6-429E-A4C9-03EDE5C665D1}" presName="aSpace2" presStyleCnt="0"/>
      <dgm:spPr/>
    </dgm:pt>
    <dgm:pt modelId="{313DC24E-C7B7-4F0E-B6E8-55D79C278CFD}" type="pres">
      <dgm:prSet presAssocID="{832145A9-EDD2-4C40-A6EE-5F3AE4D3EDAD}" presName="childNode" presStyleLbl="node1" presStyleIdx="37" presStyleCnt="43">
        <dgm:presLayoutVars>
          <dgm:bulletEnabled val="1"/>
        </dgm:presLayoutVars>
      </dgm:prSet>
      <dgm:spPr>
        <a:prstGeom prst="roundRect">
          <a:avLst>
            <a:gd name="adj" fmla="val 10000"/>
          </a:avLst>
        </a:prstGeom>
      </dgm:spPr>
      <dgm:t>
        <a:bodyPr/>
        <a:lstStyle/>
        <a:p>
          <a:endParaRPr lang="pt-BR"/>
        </a:p>
      </dgm:t>
    </dgm:pt>
    <dgm:pt modelId="{8F5182E8-5C65-4A03-9D42-6E601E73A2F0}" type="pres">
      <dgm:prSet presAssocID="{31EAB39F-FF25-49E5-9797-416618DE186C}" presName="aSpace" presStyleCnt="0"/>
      <dgm:spPr/>
    </dgm:pt>
    <dgm:pt modelId="{5A07C504-FEEE-482F-B29A-1F68C1585D5A}" type="pres">
      <dgm:prSet presAssocID="{67FA34F0-877E-4744-8CDC-89C73CD86107}" presName="compNode" presStyleCnt="0"/>
      <dgm:spPr/>
    </dgm:pt>
    <dgm:pt modelId="{04172FE2-BBF4-4E40-A70F-6FFDA41D2CF7}" type="pres">
      <dgm:prSet presAssocID="{67FA34F0-877E-4744-8CDC-89C73CD86107}" presName="aNode" presStyleLbl="bgShp" presStyleIdx="7" presStyleCnt="8" custScaleX="68302" custScaleY="68302"/>
      <dgm:spPr>
        <a:prstGeom prst="roundRect">
          <a:avLst>
            <a:gd name="adj" fmla="val 10000"/>
          </a:avLst>
        </a:prstGeom>
      </dgm:spPr>
      <dgm:t>
        <a:bodyPr/>
        <a:lstStyle/>
        <a:p>
          <a:endParaRPr lang="pt-BR"/>
        </a:p>
      </dgm:t>
    </dgm:pt>
    <dgm:pt modelId="{6EABEFC6-B1EE-48C3-B178-EFEC26E1F8E1}" type="pres">
      <dgm:prSet presAssocID="{67FA34F0-877E-4744-8CDC-89C73CD86107}" presName="textNode" presStyleLbl="bgShp" presStyleIdx="7" presStyleCnt="8"/>
      <dgm:spPr/>
      <dgm:t>
        <a:bodyPr/>
        <a:lstStyle/>
        <a:p>
          <a:endParaRPr lang="pt-BR"/>
        </a:p>
      </dgm:t>
    </dgm:pt>
    <dgm:pt modelId="{D9D01825-C7B4-4289-AFEF-D3357C4F3CBD}" type="pres">
      <dgm:prSet presAssocID="{67FA34F0-877E-4744-8CDC-89C73CD86107}" presName="compChildNode" presStyleCnt="0"/>
      <dgm:spPr/>
    </dgm:pt>
    <dgm:pt modelId="{A56430A5-7676-4CCA-9C4A-7F8E3FFA3DA8}" type="pres">
      <dgm:prSet presAssocID="{67FA34F0-877E-4744-8CDC-89C73CD86107}" presName="theInnerList" presStyleCnt="0"/>
      <dgm:spPr/>
    </dgm:pt>
    <dgm:pt modelId="{2EB7FF5D-2A4B-422B-8354-4C1A3F7ACAAC}" type="pres">
      <dgm:prSet presAssocID="{3AEDC259-6883-494B-B823-7BCC1D70C1A4}" presName="childNode" presStyleLbl="node1" presStyleIdx="38" presStyleCnt="43">
        <dgm:presLayoutVars>
          <dgm:bulletEnabled val="1"/>
        </dgm:presLayoutVars>
      </dgm:prSet>
      <dgm:spPr>
        <a:prstGeom prst="roundRect">
          <a:avLst>
            <a:gd name="adj" fmla="val 10000"/>
          </a:avLst>
        </a:prstGeom>
      </dgm:spPr>
      <dgm:t>
        <a:bodyPr/>
        <a:lstStyle/>
        <a:p>
          <a:endParaRPr lang="pt-BR"/>
        </a:p>
      </dgm:t>
    </dgm:pt>
    <dgm:pt modelId="{579975C6-B38C-4CD2-86A1-B962A2A0D19A}" type="pres">
      <dgm:prSet presAssocID="{3AEDC259-6883-494B-B823-7BCC1D70C1A4}" presName="aSpace2" presStyleCnt="0"/>
      <dgm:spPr/>
    </dgm:pt>
    <dgm:pt modelId="{B3BEE594-E3B9-4AAB-8C15-5BE9F58D091A}" type="pres">
      <dgm:prSet presAssocID="{FF041791-8C80-4D88-A30E-157602DBE68A}" presName="childNode" presStyleLbl="node1" presStyleIdx="39" presStyleCnt="43">
        <dgm:presLayoutVars>
          <dgm:bulletEnabled val="1"/>
        </dgm:presLayoutVars>
      </dgm:prSet>
      <dgm:spPr>
        <a:prstGeom prst="roundRect">
          <a:avLst>
            <a:gd name="adj" fmla="val 10000"/>
          </a:avLst>
        </a:prstGeom>
      </dgm:spPr>
      <dgm:t>
        <a:bodyPr/>
        <a:lstStyle/>
        <a:p>
          <a:endParaRPr lang="pt-BR"/>
        </a:p>
      </dgm:t>
    </dgm:pt>
    <dgm:pt modelId="{E23BA54B-BAAF-4C04-AE31-CCC9DF2E4989}" type="pres">
      <dgm:prSet presAssocID="{FF041791-8C80-4D88-A30E-157602DBE68A}" presName="aSpace2" presStyleCnt="0"/>
      <dgm:spPr/>
    </dgm:pt>
    <dgm:pt modelId="{50A6ABE4-4CA8-421C-B54C-503481AF80EF}" type="pres">
      <dgm:prSet presAssocID="{582007C8-2433-4B0F-A943-357451E34129}" presName="childNode" presStyleLbl="node1" presStyleIdx="40" presStyleCnt="43">
        <dgm:presLayoutVars>
          <dgm:bulletEnabled val="1"/>
        </dgm:presLayoutVars>
      </dgm:prSet>
      <dgm:spPr>
        <a:prstGeom prst="roundRect">
          <a:avLst>
            <a:gd name="adj" fmla="val 10000"/>
          </a:avLst>
        </a:prstGeom>
      </dgm:spPr>
      <dgm:t>
        <a:bodyPr/>
        <a:lstStyle/>
        <a:p>
          <a:endParaRPr lang="pt-BR"/>
        </a:p>
      </dgm:t>
    </dgm:pt>
    <dgm:pt modelId="{4C5B184C-E0D6-4349-8AB7-69FE73A0646B}" type="pres">
      <dgm:prSet presAssocID="{582007C8-2433-4B0F-A943-357451E34129}" presName="aSpace2" presStyleCnt="0"/>
      <dgm:spPr/>
    </dgm:pt>
    <dgm:pt modelId="{DCC5769E-6CC6-43BC-8E99-4A89EF0F3CE6}" type="pres">
      <dgm:prSet presAssocID="{419CA0E6-9382-4433-B75A-37B0D0AE9133}" presName="childNode" presStyleLbl="node1" presStyleIdx="41" presStyleCnt="43">
        <dgm:presLayoutVars>
          <dgm:bulletEnabled val="1"/>
        </dgm:presLayoutVars>
      </dgm:prSet>
      <dgm:spPr>
        <a:prstGeom prst="roundRect">
          <a:avLst>
            <a:gd name="adj" fmla="val 10000"/>
          </a:avLst>
        </a:prstGeom>
      </dgm:spPr>
      <dgm:t>
        <a:bodyPr/>
        <a:lstStyle/>
        <a:p>
          <a:endParaRPr lang="pt-BR"/>
        </a:p>
      </dgm:t>
    </dgm:pt>
    <dgm:pt modelId="{1B3E09FA-7835-4ACA-81DD-F153BEBCC073}" type="pres">
      <dgm:prSet presAssocID="{419CA0E6-9382-4433-B75A-37B0D0AE9133}" presName="aSpace2" presStyleCnt="0"/>
      <dgm:spPr/>
    </dgm:pt>
    <dgm:pt modelId="{FEBDB8B3-5233-4836-AB0E-8A6A8B5B8D2A}" type="pres">
      <dgm:prSet presAssocID="{9B2AF6A4-A590-43D0-99D5-07D556451201}" presName="childNode" presStyleLbl="node1" presStyleIdx="42" presStyleCnt="43">
        <dgm:presLayoutVars>
          <dgm:bulletEnabled val="1"/>
        </dgm:presLayoutVars>
      </dgm:prSet>
      <dgm:spPr>
        <a:prstGeom prst="roundRect">
          <a:avLst>
            <a:gd name="adj" fmla="val 10000"/>
          </a:avLst>
        </a:prstGeom>
      </dgm:spPr>
      <dgm:t>
        <a:bodyPr/>
        <a:lstStyle/>
        <a:p>
          <a:endParaRPr lang="pt-BR"/>
        </a:p>
      </dgm:t>
    </dgm:pt>
  </dgm:ptLst>
  <dgm:cxnLst>
    <dgm:cxn modelId="{BE0DF8A5-2AAD-482F-AB8A-075129E25664}" srcId="{D7AA1BEB-2546-49A2-A0F8-21EE5CE848FE}" destId="{C24F541A-A648-4048-BD6A-5FC5A58255C7}" srcOrd="0" destOrd="0" parTransId="{F29F1C9F-9568-44D9-8F40-C30DD484774F}" sibTransId="{94C22074-7E08-4F06-ABDC-E8E8AC96EF72}"/>
    <dgm:cxn modelId="{71F1F319-5ABF-4A1E-B8D8-C468EE01A55A}" type="presOf" srcId="{485F8DD0-E3B3-4580-B787-BAC01EE23120}" destId="{388F0F6F-CA50-45BD-880A-3ED4D0890BD5}" srcOrd="0" destOrd="0" presId="urn:microsoft.com/office/officeart/2005/8/layout/lProcess2"/>
    <dgm:cxn modelId="{E64CE466-9B19-40FF-B296-1A43272DEB85}" srcId="{D7AA1BEB-2546-49A2-A0F8-21EE5CE848FE}" destId="{DA6BAE4F-E160-482A-BDF3-C46469807CB1}" srcOrd="4" destOrd="0" parTransId="{6BB7F947-55F0-4347-A67C-1B4A8606F637}" sibTransId="{4B32F171-E1BD-4FD2-A3B8-806FCE269E9B}"/>
    <dgm:cxn modelId="{43F83B49-F0A7-4FEC-B01B-0448CA5B526E}" type="presOf" srcId="{A3713F10-7155-42F1-9689-B311D3DD1CFD}" destId="{F9E70B55-81AE-4F59-893A-3315A397D28B}" srcOrd="0" destOrd="0" presId="urn:microsoft.com/office/officeart/2005/8/layout/lProcess2"/>
    <dgm:cxn modelId="{32D7138D-AB7F-4886-B3A9-D639F347042A}" srcId="{DAC54909-FF3C-45BE-A4C8-B5A430F49DB1}" destId="{C4A4FA88-F261-49FF-A54A-4F1056B4A172}" srcOrd="0" destOrd="0" parTransId="{432281A9-9CCA-4D55-847F-E6836FF00700}" sibTransId="{E45EB763-96B4-4090-AF2E-9E61A42D076A}"/>
    <dgm:cxn modelId="{87B921E4-8DC0-43F2-878A-50E1144B8434}" type="presOf" srcId="{AF50B5E2-5F37-4AC3-A2FA-FD44CB64BC1C}" destId="{611409A6-8C9F-4FBD-93E0-C9D3CE6AC288}" srcOrd="0" destOrd="0" presId="urn:microsoft.com/office/officeart/2005/8/layout/lProcess2"/>
    <dgm:cxn modelId="{15ED930F-4503-45A4-88A4-5B6CDE9E0D4E}" type="presOf" srcId="{DAC54909-FF3C-45BE-A4C8-B5A430F49DB1}" destId="{116D88ED-6A55-46AA-B06E-940C961FA678}" srcOrd="1" destOrd="0" presId="urn:microsoft.com/office/officeart/2005/8/layout/lProcess2"/>
    <dgm:cxn modelId="{9D5271FE-05E7-4D71-86B5-5D8B1FEEDEF9}" type="presOf" srcId="{31EAB39F-FF25-49E5-9797-416618DE186C}" destId="{D1520B8C-ECBF-4CC5-A0BC-0CE3BA5B2650}" srcOrd="1" destOrd="0" presId="urn:microsoft.com/office/officeart/2005/8/layout/lProcess2"/>
    <dgm:cxn modelId="{EDA74C46-C777-4CF1-A929-FD8F0DA2D5FE}" srcId="{DAC54909-FF3C-45BE-A4C8-B5A430F49DB1}" destId="{A7F00FC4-62E3-40CB-A8AF-F2F7A72D3D3B}" srcOrd="5" destOrd="0" parTransId="{79B19995-A4C0-453E-A1A9-FF172B7B02AD}" sibTransId="{05D140FC-6A93-4CE2-8D24-F24413E06AB6}"/>
    <dgm:cxn modelId="{3F245E93-B6D6-484A-AC6B-9413512CB891}" type="presOf" srcId="{13FEB083-96E5-41AF-92CB-7F9B3DA207AB}" destId="{B18F3544-9CBD-427F-8EE2-613E03A42802}" srcOrd="0" destOrd="0" presId="urn:microsoft.com/office/officeart/2005/8/layout/lProcess2"/>
    <dgm:cxn modelId="{F787CBBC-8BC1-43E6-A5FC-8356B3E4937D}" type="presOf" srcId="{DA6BAE4F-E160-482A-BDF3-C46469807CB1}" destId="{52402AAF-59CF-4FAD-B0E5-D6E901C12A81}" srcOrd="0" destOrd="0" presId="urn:microsoft.com/office/officeart/2005/8/layout/lProcess2"/>
    <dgm:cxn modelId="{4B9CC650-CA3B-47B4-AC25-D89FD51C577B}" type="presOf" srcId="{31EAB39F-FF25-49E5-9797-416618DE186C}" destId="{93413AB3-3BEF-4995-9212-A599DC46596A}" srcOrd="0" destOrd="0" presId="urn:microsoft.com/office/officeart/2005/8/layout/lProcess2"/>
    <dgm:cxn modelId="{5D413DB6-B185-4123-868F-4636AE041422}" type="presOf" srcId="{582007C8-2433-4B0F-A943-357451E34129}" destId="{50A6ABE4-4CA8-421C-B54C-503481AF80EF}" srcOrd="0" destOrd="0" presId="urn:microsoft.com/office/officeart/2005/8/layout/lProcess2"/>
    <dgm:cxn modelId="{9E3CB2C8-7E78-4A67-9A12-B5D66665C81B}" type="presOf" srcId="{D7AA1BEB-2546-49A2-A0F8-21EE5CE848FE}" destId="{CB9AB3F0-A51C-4611-81A1-965C9BAC6B1A}" srcOrd="0" destOrd="0" presId="urn:microsoft.com/office/officeart/2005/8/layout/lProcess2"/>
    <dgm:cxn modelId="{69D51635-4204-48BB-BED8-CAED73B27537}" srcId="{31EAB39F-FF25-49E5-9797-416618DE186C}" destId="{28ECE26D-5FB0-44EE-89C2-78DE7C188A95}" srcOrd="2" destOrd="0" parTransId="{29AE4421-7B59-4DFA-AC60-03ED78AB60C6}" sibTransId="{D018EE54-2F8E-4FBA-9EEA-CFA168E14075}"/>
    <dgm:cxn modelId="{7BF6C77D-F592-4F13-A80F-BDD405C21088}" srcId="{01ABCE83-B917-40A8-9471-C4550E6C6C9D}" destId="{6A532D29-F22B-4E13-B7B5-145CD33BD24B}" srcOrd="1" destOrd="0" parTransId="{9B0C748D-3C4D-400A-9860-A4071B04087A}" sibTransId="{2299AFEB-A591-4194-AD80-A631C322AEFB}"/>
    <dgm:cxn modelId="{DAD5A3A7-766C-474F-BB84-3E1C30B249BD}" type="presOf" srcId="{94DA2CAE-A0E3-45EE-B64B-346FA521EB33}" destId="{09A665E1-F203-4AF1-9664-A7B24CDFA1B1}" srcOrd="1" destOrd="0" presId="urn:microsoft.com/office/officeart/2005/8/layout/lProcess2"/>
    <dgm:cxn modelId="{AD3ECF3D-4BC0-4DDB-9576-94460EF806EE}" type="presOf" srcId="{C24F541A-A648-4048-BD6A-5FC5A58255C7}" destId="{46C06980-EDA3-43E9-AFE4-B46A7C3E421F}" srcOrd="0" destOrd="0" presId="urn:microsoft.com/office/officeart/2005/8/layout/lProcess2"/>
    <dgm:cxn modelId="{81692955-5964-49A3-918A-6C66AAFAC5E0}" type="presOf" srcId="{FBE50144-D1B6-4BBF-8E6D-E7FE49A1469F}" destId="{983D58CC-0F3C-4BBF-A34B-5DC42579520C}" srcOrd="0" destOrd="0" presId="urn:microsoft.com/office/officeart/2005/8/layout/lProcess2"/>
    <dgm:cxn modelId="{2CF84FC4-AC75-4B82-975A-881348444E02}" srcId="{01ABCE83-B917-40A8-9471-C4550E6C6C9D}" destId="{233C80F0-1138-4126-8694-ED4BE8236705}" srcOrd="4" destOrd="0" parTransId="{5F7C8284-3E36-4EE7-B197-CA67253A0352}" sibTransId="{B5AB416D-773B-49F5-A597-2C109D8118AF}"/>
    <dgm:cxn modelId="{BC390E40-5864-406A-A1FF-C38BB4EAD487}" srcId="{67FA34F0-877E-4744-8CDC-89C73CD86107}" destId="{3AEDC259-6883-494B-B823-7BCC1D70C1A4}" srcOrd="0" destOrd="0" parTransId="{166ED53E-55EE-453B-AECD-59674B251141}" sibTransId="{4D38CC3B-0E9D-41F4-98E7-756A0C571ED7}"/>
    <dgm:cxn modelId="{83E89F63-7A19-41B2-9E1B-E459DA90DED6}" type="presOf" srcId="{01ABCE83-B917-40A8-9471-C4550E6C6C9D}" destId="{B5D5F797-E487-483C-9C14-197B59514F84}" srcOrd="0" destOrd="0" presId="urn:microsoft.com/office/officeart/2005/8/layout/lProcess2"/>
    <dgm:cxn modelId="{07EDFE7E-8F26-4B4E-B00E-4F6CA9BCB10E}" srcId="{02023070-5020-4686-8714-50B73706D428}" destId="{7F28BABF-72C3-4023-8B4A-424CDFB62160}" srcOrd="1" destOrd="0" parTransId="{7C08B70C-D03C-4B8E-AF27-D70CD40414E2}" sibTransId="{736BB8D3-FFDD-4668-A500-2A9DF4DB0087}"/>
    <dgm:cxn modelId="{7DFD972F-79F1-41A9-BCE9-4EC9909C3344}" srcId="{23278341-F6E9-471E-9D49-660DC80481A3}" destId="{67FA34F0-877E-4744-8CDC-89C73CD86107}" srcOrd="7" destOrd="0" parTransId="{2F8C247B-B890-4283-B160-9484FD57E999}" sibTransId="{0146199D-1700-4377-B6E9-5D06AD118E64}"/>
    <dgm:cxn modelId="{81394042-2F97-4F8E-8D7F-030CE92CB844}" srcId="{94DA2CAE-A0E3-45EE-B64B-346FA521EB33}" destId="{1C4FA953-39F5-4012-9D35-D597D1E3B0CC}" srcOrd="1" destOrd="0" parTransId="{14F06531-9E97-4E98-93B5-638E5C25DFA3}" sibTransId="{BB8E8C60-8386-426E-825F-388E43BC7F32}"/>
    <dgm:cxn modelId="{63740CFE-DA5F-4F04-97EB-D5CFC20D2A24}" type="presOf" srcId="{D7AA1BEB-2546-49A2-A0F8-21EE5CE848FE}" destId="{B5F3AE83-6A57-4DAD-862A-DD17BA4CF47A}" srcOrd="1" destOrd="0" presId="urn:microsoft.com/office/officeart/2005/8/layout/lProcess2"/>
    <dgm:cxn modelId="{B2D7DFBE-AF24-43BE-9E8C-BE3593836BF8}" type="presOf" srcId="{A7F00FC4-62E3-40CB-A8AF-F2F7A72D3D3B}" destId="{DAF3F12C-E3C4-44C4-8961-3B6372939CF4}" srcOrd="0" destOrd="0" presId="urn:microsoft.com/office/officeart/2005/8/layout/lProcess2"/>
    <dgm:cxn modelId="{DD886E7D-3023-46FF-A97D-1A482825B455}" srcId="{31EAB39F-FF25-49E5-9797-416618DE186C}" destId="{832145A9-EDD2-4C40-A6EE-5F3AE4D3EDAD}" srcOrd="4" destOrd="0" parTransId="{132C5E80-209E-4A68-8602-9B9679438AC9}" sibTransId="{D6899C0B-670C-4FB4-AB75-770644F8359A}"/>
    <dgm:cxn modelId="{3D852646-6FA8-4CFB-B06C-1E6F6227A34A}" srcId="{23278341-F6E9-471E-9D49-660DC80481A3}" destId="{EEA99D33-35EA-4F46-8E3A-83AC1DF76615}" srcOrd="0" destOrd="0" parTransId="{89AB112C-D751-4845-8D1B-DA378C4034CE}" sibTransId="{925732D9-EF58-46C4-B8A0-B754D923CD1A}"/>
    <dgm:cxn modelId="{28BABC75-1475-48F9-BC84-6FC4094F9487}" srcId="{D7AA1BEB-2546-49A2-A0F8-21EE5CE848FE}" destId="{B5251CCC-098E-49EF-86BA-0423DAFB21E1}" srcOrd="1" destOrd="0" parTransId="{6C511253-42C9-4CBA-84DE-34B64A142795}" sibTransId="{A9011977-C98B-42BB-A41D-EA7E012BD82E}"/>
    <dgm:cxn modelId="{926B5B0A-9C4F-4FAD-8576-EC498EEA42C8}" type="presOf" srcId="{08048074-B717-41EF-90CD-855921492341}" destId="{8CA67989-6EAD-4737-9BE4-50744894F71F}" srcOrd="0" destOrd="0" presId="urn:microsoft.com/office/officeart/2005/8/layout/lProcess2"/>
    <dgm:cxn modelId="{105DE54B-6879-404B-8F8A-4465E8443B00}" type="presOf" srcId="{2BD1954F-3075-4104-82BD-9D5B2B17D1AB}" destId="{ED41083D-1F94-4055-82BE-CAE013D33B66}" srcOrd="0" destOrd="0" presId="urn:microsoft.com/office/officeart/2005/8/layout/lProcess2"/>
    <dgm:cxn modelId="{26C9AC37-DFF4-4269-B15C-C61C53D75C58}" type="presOf" srcId="{C4A4FA88-F261-49FF-A54A-4F1056B4A172}" destId="{01D06994-6248-4BE4-A0C6-50F6964D328B}" srcOrd="0" destOrd="0" presId="urn:microsoft.com/office/officeart/2005/8/layout/lProcess2"/>
    <dgm:cxn modelId="{5CA12CC2-2B89-44F1-AF91-D83FEE9E340E}" srcId="{01ABCE83-B917-40A8-9471-C4550E6C6C9D}" destId="{A3713F10-7155-42F1-9689-B311D3DD1CFD}" srcOrd="0" destOrd="0" parTransId="{CBF4928F-2FEB-4784-8E86-E6CA0795FA3A}" sibTransId="{51602E24-9349-468D-AE02-AECC50CBF2C1}"/>
    <dgm:cxn modelId="{C14F6008-535C-4B20-AC32-79C5F771FD23}" type="presOf" srcId="{E4D39793-E396-4008-8484-71A22A7D4E74}" destId="{FCEB8A49-7B31-4062-9CC9-6EA79DF93A1E}" srcOrd="0" destOrd="0" presId="urn:microsoft.com/office/officeart/2005/8/layout/lProcess2"/>
    <dgm:cxn modelId="{EF954E40-B487-478E-BB8D-C4086BA3A95D}" srcId="{94DA2CAE-A0E3-45EE-B64B-346FA521EB33}" destId="{66F12FBF-9543-409E-8E9E-245CE029C70D}" srcOrd="5" destOrd="0" parTransId="{ADC00835-D34D-43D0-B63C-AE0E5664777F}" sibTransId="{6AE5ED01-1D51-4EDB-90D2-29985E7E6486}"/>
    <dgm:cxn modelId="{20746524-E4B3-4E9F-98AE-40A5D5FBC39B}" type="presOf" srcId="{67FA34F0-877E-4744-8CDC-89C73CD86107}" destId="{04172FE2-BBF4-4E40-A70F-6FFDA41D2CF7}" srcOrd="0" destOrd="0" presId="urn:microsoft.com/office/officeart/2005/8/layout/lProcess2"/>
    <dgm:cxn modelId="{1B10CCC2-EFF6-498F-A6EF-B715E79FF2C0}" type="presOf" srcId="{6A532D29-F22B-4E13-B7B5-145CD33BD24B}" destId="{0379949A-40E6-449F-8447-CDBC7DCAF3C6}" srcOrd="0" destOrd="0" presId="urn:microsoft.com/office/officeart/2005/8/layout/lProcess2"/>
    <dgm:cxn modelId="{7FD2BFEC-BC7F-448A-881D-634934FBC8C9}" srcId="{67FA34F0-877E-4744-8CDC-89C73CD86107}" destId="{FF041791-8C80-4D88-A30E-157602DBE68A}" srcOrd="1" destOrd="0" parTransId="{4B644BD5-8F0E-43B7-B552-CD1E4B8CA1F5}" sibTransId="{C2BADF2E-B709-4E88-8305-64150B8B4CDF}"/>
    <dgm:cxn modelId="{26829B6F-DA07-4528-9243-634538DB8478}" srcId="{23278341-F6E9-471E-9D49-660DC80481A3}" destId="{DAC54909-FF3C-45BE-A4C8-B5A430F49DB1}" srcOrd="1" destOrd="0" parTransId="{A199C09A-A223-4F58-9436-FA119BE5C95F}" sibTransId="{F9588B14-ABCF-4408-9F21-4142C1539A79}"/>
    <dgm:cxn modelId="{DD3179FE-4CAB-4B3D-827F-710C947737CD}" type="presOf" srcId="{23278341-F6E9-471E-9D49-660DC80481A3}" destId="{466B11D5-0DB5-4A94-9316-9B3CB03F89CD}" srcOrd="0" destOrd="0" presId="urn:microsoft.com/office/officeart/2005/8/layout/lProcess2"/>
    <dgm:cxn modelId="{964A60A5-8D48-49DB-97F0-4E7AA8AA64FF}" srcId="{67FA34F0-877E-4744-8CDC-89C73CD86107}" destId="{9B2AF6A4-A590-43D0-99D5-07D556451201}" srcOrd="4" destOrd="0" parTransId="{52AEC477-BD04-4719-8227-7BC2B5CA73A0}" sibTransId="{8CC77F2A-B0FF-44A1-B334-4BA0A3EEED00}"/>
    <dgm:cxn modelId="{56E8439D-1688-4B5B-B888-2EC73B841501}" type="presOf" srcId="{233C80F0-1138-4126-8694-ED4BE8236705}" destId="{E1CAE400-24E2-49D6-B8E5-ED0AFA5F613B}" srcOrd="0" destOrd="0" presId="urn:microsoft.com/office/officeart/2005/8/layout/lProcess2"/>
    <dgm:cxn modelId="{A6B5D0AF-D684-4C32-9DD4-B1580E6C3980}" srcId="{EEA99D33-35EA-4F46-8E3A-83AC1DF76615}" destId="{25D9B946-C61B-4E64-85C9-A06184CCF951}" srcOrd="5" destOrd="0" parTransId="{037CA699-CCF9-4390-A7B4-E0619CD1B242}" sibTransId="{652E3F50-A0C9-4BF3-ABAD-F73D9D533B30}"/>
    <dgm:cxn modelId="{D56B6D92-2599-449F-A5D0-6824C702E10E}" srcId="{23278341-F6E9-471E-9D49-660DC80481A3}" destId="{94DA2CAE-A0E3-45EE-B64B-346FA521EB33}" srcOrd="3" destOrd="0" parTransId="{FE1B3699-457F-49EE-AC44-E5610CAC4B7D}" sibTransId="{4D576FD7-BBCF-47E7-9068-88AD9AC88F84}"/>
    <dgm:cxn modelId="{4706BEBC-F5FD-4551-A1BA-8DF2EB3E6FD2}" type="presOf" srcId="{74387AFC-9C44-4BC6-8AA2-B7F33A7FDB19}" destId="{C2F54181-96FE-4EEF-AE81-E23CA96AF49F}" srcOrd="0" destOrd="0" presId="urn:microsoft.com/office/officeart/2005/8/layout/lProcess2"/>
    <dgm:cxn modelId="{1B7BDF6A-AC85-48CE-96A3-0B5F5ADAB626}" type="presOf" srcId="{CA3969F5-AA39-42E0-A82D-8B16A49EF2C2}" destId="{3A0CECA1-6F7C-449E-A0A4-A18B7B62E218}" srcOrd="0" destOrd="0" presId="urn:microsoft.com/office/officeart/2005/8/layout/lProcess2"/>
    <dgm:cxn modelId="{1A44EC83-E8BC-46EB-986D-14966A563884}" type="presOf" srcId="{E5AAF4F0-4367-4CE2-A867-1CA50D75B2D9}" destId="{1E27EB20-4E55-4C6E-AD44-57A922AD1E26}" srcOrd="0" destOrd="0" presId="urn:microsoft.com/office/officeart/2005/8/layout/lProcess2"/>
    <dgm:cxn modelId="{E23E4304-ABE0-47D7-981A-0180E7D5A38C}" type="presOf" srcId="{D6B58285-CBFB-47FF-8F79-3DE16A5925EB}" destId="{027F7A12-B20D-4E04-A7F8-181F6F9423DA}" srcOrd="0" destOrd="0" presId="urn:microsoft.com/office/officeart/2005/8/layout/lProcess2"/>
    <dgm:cxn modelId="{A2A87F9E-B48A-46D4-9E62-2920D1DCFF6C}" type="presOf" srcId="{02023070-5020-4686-8714-50B73706D428}" destId="{596CEBC2-B5FF-4DB3-B038-0CD4B6D5513A}" srcOrd="1" destOrd="0" presId="urn:microsoft.com/office/officeart/2005/8/layout/lProcess2"/>
    <dgm:cxn modelId="{91801C9D-A771-4423-B16F-2BAC669097EB}" srcId="{23278341-F6E9-471E-9D49-660DC80481A3}" destId="{01ABCE83-B917-40A8-9471-C4550E6C6C9D}" srcOrd="2" destOrd="0" parTransId="{61020794-1E7F-48B0-96C0-A3316746A200}" sibTransId="{BED127E1-59F4-4C91-B525-096E333B2A45}"/>
    <dgm:cxn modelId="{E3746232-F527-44A8-B60D-0C205D653D63}" srcId="{02023070-5020-4686-8714-50B73706D428}" destId="{74387AFC-9C44-4BC6-8AA2-B7F33A7FDB19}" srcOrd="4" destOrd="0" parTransId="{CA53AD75-5FC0-4242-B06A-A82B0731567C}" sibTransId="{3CCA6A0E-C611-4314-98A2-1F1C6FBB7F31}"/>
    <dgm:cxn modelId="{98E2A724-A8B5-415E-8870-38D7D27C100E}" srcId="{01ABCE83-B917-40A8-9471-C4550E6C6C9D}" destId="{2BD1954F-3075-4104-82BD-9D5B2B17D1AB}" srcOrd="3" destOrd="0" parTransId="{2BB82B00-4DDC-4AF4-A69B-C63D82B9DF37}" sibTransId="{D68111F5-3F69-4B12-AD1B-C1E859084957}"/>
    <dgm:cxn modelId="{02CDC3F5-1D11-43EC-93D4-ECFD4BE8C918}" srcId="{23278341-F6E9-471E-9D49-660DC80481A3}" destId="{31EAB39F-FF25-49E5-9797-416618DE186C}" srcOrd="6" destOrd="0" parTransId="{117B1F8C-9555-44A2-9761-F9A9D548483B}" sibTransId="{BA73804E-D0D8-46FB-B191-B11160503D01}"/>
    <dgm:cxn modelId="{73776930-5004-40C2-93BC-1B294281811D}" type="presOf" srcId="{2797AB4F-958A-40E2-B456-B9296B971E8E}" destId="{E59E8AC7-AB45-4064-8131-3091C1303AF3}" srcOrd="0" destOrd="0" presId="urn:microsoft.com/office/officeart/2005/8/layout/lProcess2"/>
    <dgm:cxn modelId="{8553D28D-7BC4-4CF8-AC38-655CF5C8AB89}" srcId="{31EAB39F-FF25-49E5-9797-416618DE186C}" destId="{08048074-B717-41EF-90CD-855921492341}" srcOrd="1" destOrd="0" parTransId="{AC079A24-23D0-4472-9909-698AD9350B39}" sibTransId="{CC9DE3EC-14C7-4F24-BC84-0B726A8E97F1}"/>
    <dgm:cxn modelId="{049CE5B0-7153-44F6-B9FE-E6C1C08E32E5}" srcId="{01ABCE83-B917-40A8-9471-C4550E6C6C9D}" destId="{AE6DA854-8718-4FBB-93EE-03D3729FE0F1}" srcOrd="2" destOrd="0" parTransId="{2CB475D7-6901-4D00-A792-F77A8A9A8117}" sibTransId="{A0AF67F1-8954-4DF7-B863-93A66CCE3E82}"/>
    <dgm:cxn modelId="{10C205EB-8390-43BE-A724-4F926BF20D26}" type="presOf" srcId="{EEA99D33-35EA-4F46-8E3A-83AC1DF76615}" destId="{A01779F3-12C2-40D2-A5B8-8F3CB2DF0443}" srcOrd="0" destOrd="0" presId="urn:microsoft.com/office/officeart/2005/8/layout/lProcess2"/>
    <dgm:cxn modelId="{AE64CFA0-8F1F-47C5-B7C4-B8217E215C74}" type="presOf" srcId="{1C4FA953-39F5-4012-9D35-D597D1E3B0CC}" destId="{E62F950D-776E-421E-9E74-7F8526D04CEB}" srcOrd="0" destOrd="0" presId="urn:microsoft.com/office/officeart/2005/8/layout/lProcess2"/>
    <dgm:cxn modelId="{F217C07C-BFD5-4921-A4F0-4C778B50846E}" srcId="{DAC54909-FF3C-45BE-A4C8-B5A430F49DB1}" destId="{485F8DD0-E3B3-4580-B787-BAC01EE23120}" srcOrd="2" destOrd="0" parTransId="{69B27FBA-6C70-4C3C-88E3-E8C2B80B0122}" sibTransId="{E46BA700-0A38-4BE5-9248-0A0F5D015EFC}"/>
    <dgm:cxn modelId="{E3D47014-1081-4D5A-AE75-6B8DB6910E1B}" srcId="{02023070-5020-4686-8714-50B73706D428}" destId="{2EA3A082-DFF2-450F-A489-1C13DC556BE5}" srcOrd="0" destOrd="0" parTransId="{E53C10EA-C695-416E-8BA4-533094375267}" sibTransId="{AC74D26F-814E-4A6A-8F6D-BC246E4BDA23}"/>
    <dgm:cxn modelId="{2EC0A4DE-3D25-4A0D-A972-A9ACF21AA1FD}" srcId="{EEA99D33-35EA-4F46-8E3A-83AC1DF76615}" destId="{E5AAF4F0-4367-4CE2-A867-1CA50D75B2D9}" srcOrd="2" destOrd="0" parTransId="{EE74BB1B-C48F-436B-909B-01FC8FC6BE3D}" sibTransId="{3592F31E-1848-417B-9F15-870AF8441C6C}"/>
    <dgm:cxn modelId="{79D0B7D6-76BE-4878-AD6C-6266B8FA5E34}" srcId="{EEA99D33-35EA-4F46-8E3A-83AC1DF76615}" destId="{CA3969F5-AA39-42E0-A82D-8B16A49EF2C2}" srcOrd="4" destOrd="0" parTransId="{DCAD70CA-96F7-4254-B11A-990CF73C351E}" sibTransId="{3BB1B93C-84F6-4384-AD03-3C9E0F4BECD4}"/>
    <dgm:cxn modelId="{EB455D42-D992-49C1-BF59-8D0561BBB95E}" type="presOf" srcId="{0797DE79-27F4-4437-B54E-D18763A99BAC}" destId="{9BE9AC15-82ED-4C5C-8402-99E86F8B33ED}" srcOrd="0" destOrd="0" presId="urn:microsoft.com/office/officeart/2005/8/layout/lProcess2"/>
    <dgm:cxn modelId="{FDAD85D3-072A-4D74-B0E4-A9F9DF044392}" type="presOf" srcId="{FF5F826D-E3C6-429E-A4C9-03EDE5C665D1}" destId="{90BABA62-41F4-4FF3-A017-0251BC0A437B}" srcOrd="0" destOrd="0" presId="urn:microsoft.com/office/officeart/2005/8/layout/lProcess2"/>
    <dgm:cxn modelId="{E27DDE9B-B017-4AF2-BA32-72DC4DB4A0D5}" srcId="{02023070-5020-4686-8714-50B73706D428}" destId="{260F887A-DF6C-4BBA-A2CC-848D8CF8CF1F}" srcOrd="2" destOrd="0" parTransId="{3374E9FA-C18E-4B5B-8361-971C7F8311D1}" sibTransId="{A529E18E-4F3D-4B9B-9C22-B2F9E17615FA}"/>
    <dgm:cxn modelId="{B9E7A3EC-870B-4608-B21C-EE5DB92EED6D}" type="presOf" srcId="{02023070-5020-4686-8714-50B73706D428}" destId="{F94921AA-4CFE-4C64-8105-C6E98F624E3F}" srcOrd="0" destOrd="0" presId="urn:microsoft.com/office/officeart/2005/8/layout/lProcess2"/>
    <dgm:cxn modelId="{0023CD5F-AC66-47F3-84B4-964A7D3BDDD0}" type="presOf" srcId="{01ABCE83-B917-40A8-9471-C4550E6C6C9D}" destId="{A46ADD70-521A-40C8-A0B8-EE0CF5CFD6FA}" srcOrd="1" destOrd="0" presId="urn:microsoft.com/office/officeart/2005/8/layout/lProcess2"/>
    <dgm:cxn modelId="{F2B1D61C-F5CF-4B81-80E5-2EE08F58437F}" srcId="{EEA99D33-35EA-4F46-8E3A-83AC1DF76615}" destId="{FBE50144-D1B6-4BBF-8E6D-E7FE49A1469F}" srcOrd="3" destOrd="0" parTransId="{09BB3CCD-E5B9-4225-A21B-35BF0847A6D0}" sibTransId="{B10A8665-076A-4C32-A6A1-23C5D2099F7F}"/>
    <dgm:cxn modelId="{1D97B892-46EA-4989-B21F-A2B826F8605D}" type="presOf" srcId="{B5251CCC-098E-49EF-86BA-0423DAFB21E1}" destId="{321F759F-6654-40C8-9D02-A373D9ACCD0C}" srcOrd="0" destOrd="0" presId="urn:microsoft.com/office/officeart/2005/8/layout/lProcess2"/>
    <dgm:cxn modelId="{4AA5BC3A-E382-4809-9C64-EF2CCD580003}" type="presOf" srcId="{2EA3A082-DFF2-450F-A489-1C13DC556BE5}" destId="{A80EC57D-6B70-4CB8-8D97-44AAD60E119C}" srcOrd="0" destOrd="0" presId="urn:microsoft.com/office/officeart/2005/8/layout/lProcess2"/>
    <dgm:cxn modelId="{933656B3-4301-4CB5-9288-0DEDEB83666C}" type="presOf" srcId="{28ECE26D-5FB0-44EE-89C2-78DE7C188A95}" destId="{3A88516C-0337-4CD4-A2B1-54DCB40D05A9}" srcOrd="0" destOrd="0" presId="urn:microsoft.com/office/officeart/2005/8/layout/lProcess2"/>
    <dgm:cxn modelId="{4B4A74AB-5ED8-4D18-B371-4B791B79334D}" srcId="{94DA2CAE-A0E3-45EE-B64B-346FA521EB33}" destId="{D398DA85-1AB3-4BF9-BF99-DF1DCD28ACB3}" srcOrd="0" destOrd="0" parTransId="{D0ACAEF9-D92B-4A8E-B234-371679555562}" sibTransId="{A54B3626-6DD1-4C23-991B-869977F4B6BE}"/>
    <dgm:cxn modelId="{7683396E-67B2-4F49-B18D-6D20E51E53C8}" type="presOf" srcId="{14BE43D0-BE15-48CF-B65A-F660961255ED}" destId="{7F95CBCC-4B34-47D9-A1D3-637E429CBD6C}" srcOrd="0" destOrd="0" presId="urn:microsoft.com/office/officeart/2005/8/layout/lProcess2"/>
    <dgm:cxn modelId="{D974243D-ADAA-4C4C-80B1-13FA092AA64F}" srcId="{EEA99D33-35EA-4F46-8E3A-83AC1DF76615}" destId="{E4D39793-E396-4008-8484-71A22A7D4E74}" srcOrd="1" destOrd="0" parTransId="{93E84F3A-8E48-4EAC-A282-6456A28B93B2}" sibTransId="{20EFBC7C-72A5-463C-BD94-C0B1CA4DED67}"/>
    <dgm:cxn modelId="{28FF6791-473F-4315-BA1E-50D687CC168E}" srcId="{31EAB39F-FF25-49E5-9797-416618DE186C}" destId="{FF5F826D-E3C6-429E-A4C9-03EDE5C665D1}" srcOrd="3" destOrd="0" parTransId="{C3A3C592-0B70-47A1-BB11-D58F5E0B696E}" sibTransId="{63F875F9-888C-43DB-9528-88EEE95DE60B}"/>
    <dgm:cxn modelId="{9990B700-2667-4A46-83D2-C58F01D4AF79}" type="presOf" srcId="{94DA2CAE-A0E3-45EE-B64B-346FA521EB33}" destId="{D6EC63BF-8C99-4D5F-B6C4-ED8607B8EECA}" srcOrd="0" destOrd="0" presId="urn:microsoft.com/office/officeart/2005/8/layout/lProcess2"/>
    <dgm:cxn modelId="{A598BB44-C40B-44FE-B9F7-8A43B6EF9388}" srcId="{23278341-F6E9-471E-9D49-660DC80481A3}" destId="{D7AA1BEB-2546-49A2-A0F8-21EE5CE848FE}" srcOrd="5" destOrd="0" parTransId="{2DB32A45-21DF-4BE0-B714-64BFDEDADC93}" sibTransId="{B08D11D9-756C-4148-AA79-C9FFA3CF2EFE}"/>
    <dgm:cxn modelId="{9618B170-F14A-4476-B15B-E756B04E4747}" type="presOf" srcId="{AE6DA854-8718-4FBB-93EE-03D3729FE0F1}" destId="{E8BCA177-AF5E-4F00-822F-74C769FF12DB}" srcOrd="0" destOrd="0" presId="urn:microsoft.com/office/officeart/2005/8/layout/lProcess2"/>
    <dgm:cxn modelId="{31668318-C862-482E-BF2C-E7F52E527A12}" type="presOf" srcId="{25D9B946-C61B-4E64-85C9-A06184CCF951}" destId="{EC8215ED-C71E-4826-9F39-1FEFC26AD001}" srcOrd="0" destOrd="0" presId="urn:microsoft.com/office/officeart/2005/8/layout/lProcess2"/>
    <dgm:cxn modelId="{14DEB55E-2FF4-41C8-86A4-349E7F9FE3A4}" type="presOf" srcId="{B954C9AA-9923-4496-A0A9-DAEDE048F07B}" destId="{505179C9-E457-4CF2-ACFF-2C981CD09691}" srcOrd="0" destOrd="0" presId="urn:microsoft.com/office/officeart/2005/8/layout/lProcess2"/>
    <dgm:cxn modelId="{960C974B-3054-492C-A70F-EDAE47955A69}" srcId="{DAC54909-FF3C-45BE-A4C8-B5A430F49DB1}" destId="{2797AB4F-958A-40E2-B456-B9296B971E8E}" srcOrd="1" destOrd="0" parTransId="{9BF5403A-FC5B-4D67-9850-1DAD77F4D512}" sibTransId="{301CD5E5-B10D-4C32-AB04-AA6406A187E0}"/>
    <dgm:cxn modelId="{A8D1D90C-CDEA-4A92-B8C0-4B375E577FC0}" srcId="{94DA2CAE-A0E3-45EE-B64B-346FA521EB33}" destId="{14BE43D0-BE15-48CF-B65A-F660961255ED}" srcOrd="4" destOrd="0" parTransId="{F072C08D-76F7-4346-933C-EC6430FCE8E3}" sibTransId="{69B16909-1205-4CB9-8DD9-7628D4774BFE}"/>
    <dgm:cxn modelId="{291F95EB-11CF-473E-AC24-8B78F77561F2}" type="presOf" srcId="{66F12FBF-9543-409E-8E9E-245CE029C70D}" destId="{7C163D57-E792-4482-BA3C-8960DE208897}" srcOrd="0" destOrd="0" presId="urn:microsoft.com/office/officeart/2005/8/layout/lProcess2"/>
    <dgm:cxn modelId="{770525BF-405D-461D-A864-691D4120A69C}" type="presOf" srcId="{EEA99D33-35EA-4F46-8E3A-83AC1DF76615}" destId="{EC91E06A-6ADB-44A6-A337-B32D84790BCB}" srcOrd="1" destOrd="0" presId="urn:microsoft.com/office/officeart/2005/8/layout/lProcess2"/>
    <dgm:cxn modelId="{8C43B2B3-349E-4CAE-80F2-385284A020F9}" srcId="{DAC54909-FF3C-45BE-A4C8-B5A430F49DB1}" destId="{13FEB083-96E5-41AF-92CB-7F9B3DA207AB}" srcOrd="3" destOrd="0" parTransId="{C1D7A1FD-22B9-47E2-818A-48E65B313339}" sibTransId="{065BAC2A-F4CC-4410-8AFF-3EF38B4E385D}"/>
    <dgm:cxn modelId="{497671A6-79EF-4D5C-A00E-079A1CF8FC08}" srcId="{D7AA1BEB-2546-49A2-A0F8-21EE5CE848FE}" destId="{6899337B-68F5-4B54-8A1A-03110823B138}" srcOrd="3" destOrd="0" parTransId="{FD23F232-D889-48E4-B650-060A351BF248}" sibTransId="{335E9896-99A2-4235-90B4-E6AAAB6CA0CE}"/>
    <dgm:cxn modelId="{2840CD32-CFA2-478C-A84B-786B69F29194}" type="presOf" srcId="{260F887A-DF6C-4BBA-A2CC-848D8CF8CF1F}" destId="{B0D22898-E0BB-4B04-B516-9E35003CAD3B}" srcOrd="0" destOrd="0" presId="urn:microsoft.com/office/officeart/2005/8/layout/lProcess2"/>
    <dgm:cxn modelId="{99348576-63CB-4ED4-BC8B-903992879B2A}" type="presOf" srcId="{7F28BABF-72C3-4023-8B4A-424CDFB62160}" destId="{61E3ADDD-0A10-488F-B17B-42687B4A8F8A}" srcOrd="0" destOrd="0" presId="urn:microsoft.com/office/officeart/2005/8/layout/lProcess2"/>
    <dgm:cxn modelId="{04613D16-58A2-403C-A75A-A92D31FF7FC7}" srcId="{67FA34F0-877E-4744-8CDC-89C73CD86107}" destId="{582007C8-2433-4B0F-A943-357451E34129}" srcOrd="2" destOrd="0" parTransId="{390C610B-1454-4EB4-983B-CEC70C6450AF}" sibTransId="{D6DE02E8-8E77-4E9C-8F2F-87B46757C0AC}"/>
    <dgm:cxn modelId="{7C16D8D5-FBF6-48B5-B970-F40DBDA268F1}" type="presOf" srcId="{DAC54909-FF3C-45BE-A4C8-B5A430F49DB1}" destId="{32E9B4A4-A74E-482A-81D9-9E5D63A01AA6}" srcOrd="0" destOrd="0" presId="urn:microsoft.com/office/officeart/2005/8/layout/lProcess2"/>
    <dgm:cxn modelId="{006372E2-7666-46D2-818D-5B0D0DB21446}" srcId="{94DA2CAE-A0E3-45EE-B64B-346FA521EB33}" destId="{063FAED3-3E04-4AC3-BE70-9369860F9344}" srcOrd="2" destOrd="0" parTransId="{7AE38486-AB3C-4CD9-A3B7-C4E0F6AEB6CB}" sibTransId="{535990CF-F51B-4FE4-9CB7-DE3B7B4C0B08}"/>
    <dgm:cxn modelId="{3F0FBA74-52CA-4339-9907-3C912D705542}" type="presOf" srcId="{B4500965-57E0-4518-A8E9-2AEBF6251B43}" destId="{351D97C9-E4B0-4541-B560-2F232E922138}" srcOrd="0" destOrd="0" presId="urn:microsoft.com/office/officeart/2005/8/layout/lProcess2"/>
    <dgm:cxn modelId="{547C97F4-630D-4F6C-B82D-2B290E031CAA}" type="presOf" srcId="{2A6AD63A-1483-4535-821B-2B95D5ECC5E9}" destId="{BED46B49-B058-4EE7-98DF-03E3F9373717}" srcOrd="0" destOrd="0" presId="urn:microsoft.com/office/officeart/2005/8/layout/lProcess2"/>
    <dgm:cxn modelId="{B1AF4EEB-783F-4B5E-9D33-0CD97448FF69}" type="presOf" srcId="{FF041791-8C80-4D88-A30E-157602DBE68A}" destId="{B3BEE594-E3B9-4AAB-8C15-5BE9F58D091A}" srcOrd="0" destOrd="0" presId="urn:microsoft.com/office/officeart/2005/8/layout/lProcess2"/>
    <dgm:cxn modelId="{5122A60C-6F5C-444D-B95B-A98D745DC668}" type="presOf" srcId="{9B2AF6A4-A590-43D0-99D5-07D556451201}" destId="{FEBDB8B3-5233-4836-AB0E-8A6A8B5B8D2A}" srcOrd="0" destOrd="0" presId="urn:microsoft.com/office/officeart/2005/8/layout/lProcess2"/>
    <dgm:cxn modelId="{3FD01679-62DC-495D-A00D-BEDFAFB66063}" srcId="{D7AA1BEB-2546-49A2-A0F8-21EE5CE848FE}" destId="{D6B58285-CBFB-47FF-8F79-3DE16A5925EB}" srcOrd="2" destOrd="0" parTransId="{473CC2E7-A674-4E81-BAF3-A4D613DF8654}" sibTransId="{E3D09431-7B1D-406F-B975-70D7D058EEC1}"/>
    <dgm:cxn modelId="{DC844B2F-D56E-4228-8B0A-2662ABB82FCD}" type="presOf" srcId="{3AEDC259-6883-494B-B823-7BCC1D70C1A4}" destId="{2EB7FF5D-2A4B-422B-8354-4C1A3F7ACAAC}" srcOrd="0" destOrd="0" presId="urn:microsoft.com/office/officeart/2005/8/layout/lProcess2"/>
    <dgm:cxn modelId="{901898A8-092F-4FC8-95AE-C351B18F3B5D}" type="presOf" srcId="{832145A9-EDD2-4C40-A6EE-5F3AE4D3EDAD}" destId="{313DC24E-C7B7-4F0E-B6E8-55D79C278CFD}" srcOrd="0" destOrd="0" presId="urn:microsoft.com/office/officeart/2005/8/layout/lProcess2"/>
    <dgm:cxn modelId="{35F30643-DA66-4D5B-862B-160A6871690E}" srcId="{EEA99D33-35EA-4F46-8E3A-83AC1DF76615}" destId="{B4500965-57E0-4518-A8E9-2AEBF6251B43}" srcOrd="0" destOrd="0" parTransId="{5377F9AE-5020-4C95-A0AF-B89B0EB132FD}" sibTransId="{0A6D16DC-CC00-47A4-858F-A801067B1C65}"/>
    <dgm:cxn modelId="{A22B24E2-9A22-4AC1-8A1A-701C115CA942}" srcId="{23278341-F6E9-471E-9D49-660DC80481A3}" destId="{02023070-5020-4686-8714-50B73706D428}" srcOrd="4" destOrd="0" parTransId="{D035F23A-A9ED-46E4-B7BA-0F91CC71857F}" sibTransId="{35C7B79C-4DC8-439C-95A0-48D2CF8D89BD}"/>
    <dgm:cxn modelId="{D25F67BD-8516-4719-A620-F1C3722FC9D3}" srcId="{02023070-5020-4686-8714-50B73706D428}" destId="{2A6AD63A-1483-4535-821B-2B95D5ECC5E9}" srcOrd="3" destOrd="0" parTransId="{F4D7D2FC-28DC-4696-B732-A8D62EC993C7}" sibTransId="{F2796BE6-C4C7-4E87-9451-AF159376EBF3}"/>
    <dgm:cxn modelId="{34E9B90A-F51E-4280-8608-81DC3F01DEE6}" type="presOf" srcId="{063FAED3-3E04-4AC3-BE70-9369860F9344}" destId="{1762C222-DF06-4F42-A809-D49D8694EFCD}" srcOrd="0" destOrd="0" presId="urn:microsoft.com/office/officeart/2005/8/layout/lProcess2"/>
    <dgm:cxn modelId="{4761D6AC-D420-4B82-AF57-7291C9352627}" srcId="{31EAB39F-FF25-49E5-9797-416618DE186C}" destId="{AF50B5E2-5F37-4AC3-A2FA-FD44CB64BC1C}" srcOrd="0" destOrd="0" parTransId="{5D28F769-8E59-498C-BC55-28C08A82E8F1}" sibTransId="{9A4FA98C-147A-4123-A0F8-4A5129BAD381}"/>
    <dgm:cxn modelId="{8691186C-96F7-43D0-9957-053C65139F16}" srcId="{67FA34F0-877E-4744-8CDC-89C73CD86107}" destId="{419CA0E6-9382-4433-B75A-37B0D0AE9133}" srcOrd="3" destOrd="0" parTransId="{5D9920F3-3262-42DE-A597-AFA0FB8B5F22}" sibTransId="{E1AD0B09-BDE6-49C3-B5CA-7C9E30D4442A}"/>
    <dgm:cxn modelId="{11EA1FD8-9320-485A-90B0-EE5E38DE5556}" type="presOf" srcId="{D398DA85-1AB3-4BF9-BF99-DF1DCD28ACB3}" destId="{E8D98036-C5E4-4F14-8E11-4E5B09D17BD4}" srcOrd="0" destOrd="0" presId="urn:microsoft.com/office/officeart/2005/8/layout/lProcess2"/>
    <dgm:cxn modelId="{8037CD92-7F7E-4B01-867E-0A296811FDAC}" srcId="{94DA2CAE-A0E3-45EE-B64B-346FA521EB33}" destId="{B954C9AA-9923-4496-A0A9-DAEDE048F07B}" srcOrd="3" destOrd="0" parTransId="{F82C5567-4159-48EC-BCE9-9712C2FA45D0}" sibTransId="{D2D7E298-3ABB-44C2-8717-773A6AC35291}"/>
    <dgm:cxn modelId="{22E5E3B9-6ACC-41C3-8D8C-31B2EF5BFD07}" type="presOf" srcId="{419CA0E6-9382-4433-B75A-37B0D0AE9133}" destId="{DCC5769E-6CC6-43BC-8E99-4A89EF0F3CE6}" srcOrd="0" destOrd="0" presId="urn:microsoft.com/office/officeart/2005/8/layout/lProcess2"/>
    <dgm:cxn modelId="{FE32F44A-777A-4474-B270-EE8D9EA94BC8}" type="presOf" srcId="{67FA34F0-877E-4744-8CDC-89C73CD86107}" destId="{6EABEFC6-B1EE-48C3-B178-EFEC26E1F8E1}" srcOrd="1" destOrd="0" presId="urn:microsoft.com/office/officeart/2005/8/layout/lProcess2"/>
    <dgm:cxn modelId="{104910C7-2BD4-4925-8A80-483BCDFE3642}" type="presOf" srcId="{6899337B-68F5-4B54-8A1A-03110823B138}" destId="{EFBF6BB4-79C7-492B-A285-D414E514BCEB}" srcOrd="0" destOrd="0" presId="urn:microsoft.com/office/officeart/2005/8/layout/lProcess2"/>
    <dgm:cxn modelId="{3460134F-D7E4-4059-BB62-2B0CB3E93BDF}" srcId="{DAC54909-FF3C-45BE-A4C8-B5A430F49DB1}" destId="{0797DE79-27F4-4437-B54E-D18763A99BAC}" srcOrd="4" destOrd="0" parTransId="{41B37E9E-31AF-4954-9EB2-E3FEC4A512CE}" sibTransId="{3A7D4F18-2EC9-468B-8DC6-34E370550B5C}"/>
    <dgm:cxn modelId="{4814CD22-F800-45F0-9CE9-3101787023FE}" type="presParOf" srcId="{466B11D5-0DB5-4A94-9316-9B3CB03F89CD}" destId="{85006803-1994-47DD-80DF-2196DCB6B48E}" srcOrd="0" destOrd="0" presId="urn:microsoft.com/office/officeart/2005/8/layout/lProcess2"/>
    <dgm:cxn modelId="{4E8FDC98-8AB6-47A7-AF09-BB45FB07E0C1}" type="presParOf" srcId="{85006803-1994-47DD-80DF-2196DCB6B48E}" destId="{A01779F3-12C2-40D2-A5B8-8F3CB2DF0443}" srcOrd="0" destOrd="0" presId="urn:microsoft.com/office/officeart/2005/8/layout/lProcess2"/>
    <dgm:cxn modelId="{993F4881-1ECC-4B70-AB4C-003C2D2E3E74}" type="presParOf" srcId="{85006803-1994-47DD-80DF-2196DCB6B48E}" destId="{EC91E06A-6ADB-44A6-A337-B32D84790BCB}" srcOrd="1" destOrd="0" presId="urn:microsoft.com/office/officeart/2005/8/layout/lProcess2"/>
    <dgm:cxn modelId="{D83855A7-EED2-4DF0-9A1F-629BCE09BA25}" type="presParOf" srcId="{85006803-1994-47DD-80DF-2196DCB6B48E}" destId="{0F241A54-1118-480D-86A1-9ED5006BF235}" srcOrd="2" destOrd="0" presId="urn:microsoft.com/office/officeart/2005/8/layout/lProcess2"/>
    <dgm:cxn modelId="{D8F4346D-8902-4DA4-935E-3199EF7847B0}" type="presParOf" srcId="{0F241A54-1118-480D-86A1-9ED5006BF235}" destId="{E3950DAE-92FC-4BAA-BA51-AAD8237CA619}" srcOrd="0" destOrd="0" presId="urn:microsoft.com/office/officeart/2005/8/layout/lProcess2"/>
    <dgm:cxn modelId="{06CAA9E3-5C0D-425D-9A6D-9E4A09CDFD6A}" type="presParOf" srcId="{E3950DAE-92FC-4BAA-BA51-AAD8237CA619}" destId="{351D97C9-E4B0-4541-B560-2F232E922138}" srcOrd="0" destOrd="0" presId="urn:microsoft.com/office/officeart/2005/8/layout/lProcess2"/>
    <dgm:cxn modelId="{6143BBED-4227-4085-94D6-B5561570BE9F}" type="presParOf" srcId="{E3950DAE-92FC-4BAA-BA51-AAD8237CA619}" destId="{9A7FE096-6B58-4665-AA0A-6850D06AAA4C}" srcOrd="1" destOrd="0" presId="urn:microsoft.com/office/officeart/2005/8/layout/lProcess2"/>
    <dgm:cxn modelId="{AF43C067-2D98-4011-8729-D4C44CF2F5AA}" type="presParOf" srcId="{E3950DAE-92FC-4BAA-BA51-AAD8237CA619}" destId="{FCEB8A49-7B31-4062-9CC9-6EA79DF93A1E}" srcOrd="2" destOrd="0" presId="urn:microsoft.com/office/officeart/2005/8/layout/lProcess2"/>
    <dgm:cxn modelId="{0A4FD587-C2D3-417D-A8B6-4F594F91C5E1}" type="presParOf" srcId="{E3950DAE-92FC-4BAA-BA51-AAD8237CA619}" destId="{4CC6DA84-444C-46B9-8048-E4CE98F0BA23}" srcOrd="3" destOrd="0" presId="urn:microsoft.com/office/officeart/2005/8/layout/lProcess2"/>
    <dgm:cxn modelId="{790A3637-7430-40E5-B8E0-9CD0900B3C28}" type="presParOf" srcId="{E3950DAE-92FC-4BAA-BA51-AAD8237CA619}" destId="{1E27EB20-4E55-4C6E-AD44-57A922AD1E26}" srcOrd="4" destOrd="0" presId="urn:microsoft.com/office/officeart/2005/8/layout/lProcess2"/>
    <dgm:cxn modelId="{CCAFBD1D-4AEA-4ED6-B920-E233562C5167}" type="presParOf" srcId="{E3950DAE-92FC-4BAA-BA51-AAD8237CA619}" destId="{1EBC95AE-CA01-4798-A204-AE011A5BE6A2}" srcOrd="5" destOrd="0" presId="urn:microsoft.com/office/officeart/2005/8/layout/lProcess2"/>
    <dgm:cxn modelId="{A914C29A-495C-4B84-9417-C26362B9BCF0}" type="presParOf" srcId="{E3950DAE-92FC-4BAA-BA51-AAD8237CA619}" destId="{983D58CC-0F3C-4BBF-A34B-5DC42579520C}" srcOrd="6" destOrd="0" presId="urn:microsoft.com/office/officeart/2005/8/layout/lProcess2"/>
    <dgm:cxn modelId="{C4E4E700-F359-46E0-97C7-E07F6C5AFCD2}" type="presParOf" srcId="{E3950DAE-92FC-4BAA-BA51-AAD8237CA619}" destId="{1CF551EA-E981-4AF8-9C47-AD4C05AF65E5}" srcOrd="7" destOrd="0" presId="urn:microsoft.com/office/officeart/2005/8/layout/lProcess2"/>
    <dgm:cxn modelId="{023EA3D8-B2CC-4657-8332-9176103DC5B6}" type="presParOf" srcId="{E3950DAE-92FC-4BAA-BA51-AAD8237CA619}" destId="{3A0CECA1-6F7C-449E-A0A4-A18B7B62E218}" srcOrd="8" destOrd="0" presId="urn:microsoft.com/office/officeart/2005/8/layout/lProcess2"/>
    <dgm:cxn modelId="{9F04D5DF-2577-468F-BBC7-AB5867B46267}" type="presParOf" srcId="{E3950DAE-92FC-4BAA-BA51-AAD8237CA619}" destId="{4C14C9FE-C289-4400-A53A-48055C106B5A}" srcOrd="9" destOrd="0" presId="urn:microsoft.com/office/officeart/2005/8/layout/lProcess2"/>
    <dgm:cxn modelId="{CD8F4C38-A17F-4EC3-8C8D-98483AEB5ADB}" type="presParOf" srcId="{E3950DAE-92FC-4BAA-BA51-AAD8237CA619}" destId="{EC8215ED-C71E-4826-9F39-1FEFC26AD001}" srcOrd="10" destOrd="0" presId="urn:microsoft.com/office/officeart/2005/8/layout/lProcess2"/>
    <dgm:cxn modelId="{D308F985-28AA-4B09-BC2F-EEFE54DDC4F0}" type="presParOf" srcId="{466B11D5-0DB5-4A94-9316-9B3CB03F89CD}" destId="{9ABEDA6D-5F1F-41D1-A98C-F4D0EE95894A}" srcOrd="1" destOrd="0" presId="urn:microsoft.com/office/officeart/2005/8/layout/lProcess2"/>
    <dgm:cxn modelId="{B1FC3807-639A-4813-A530-8C6300244C6B}" type="presParOf" srcId="{466B11D5-0DB5-4A94-9316-9B3CB03F89CD}" destId="{79A3A1F4-1F31-46DE-8821-459F1EE449AF}" srcOrd="2" destOrd="0" presId="urn:microsoft.com/office/officeart/2005/8/layout/lProcess2"/>
    <dgm:cxn modelId="{3500F1B3-08BC-4595-BCDA-85D357F29F1C}" type="presParOf" srcId="{79A3A1F4-1F31-46DE-8821-459F1EE449AF}" destId="{32E9B4A4-A74E-482A-81D9-9E5D63A01AA6}" srcOrd="0" destOrd="0" presId="urn:microsoft.com/office/officeart/2005/8/layout/lProcess2"/>
    <dgm:cxn modelId="{AB59CBC1-19FA-483D-B38E-E93DC6557C69}" type="presParOf" srcId="{79A3A1F4-1F31-46DE-8821-459F1EE449AF}" destId="{116D88ED-6A55-46AA-B06E-940C961FA678}" srcOrd="1" destOrd="0" presId="urn:microsoft.com/office/officeart/2005/8/layout/lProcess2"/>
    <dgm:cxn modelId="{4923CF24-7953-4F43-BF5C-3E5D6505C84C}" type="presParOf" srcId="{79A3A1F4-1F31-46DE-8821-459F1EE449AF}" destId="{79CDE1BB-B683-497B-BEA9-9CC54107F669}" srcOrd="2" destOrd="0" presId="urn:microsoft.com/office/officeart/2005/8/layout/lProcess2"/>
    <dgm:cxn modelId="{F369C3CA-0C41-4DE5-BD8D-EEE1E299CAD4}" type="presParOf" srcId="{79CDE1BB-B683-497B-BEA9-9CC54107F669}" destId="{9F831005-6ED0-4CA9-8B60-4E8B9BF88BDC}" srcOrd="0" destOrd="0" presId="urn:microsoft.com/office/officeart/2005/8/layout/lProcess2"/>
    <dgm:cxn modelId="{FE2378D2-0E54-499B-914E-42005B2F0907}" type="presParOf" srcId="{9F831005-6ED0-4CA9-8B60-4E8B9BF88BDC}" destId="{01D06994-6248-4BE4-A0C6-50F6964D328B}" srcOrd="0" destOrd="0" presId="urn:microsoft.com/office/officeart/2005/8/layout/lProcess2"/>
    <dgm:cxn modelId="{67212021-0AB2-4E1F-AC94-6F1F919C070A}" type="presParOf" srcId="{9F831005-6ED0-4CA9-8B60-4E8B9BF88BDC}" destId="{8F06B682-4AAD-4C2F-BA49-1EF8A2A2B2E1}" srcOrd="1" destOrd="0" presId="urn:microsoft.com/office/officeart/2005/8/layout/lProcess2"/>
    <dgm:cxn modelId="{D475FC8E-C49D-450A-83DF-716EB9BCC8B4}" type="presParOf" srcId="{9F831005-6ED0-4CA9-8B60-4E8B9BF88BDC}" destId="{E59E8AC7-AB45-4064-8131-3091C1303AF3}" srcOrd="2" destOrd="0" presId="urn:microsoft.com/office/officeart/2005/8/layout/lProcess2"/>
    <dgm:cxn modelId="{FC82493F-FF49-4F1B-804A-2F4E8233193C}" type="presParOf" srcId="{9F831005-6ED0-4CA9-8B60-4E8B9BF88BDC}" destId="{56BA8420-0AC3-47BC-B4DE-579B61EF55CA}" srcOrd="3" destOrd="0" presId="urn:microsoft.com/office/officeart/2005/8/layout/lProcess2"/>
    <dgm:cxn modelId="{1FF373CD-3E97-48C0-9187-B5F366B4E19F}" type="presParOf" srcId="{9F831005-6ED0-4CA9-8B60-4E8B9BF88BDC}" destId="{388F0F6F-CA50-45BD-880A-3ED4D0890BD5}" srcOrd="4" destOrd="0" presId="urn:microsoft.com/office/officeart/2005/8/layout/lProcess2"/>
    <dgm:cxn modelId="{A33D39B1-6A1F-4ED5-AFB3-D45782821124}" type="presParOf" srcId="{9F831005-6ED0-4CA9-8B60-4E8B9BF88BDC}" destId="{87DF5C43-A49B-4FED-8C9B-E02350216578}" srcOrd="5" destOrd="0" presId="urn:microsoft.com/office/officeart/2005/8/layout/lProcess2"/>
    <dgm:cxn modelId="{46C08FAF-AE54-48FD-9FC7-1E6E65D03214}" type="presParOf" srcId="{9F831005-6ED0-4CA9-8B60-4E8B9BF88BDC}" destId="{B18F3544-9CBD-427F-8EE2-613E03A42802}" srcOrd="6" destOrd="0" presId="urn:microsoft.com/office/officeart/2005/8/layout/lProcess2"/>
    <dgm:cxn modelId="{0737FA79-522B-4217-A721-A13A658D528A}" type="presParOf" srcId="{9F831005-6ED0-4CA9-8B60-4E8B9BF88BDC}" destId="{FBDE8C37-E1CC-4655-8EF6-2173AABEBBF9}" srcOrd="7" destOrd="0" presId="urn:microsoft.com/office/officeart/2005/8/layout/lProcess2"/>
    <dgm:cxn modelId="{84C9D03C-E756-4F45-AE42-8B17CA31A8F0}" type="presParOf" srcId="{9F831005-6ED0-4CA9-8B60-4E8B9BF88BDC}" destId="{9BE9AC15-82ED-4C5C-8402-99E86F8B33ED}" srcOrd="8" destOrd="0" presId="urn:microsoft.com/office/officeart/2005/8/layout/lProcess2"/>
    <dgm:cxn modelId="{8E0B78EB-11C0-436F-ABCC-FCB5E3F08E78}" type="presParOf" srcId="{9F831005-6ED0-4CA9-8B60-4E8B9BF88BDC}" destId="{17253C87-3779-40F1-94E5-2EDE00D2D7E1}" srcOrd="9" destOrd="0" presId="urn:microsoft.com/office/officeart/2005/8/layout/lProcess2"/>
    <dgm:cxn modelId="{7EB1543F-D8CF-4337-BCC5-B1C749A071F8}" type="presParOf" srcId="{9F831005-6ED0-4CA9-8B60-4E8B9BF88BDC}" destId="{DAF3F12C-E3C4-44C4-8961-3B6372939CF4}" srcOrd="10" destOrd="0" presId="urn:microsoft.com/office/officeart/2005/8/layout/lProcess2"/>
    <dgm:cxn modelId="{D1B85DBC-0115-457D-8577-97BA24A410B4}" type="presParOf" srcId="{466B11D5-0DB5-4A94-9316-9B3CB03F89CD}" destId="{B32C3C23-A00E-4738-A1C0-6D5DBD7FD024}" srcOrd="3" destOrd="0" presId="urn:microsoft.com/office/officeart/2005/8/layout/lProcess2"/>
    <dgm:cxn modelId="{1EC1E012-F8EA-4093-B60D-3940CB0BB331}" type="presParOf" srcId="{466B11D5-0DB5-4A94-9316-9B3CB03F89CD}" destId="{C03FDD29-1764-4668-B87F-DC7388C1B19C}" srcOrd="4" destOrd="0" presId="urn:microsoft.com/office/officeart/2005/8/layout/lProcess2"/>
    <dgm:cxn modelId="{FC5AE011-C04E-409D-9A85-BA65E55D7C90}" type="presParOf" srcId="{C03FDD29-1764-4668-B87F-DC7388C1B19C}" destId="{B5D5F797-E487-483C-9C14-197B59514F84}" srcOrd="0" destOrd="0" presId="urn:microsoft.com/office/officeart/2005/8/layout/lProcess2"/>
    <dgm:cxn modelId="{508100E5-CFC4-41CA-880D-5CBD9F185C23}" type="presParOf" srcId="{C03FDD29-1764-4668-B87F-DC7388C1B19C}" destId="{A46ADD70-521A-40C8-A0B8-EE0CF5CFD6FA}" srcOrd="1" destOrd="0" presId="urn:microsoft.com/office/officeart/2005/8/layout/lProcess2"/>
    <dgm:cxn modelId="{B488B485-741E-4B98-88E6-A648E49A0D87}" type="presParOf" srcId="{C03FDD29-1764-4668-B87F-DC7388C1B19C}" destId="{0B0A2186-2699-4C3E-9560-A66F636E279E}" srcOrd="2" destOrd="0" presId="urn:microsoft.com/office/officeart/2005/8/layout/lProcess2"/>
    <dgm:cxn modelId="{568E5E1C-2A37-4FBB-8757-100567D72915}" type="presParOf" srcId="{0B0A2186-2699-4C3E-9560-A66F636E279E}" destId="{F0AF51D9-BD29-497E-BC06-0B4D713833CD}" srcOrd="0" destOrd="0" presId="urn:microsoft.com/office/officeart/2005/8/layout/lProcess2"/>
    <dgm:cxn modelId="{5469B1E9-F7D4-436C-806C-ADB9BFDE7C66}" type="presParOf" srcId="{F0AF51D9-BD29-497E-BC06-0B4D713833CD}" destId="{F9E70B55-81AE-4F59-893A-3315A397D28B}" srcOrd="0" destOrd="0" presId="urn:microsoft.com/office/officeart/2005/8/layout/lProcess2"/>
    <dgm:cxn modelId="{C70D0CFF-0F3C-4034-9E92-0D61469E1907}" type="presParOf" srcId="{F0AF51D9-BD29-497E-BC06-0B4D713833CD}" destId="{1AF1855E-44E5-4BB7-B6CA-CEB1F22FE53A}" srcOrd="1" destOrd="0" presId="urn:microsoft.com/office/officeart/2005/8/layout/lProcess2"/>
    <dgm:cxn modelId="{6ABDC549-A777-4B2A-94CC-B8F1FB3A654F}" type="presParOf" srcId="{F0AF51D9-BD29-497E-BC06-0B4D713833CD}" destId="{0379949A-40E6-449F-8447-CDBC7DCAF3C6}" srcOrd="2" destOrd="0" presId="urn:microsoft.com/office/officeart/2005/8/layout/lProcess2"/>
    <dgm:cxn modelId="{6AFF4EA5-68CB-4B28-A75D-3B483EC18725}" type="presParOf" srcId="{F0AF51D9-BD29-497E-BC06-0B4D713833CD}" destId="{76D3CE11-A5DA-4B0D-BF2C-BF13E33F157E}" srcOrd="3" destOrd="0" presId="urn:microsoft.com/office/officeart/2005/8/layout/lProcess2"/>
    <dgm:cxn modelId="{3C629949-4168-4463-8A0B-35E2E9AEF65D}" type="presParOf" srcId="{F0AF51D9-BD29-497E-BC06-0B4D713833CD}" destId="{E8BCA177-AF5E-4F00-822F-74C769FF12DB}" srcOrd="4" destOrd="0" presId="urn:microsoft.com/office/officeart/2005/8/layout/lProcess2"/>
    <dgm:cxn modelId="{60331193-249A-4799-B7EC-29324D569673}" type="presParOf" srcId="{F0AF51D9-BD29-497E-BC06-0B4D713833CD}" destId="{A4A70B0F-87EF-44AE-B11A-EB7B9205AFD3}" srcOrd="5" destOrd="0" presId="urn:microsoft.com/office/officeart/2005/8/layout/lProcess2"/>
    <dgm:cxn modelId="{DA1E4309-1621-473B-B585-233FB654AECE}" type="presParOf" srcId="{F0AF51D9-BD29-497E-BC06-0B4D713833CD}" destId="{ED41083D-1F94-4055-82BE-CAE013D33B66}" srcOrd="6" destOrd="0" presId="urn:microsoft.com/office/officeart/2005/8/layout/lProcess2"/>
    <dgm:cxn modelId="{A134F763-A464-4DF0-A926-8174BEA3153B}" type="presParOf" srcId="{F0AF51D9-BD29-497E-BC06-0B4D713833CD}" destId="{24C9108A-ABC8-4F8A-BF7E-EEA942BBC5E1}" srcOrd="7" destOrd="0" presId="urn:microsoft.com/office/officeart/2005/8/layout/lProcess2"/>
    <dgm:cxn modelId="{22287E98-9E21-42CF-9D3A-3BC6647FB4BC}" type="presParOf" srcId="{F0AF51D9-BD29-497E-BC06-0B4D713833CD}" destId="{E1CAE400-24E2-49D6-B8E5-ED0AFA5F613B}" srcOrd="8" destOrd="0" presId="urn:microsoft.com/office/officeart/2005/8/layout/lProcess2"/>
    <dgm:cxn modelId="{E054F006-BDCD-494A-A6B5-0655F8F85798}" type="presParOf" srcId="{466B11D5-0DB5-4A94-9316-9B3CB03F89CD}" destId="{8B5C15F3-54EA-4DC1-815C-C437BEF533AB}" srcOrd="5" destOrd="0" presId="urn:microsoft.com/office/officeart/2005/8/layout/lProcess2"/>
    <dgm:cxn modelId="{CD8F3E1E-A082-4483-AED6-8C7684FFB644}" type="presParOf" srcId="{466B11D5-0DB5-4A94-9316-9B3CB03F89CD}" destId="{3E3EE92A-E751-418F-818B-8F16438E29FF}" srcOrd="6" destOrd="0" presId="urn:microsoft.com/office/officeart/2005/8/layout/lProcess2"/>
    <dgm:cxn modelId="{31FB01C9-453C-4AF1-8F99-CC3610B3DCDB}" type="presParOf" srcId="{3E3EE92A-E751-418F-818B-8F16438E29FF}" destId="{D6EC63BF-8C99-4D5F-B6C4-ED8607B8EECA}" srcOrd="0" destOrd="0" presId="urn:microsoft.com/office/officeart/2005/8/layout/lProcess2"/>
    <dgm:cxn modelId="{2F3F608B-64D6-4124-81BB-730DE3EF219E}" type="presParOf" srcId="{3E3EE92A-E751-418F-818B-8F16438E29FF}" destId="{09A665E1-F203-4AF1-9664-A7B24CDFA1B1}" srcOrd="1" destOrd="0" presId="urn:microsoft.com/office/officeart/2005/8/layout/lProcess2"/>
    <dgm:cxn modelId="{0F309DF2-B5BE-4DF4-8BED-F7D628F35AD0}" type="presParOf" srcId="{3E3EE92A-E751-418F-818B-8F16438E29FF}" destId="{0D5AE568-6ABF-4739-8666-34337F81381D}" srcOrd="2" destOrd="0" presId="urn:microsoft.com/office/officeart/2005/8/layout/lProcess2"/>
    <dgm:cxn modelId="{7BCE2629-F7ED-4F35-99DF-30EA7DB540F9}" type="presParOf" srcId="{0D5AE568-6ABF-4739-8666-34337F81381D}" destId="{EAD2079A-C99A-412D-936D-423757C93A03}" srcOrd="0" destOrd="0" presId="urn:microsoft.com/office/officeart/2005/8/layout/lProcess2"/>
    <dgm:cxn modelId="{9748677A-2C28-46A9-84A6-F82F70121570}" type="presParOf" srcId="{EAD2079A-C99A-412D-936D-423757C93A03}" destId="{E8D98036-C5E4-4F14-8E11-4E5B09D17BD4}" srcOrd="0" destOrd="0" presId="urn:microsoft.com/office/officeart/2005/8/layout/lProcess2"/>
    <dgm:cxn modelId="{39F25575-C4CB-45C5-9580-F6D36E3764B6}" type="presParOf" srcId="{EAD2079A-C99A-412D-936D-423757C93A03}" destId="{06768BEF-C0DF-4C2D-A381-B2DDAD4DA3AB}" srcOrd="1" destOrd="0" presId="urn:microsoft.com/office/officeart/2005/8/layout/lProcess2"/>
    <dgm:cxn modelId="{B2915FF4-B5D7-45B4-955E-F0B0B1F35513}" type="presParOf" srcId="{EAD2079A-C99A-412D-936D-423757C93A03}" destId="{E62F950D-776E-421E-9E74-7F8526D04CEB}" srcOrd="2" destOrd="0" presId="urn:microsoft.com/office/officeart/2005/8/layout/lProcess2"/>
    <dgm:cxn modelId="{9CE35022-A580-48DE-98A6-98C8D3ED70E4}" type="presParOf" srcId="{EAD2079A-C99A-412D-936D-423757C93A03}" destId="{05296C38-B707-4432-96A9-3EAFB1263581}" srcOrd="3" destOrd="0" presId="urn:microsoft.com/office/officeart/2005/8/layout/lProcess2"/>
    <dgm:cxn modelId="{667973C9-E8D0-4858-B5F5-EAD112D3FB0E}" type="presParOf" srcId="{EAD2079A-C99A-412D-936D-423757C93A03}" destId="{1762C222-DF06-4F42-A809-D49D8694EFCD}" srcOrd="4" destOrd="0" presId="urn:microsoft.com/office/officeart/2005/8/layout/lProcess2"/>
    <dgm:cxn modelId="{B66DAE46-537B-48A7-8939-538FE90FFB69}" type="presParOf" srcId="{EAD2079A-C99A-412D-936D-423757C93A03}" destId="{5DC0978A-55D3-4F7A-B9EA-455BF2F1DE66}" srcOrd="5" destOrd="0" presId="urn:microsoft.com/office/officeart/2005/8/layout/lProcess2"/>
    <dgm:cxn modelId="{65DF9594-8227-4DA8-ADC8-EBECE427BB22}" type="presParOf" srcId="{EAD2079A-C99A-412D-936D-423757C93A03}" destId="{505179C9-E457-4CF2-ACFF-2C981CD09691}" srcOrd="6" destOrd="0" presId="urn:microsoft.com/office/officeart/2005/8/layout/lProcess2"/>
    <dgm:cxn modelId="{FDCF5263-E65C-4586-8ACA-C39F999BE3EE}" type="presParOf" srcId="{EAD2079A-C99A-412D-936D-423757C93A03}" destId="{891E8381-F3A1-40C2-9446-49EBC9A86198}" srcOrd="7" destOrd="0" presId="urn:microsoft.com/office/officeart/2005/8/layout/lProcess2"/>
    <dgm:cxn modelId="{6D026DC6-730E-4582-BE4F-5841C0F93079}" type="presParOf" srcId="{EAD2079A-C99A-412D-936D-423757C93A03}" destId="{7F95CBCC-4B34-47D9-A1D3-637E429CBD6C}" srcOrd="8" destOrd="0" presId="urn:microsoft.com/office/officeart/2005/8/layout/lProcess2"/>
    <dgm:cxn modelId="{8462AB37-CCF0-447E-9E62-3DAD1BB90166}" type="presParOf" srcId="{EAD2079A-C99A-412D-936D-423757C93A03}" destId="{82E0EA1B-0DE6-49F2-85FA-8D16F22537CD}" srcOrd="9" destOrd="0" presId="urn:microsoft.com/office/officeart/2005/8/layout/lProcess2"/>
    <dgm:cxn modelId="{DB429F7B-DA3A-4A28-A55E-A5896AA161A1}" type="presParOf" srcId="{EAD2079A-C99A-412D-936D-423757C93A03}" destId="{7C163D57-E792-4482-BA3C-8960DE208897}" srcOrd="10" destOrd="0" presId="urn:microsoft.com/office/officeart/2005/8/layout/lProcess2"/>
    <dgm:cxn modelId="{0899043E-54DD-4DB7-8F23-AF02CB24BB7E}" type="presParOf" srcId="{466B11D5-0DB5-4A94-9316-9B3CB03F89CD}" destId="{02966319-CC8D-4D97-AEA9-A6A367388C26}" srcOrd="7" destOrd="0" presId="urn:microsoft.com/office/officeart/2005/8/layout/lProcess2"/>
    <dgm:cxn modelId="{0DD55EB3-4429-495A-BCEB-CE7148ABFB9C}" type="presParOf" srcId="{466B11D5-0DB5-4A94-9316-9B3CB03F89CD}" destId="{8B078194-1A72-48A9-8ECE-2A79108DBEB9}" srcOrd="8" destOrd="0" presId="urn:microsoft.com/office/officeart/2005/8/layout/lProcess2"/>
    <dgm:cxn modelId="{F193FBAB-99FE-403B-B493-E6894D8F5D51}" type="presParOf" srcId="{8B078194-1A72-48A9-8ECE-2A79108DBEB9}" destId="{F94921AA-4CFE-4C64-8105-C6E98F624E3F}" srcOrd="0" destOrd="0" presId="urn:microsoft.com/office/officeart/2005/8/layout/lProcess2"/>
    <dgm:cxn modelId="{E9D7B2B6-2365-4B95-8A41-898D55C82C8C}" type="presParOf" srcId="{8B078194-1A72-48A9-8ECE-2A79108DBEB9}" destId="{596CEBC2-B5FF-4DB3-B038-0CD4B6D5513A}" srcOrd="1" destOrd="0" presId="urn:microsoft.com/office/officeart/2005/8/layout/lProcess2"/>
    <dgm:cxn modelId="{A7B1784E-EAFA-4360-A338-0FEEDA129294}" type="presParOf" srcId="{8B078194-1A72-48A9-8ECE-2A79108DBEB9}" destId="{E587EF6F-6918-4801-9DD7-FC8333B5281F}" srcOrd="2" destOrd="0" presId="urn:microsoft.com/office/officeart/2005/8/layout/lProcess2"/>
    <dgm:cxn modelId="{F5864145-5855-4041-BD06-8FF34733FF6D}" type="presParOf" srcId="{E587EF6F-6918-4801-9DD7-FC8333B5281F}" destId="{8822F9E4-838D-4C59-B0B7-DDD0BF9C1DFF}" srcOrd="0" destOrd="0" presId="urn:microsoft.com/office/officeart/2005/8/layout/lProcess2"/>
    <dgm:cxn modelId="{C3B43184-7C09-4A6D-B6A6-71D7EA69EF67}" type="presParOf" srcId="{8822F9E4-838D-4C59-B0B7-DDD0BF9C1DFF}" destId="{A80EC57D-6B70-4CB8-8D97-44AAD60E119C}" srcOrd="0" destOrd="0" presId="urn:microsoft.com/office/officeart/2005/8/layout/lProcess2"/>
    <dgm:cxn modelId="{3AC21661-93FF-4EF0-B6BC-989A2AE36EF2}" type="presParOf" srcId="{8822F9E4-838D-4C59-B0B7-DDD0BF9C1DFF}" destId="{D5BC60BC-27A3-47D8-8863-A8733F7D7160}" srcOrd="1" destOrd="0" presId="urn:microsoft.com/office/officeart/2005/8/layout/lProcess2"/>
    <dgm:cxn modelId="{110B4C3E-3582-4B1B-A117-4EF9B5BEADE7}" type="presParOf" srcId="{8822F9E4-838D-4C59-B0B7-DDD0BF9C1DFF}" destId="{61E3ADDD-0A10-488F-B17B-42687B4A8F8A}" srcOrd="2" destOrd="0" presId="urn:microsoft.com/office/officeart/2005/8/layout/lProcess2"/>
    <dgm:cxn modelId="{5090C129-210F-4A97-8806-EC219BF9C225}" type="presParOf" srcId="{8822F9E4-838D-4C59-B0B7-DDD0BF9C1DFF}" destId="{E45BBDDD-B9C0-422A-9C3D-90EC6E4A67A6}" srcOrd="3" destOrd="0" presId="urn:microsoft.com/office/officeart/2005/8/layout/lProcess2"/>
    <dgm:cxn modelId="{3D22868E-2F46-4FAB-9D8E-1A182B752EDB}" type="presParOf" srcId="{8822F9E4-838D-4C59-B0B7-DDD0BF9C1DFF}" destId="{B0D22898-E0BB-4B04-B516-9E35003CAD3B}" srcOrd="4" destOrd="0" presId="urn:microsoft.com/office/officeart/2005/8/layout/lProcess2"/>
    <dgm:cxn modelId="{9E9A8C5D-851E-4489-919E-8D5F52DB3ACF}" type="presParOf" srcId="{8822F9E4-838D-4C59-B0B7-DDD0BF9C1DFF}" destId="{AB2E649C-FB5D-4AFC-80E3-F10C37E28003}" srcOrd="5" destOrd="0" presId="urn:microsoft.com/office/officeart/2005/8/layout/lProcess2"/>
    <dgm:cxn modelId="{09AA1E43-E185-4F7C-B47C-DEB82E58C9F8}" type="presParOf" srcId="{8822F9E4-838D-4C59-B0B7-DDD0BF9C1DFF}" destId="{BED46B49-B058-4EE7-98DF-03E3F9373717}" srcOrd="6" destOrd="0" presId="urn:microsoft.com/office/officeart/2005/8/layout/lProcess2"/>
    <dgm:cxn modelId="{A90C405A-A48B-4243-A88D-48B8EC70701D}" type="presParOf" srcId="{8822F9E4-838D-4C59-B0B7-DDD0BF9C1DFF}" destId="{59F6EE17-13E4-4DF9-84F0-9359927DF08C}" srcOrd="7" destOrd="0" presId="urn:microsoft.com/office/officeart/2005/8/layout/lProcess2"/>
    <dgm:cxn modelId="{80A9AB90-5804-49A1-BB91-FAFA6B080D24}" type="presParOf" srcId="{8822F9E4-838D-4C59-B0B7-DDD0BF9C1DFF}" destId="{C2F54181-96FE-4EEF-AE81-E23CA96AF49F}" srcOrd="8" destOrd="0" presId="urn:microsoft.com/office/officeart/2005/8/layout/lProcess2"/>
    <dgm:cxn modelId="{7CDE6AD7-C3C0-4CEC-B1C9-6E7A684224DC}" type="presParOf" srcId="{466B11D5-0DB5-4A94-9316-9B3CB03F89CD}" destId="{21608E4F-D390-494A-A0B4-05E5B0E15225}" srcOrd="9" destOrd="0" presId="urn:microsoft.com/office/officeart/2005/8/layout/lProcess2"/>
    <dgm:cxn modelId="{D42C9079-7A57-4BE6-9BE9-7AA043EE8B30}" type="presParOf" srcId="{466B11D5-0DB5-4A94-9316-9B3CB03F89CD}" destId="{185B537E-D83D-4F42-825E-6D7234049522}" srcOrd="10" destOrd="0" presId="urn:microsoft.com/office/officeart/2005/8/layout/lProcess2"/>
    <dgm:cxn modelId="{6A2FDC48-1A16-4B9D-879A-3911C1FD5C6C}" type="presParOf" srcId="{185B537E-D83D-4F42-825E-6D7234049522}" destId="{CB9AB3F0-A51C-4611-81A1-965C9BAC6B1A}" srcOrd="0" destOrd="0" presId="urn:microsoft.com/office/officeart/2005/8/layout/lProcess2"/>
    <dgm:cxn modelId="{B23327E8-0DE8-442D-A375-72E9F028C84C}" type="presParOf" srcId="{185B537E-D83D-4F42-825E-6D7234049522}" destId="{B5F3AE83-6A57-4DAD-862A-DD17BA4CF47A}" srcOrd="1" destOrd="0" presId="urn:microsoft.com/office/officeart/2005/8/layout/lProcess2"/>
    <dgm:cxn modelId="{C6E42F4D-3282-4CD4-87F6-874561421EAC}" type="presParOf" srcId="{185B537E-D83D-4F42-825E-6D7234049522}" destId="{0AA949C2-7369-4AA7-A152-1E8ABBC3AE23}" srcOrd="2" destOrd="0" presId="urn:microsoft.com/office/officeart/2005/8/layout/lProcess2"/>
    <dgm:cxn modelId="{F5F70127-6459-4266-9A4E-680DEA8B7F5E}" type="presParOf" srcId="{0AA949C2-7369-4AA7-A152-1E8ABBC3AE23}" destId="{F641B846-4A34-4DB1-9748-498716D58D49}" srcOrd="0" destOrd="0" presId="urn:microsoft.com/office/officeart/2005/8/layout/lProcess2"/>
    <dgm:cxn modelId="{064EBF16-63AA-49DF-8CF9-59452BCF8AC6}" type="presParOf" srcId="{F641B846-4A34-4DB1-9748-498716D58D49}" destId="{46C06980-EDA3-43E9-AFE4-B46A7C3E421F}" srcOrd="0" destOrd="0" presId="urn:microsoft.com/office/officeart/2005/8/layout/lProcess2"/>
    <dgm:cxn modelId="{77E23E12-5231-4B91-802A-556659FB45CA}" type="presParOf" srcId="{F641B846-4A34-4DB1-9748-498716D58D49}" destId="{A10C7591-3402-478A-8B94-A3BAD0E70AC8}" srcOrd="1" destOrd="0" presId="urn:microsoft.com/office/officeart/2005/8/layout/lProcess2"/>
    <dgm:cxn modelId="{BEFE1FF8-49AC-4367-A6FD-155A4C6A1A5E}" type="presParOf" srcId="{F641B846-4A34-4DB1-9748-498716D58D49}" destId="{321F759F-6654-40C8-9D02-A373D9ACCD0C}" srcOrd="2" destOrd="0" presId="urn:microsoft.com/office/officeart/2005/8/layout/lProcess2"/>
    <dgm:cxn modelId="{A32F0851-729E-44BE-BF7C-5BA05C0E7D67}" type="presParOf" srcId="{F641B846-4A34-4DB1-9748-498716D58D49}" destId="{DFB16130-79CF-4DAF-81F6-0E90D5EB32CB}" srcOrd="3" destOrd="0" presId="urn:microsoft.com/office/officeart/2005/8/layout/lProcess2"/>
    <dgm:cxn modelId="{80F6212D-E92D-417C-9D38-D4A905B876B0}" type="presParOf" srcId="{F641B846-4A34-4DB1-9748-498716D58D49}" destId="{027F7A12-B20D-4E04-A7F8-181F6F9423DA}" srcOrd="4" destOrd="0" presId="urn:microsoft.com/office/officeart/2005/8/layout/lProcess2"/>
    <dgm:cxn modelId="{EBBA9200-56B9-4F4F-BCF7-5DB1ABCC98C7}" type="presParOf" srcId="{F641B846-4A34-4DB1-9748-498716D58D49}" destId="{D1B03E98-064F-4F75-A185-6201F9BE03B3}" srcOrd="5" destOrd="0" presId="urn:microsoft.com/office/officeart/2005/8/layout/lProcess2"/>
    <dgm:cxn modelId="{24CF14C6-B060-461C-8729-5E77F07DA782}" type="presParOf" srcId="{F641B846-4A34-4DB1-9748-498716D58D49}" destId="{EFBF6BB4-79C7-492B-A285-D414E514BCEB}" srcOrd="6" destOrd="0" presId="urn:microsoft.com/office/officeart/2005/8/layout/lProcess2"/>
    <dgm:cxn modelId="{E4D3C792-3B11-49CE-B6FA-9D515E10315A}" type="presParOf" srcId="{F641B846-4A34-4DB1-9748-498716D58D49}" destId="{10A6D301-5142-4826-8E79-D539A6C4027A}" srcOrd="7" destOrd="0" presId="urn:microsoft.com/office/officeart/2005/8/layout/lProcess2"/>
    <dgm:cxn modelId="{20476896-D407-44B3-9A69-6E6E82543BCC}" type="presParOf" srcId="{F641B846-4A34-4DB1-9748-498716D58D49}" destId="{52402AAF-59CF-4FAD-B0E5-D6E901C12A81}" srcOrd="8" destOrd="0" presId="urn:microsoft.com/office/officeart/2005/8/layout/lProcess2"/>
    <dgm:cxn modelId="{A832027F-9ECA-47D5-8D9B-6D72052BF7F5}" type="presParOf" srcId="{466B11D5-0DB5-4A94-9316-9B3CB03F89CD}" destId="{6DD630F6-CB57-42A1-B6C0-EDD5F53529B4}" srcOrd="11" destOrd="0" presId="urn:microsoft.com/office/officeart/2005/8/layout/lProcess2"/>
    <dgm:cxn modelId="{9490D454-C676-4222-A73E-220C7D07DA81}" type="presParOf" srcId="{466B11D5-0DB5-4A94-9316-9B3CB03F89CD}" destId="{AE958A15-D100-47CA-B6BF-A8A7D5FD88FA}" srcOrd="12" destOrd="0" presId="urn:microsoft.com/office/officeart/2005/8/layout/lProcess2"/>
    <dgm:cxn modelId="{5EB5DA2E-A35C-4FB9-9F05-8C32D1294150}" type="presParOf" srcId="{AE958A15-D100-47CA-B6BF-A8A7D5FD88FA}" destId="{93413AB3-3BEF-4995-9212-A599DC46596A}" srcOrd="0" destOrd="0" presId="urn:microsoft.com/office/officeart/2005/8/layout/lProcess2"/>
    <dgm:cxn modelId="{13B531C1-E363-4F72-8442-CD14C7E10CD6}" type="presParOf" srcId="{AE958A15-D100-47CA-B6BF-A8A7D5FD88FA}" destId="{D1520B8C-ECBF-4CC5-A0BC-0CE3BA5B2650}" srcOrd="1" destOrd="0" presId="urn:microsoft.com/office/officeart/2005/8/layout/lProcess2"/>
    <dgm:cxn modelId="{B1B0B31A-29B3-455F-822B-309094A1AA40}" type="presParOf" srcId="{AE958A15-D100-47CA-B6BF-A8A7D5FD88FA}" destId="{FFE54EDB-F9F5-4A50-B4DC-72C2D89ECB56}" srcOrd="2" destOrd="0" presId="urn:microsoft.com/office/officeart/2005/8/layout/lProcess2"/>
    <dgm:cxn modelId="{E29ADF83-35FC-43C2-9DCB-2E61CCFE5756}" type="presParOf" srcId="{FFE54EDB-F9F5-4A50-B4DC-72C2D89ECB56}" destId="{746B90F5-89B1-4B3E-A587-832D3AF73EC2}" srcOrd="0" destOrd="0" presId="urn:microsoft.com/office/officeart/2005/8/layout/lProcess2"/>
    <dgm:cxn modelId="{1A8438B4-A023-4F35-B57B-8F0DE310B548}" type="presParOf" srcId="{746B90F5-89B1-4B3E-A587-832D3AF73EC2}" destId="{611409A6-8C9F-4FBD-93E0-C9D3CE6AC288}" srcOrd="0" destOrd="0" presId="urn:microsoft.com/office/officeart/2005/8/layout/lProcess2"/>
    <dgm:cxn modelId="{41B89FF0-F236-48B4-BEA0-4F03399B13EF}" type="presParOf" srcId="{746B90F5-89B1-4B3E-A587-832D3AF73EC2}" destId="{67DA4225-D231-4DB6-9064-EEF2971D5774}" srcOrd="1" destOrd="0" presId="urn:microsoft.com/office/officeart/2005/8/layout/lProcess2"/>
    <dgm:cxn modelId="{DC888B65-02A3-419E-8027-21C01FCB31D6}" type="presParOf" srcId="{746B90F5-89B1-4B3E-A587-832D3AF73EC2}" destId="{8CA67989-6EAD-4737-9BE4-50744894F71F}" srcOrd="2" destOrd="0" presId="urn:microsoft.com/office/officeart/2005/8/layout/lProcess2"/>
    <dgm:cxn modelId="{7CB6E9A2-480E-4738-AE5C-EDE281D1F778}" type="presParOf" srcId="{746B90F5-89B1-4B3E-A587-832D3AF73EC2}" destId="{3AEA50CC-0424-447C-B1AA-BEFB29DF4850}" srcOrd="3" destOrd="0" presId="urn:microsoft.com/office/officeart/2005/8/layout/lProcess2"/>
    <dgm:cxn modelId="{4E910457-D252-42AB-A895-E31F277334BE}" type="presParOf" srcId="{746B90F5-89B1-4B3E-A587-832D3AF73EC2}" destId="{3A88516C-0337-4CD4-A2B1-54DCB40D05A9}" srcOrd="4" destOrd="0" presId="urn:microsoft.com/office/officeart/2005/8/layout/lProcess2"/>
    <dgm:cxn modelId="{E613BFE8-E5F7-4170-B2FA-8F927981C8F2}" type="presParOf" srcId="{746B90F5-89B1-4B3E-A587-832D3AF73EC2}" destId="{D0CB7F82-C474-432B-B5D5-587D613FA894}" srcOrd="5" destOrd="0" presId="urn:microsoft.com/office/officeart/2005/8/layout/lProcess2"/>
    <dgm:cxn modelId="{76F870ED-EEC5-4989-B194-1134C9F83630}" type="presParOf" srcId="{746B90F5-89B1-4B3E-A587-832D3AF73EC2}" destId="{90BABA62-41F4-4FF3-A017-0251BC0A437B}" srcOrd="6" destOrd="0" presId="urn:microsoft.com/office/officeart/2005/8/layout/lProcess2"/>
    <dgm:cxn modelId="{9C8883A4-F61B-4507-8764-4F19EB209DD7}" type="presParOf" srcId="{746B90F5-89B1-4B3E-A587-832D3AF73EC2}" destId="{07254CBD-CDBD-456B-94D4-F960837680D1}" srcOrd="7" destOrd="0" presId="urn:microsoft.com/office/officeart/2005/8/layout/lProcess2"/>
    <dgm:cxn modelId="{CFB3177E-1AF8-47CB-8DA4-6D16C56DDD1E}" type="presParOf" srcId="{746B90F5-89B1-4B3E-A587-832D3AF73EC2}" destId="{313DC24E-C7B7-4F0E-B6E8-55D79C278CFD}" srcOrd="8" destOrd="0" presId="urn:microsoft.com/office/officeart/2005/8/layout/lProcess2"/>
    <dgm:cxn modelId="{61ACCBBF-2278-4A53-A931-EDB98723A120}" type="presParOf" srcId="{466B11D5-0DB5-4A94-9316-9B3CB03F89CD}" destId="{8F5182E8-5C65-4A03-9D42-6E601E73A2F0}" srcOrd="13" destOrd="0" presId="urn:microsoft.com/office/officeart/2005/8/layout/lProcess2"/>
    <dgm:cxn modelId="{85AA9542-3550-4EA1-B432-35BCA124C336}" type="presParOf" srcId="{466B11D5-0DB5-4A94-9316-9B3CB03F89CD}" destId="{5A07C504-FEEE-482F-B29A-1F68C1585D5A}" srcOrd="14" destOrd="0" presId="urn:microsoft.com/office/officeart/2005/8/layout/lProcess2"/>
    <dgm:cxn modelId="{AA5EC7BA-4BA3-41E7-808A-269FDF77F12C}" type="presParOf" srcId="{5A07C504-FEEE-482F-B29A-1F68C1585D5A}" destId="{04172FE2-BBF4-4E40-A70F-6FFDA41D2CF7}" srcOrd="0" destOrd="0" presId="urn:microsoft.com/office/officeart/2005/8/layout/lProcess2"/>
    <dgm:cxn modelId="{5395674D-B612-4771-81CE-6C1931CB02D9}" type="presParOf" srcId="{5A07C504-FEEE-482F-B29A-1F68C1585D5A}" destId="{6EABEFC6-B1EE-48C3-B178-EFEC26E1F8E1}" srcOrd="1" destOrd="0" presId="urn:microsoft.com/office/officeart/2005/8/layout/lProcess2"/>
    <dgm:cxn modelId="{F6FFAB44-27F6-40B2-95FA-B2D0D01875E7}" type="presParOf" srcId="{5A07C504-FEEE-482F-B29A-1F68C1585D5A}" destId="{D9D01825-C7B4-4289-AFEF-D3357C4F3CBD}" srcOrd="2" destOrd="0" presId="urn:microsoft.com/office/officeart/2005/8/layout/lProcess2"/>
    <dgm:cxn modelId="{B71DE23B-AC08-4057-AAF8-9441E9351195}" type="presParOf" srcId="{D9D01825-C7B4-4289-AFEF-D3357C4F3CBD}" destId="{A56430A5-7676-4CCA-9C4A-7F8E3FFA3DA8}" srcOrd="0" destOrd="0" presId="urn:microsoft.com/office/officeart/2005/8/layout/lProcess2"/>
    <dgm:cxn modelId="{85B8A767-8484-46D8-82FD-F0575108E3BD}" type="presParOf" srcId="{A56430A5-7676-4CCA-9C4A-7F8E3FFA3DA8}" destId="{2EB7FF5D-2A4B-422B-8354-4C1A3F7ACAAC}" srcOrd="0" destOrd="0" presId="urn:microsoft.com/office/officeart/2005/8/layout/lProcess2"/>
    <dgm:cxn modelId="{E36EDDD9-D8EC-4FC1-A9EB-BA88410AF998}" type="presParOf" srcId="{A56430A5-7676-4CCA-9C4A-7F8E3FFA3DA8}" destId="{579975C6-B38C-4CD2-86A1-B962A2A0D19A}" srcOrd="1" destOrd="0" presId="urn:microsoft.com/office/officeart/2005/8/layout/lProcess2"/>
    <dgm:cxn modelId="{4FF8D96A-1C8E-48EE-A52F-0DC9E9C13E53}" type="presParOf" srcId="{A56430A5-7676-4CCA-9C4A-7F8E3FFA3DA8}" destId="{B3BEE594-E3B9-4AAB-8C15-5BE9F58D091A}" srcOrd="2" destOrd="0" presId="urn:microsoft.com/office/officeart/2005/8/layout/lProcess2"/>
    <dgm:cxn modelId="{0B9FCF3B-5B53-4A04-8C93-414E7A198423}" type="presParOf" srcId="{A56430A5-7676-4CCA-9C4A-7F8E3FFA3DA8}" destId="{E23BA54B-BAAF-4C04-AE31-CCC9DF2E4989}" srcOrd="3" destOrd="0" presId="urn:microsoft.com/office/officeart/2005/8/layout/lProcess2"/>
    <dgm:cxn modelId="{0D18ED42-94D9-4535-9AED-5AA391ED4C25}" type="presParOf" srcId="{A56430A5-7676-4CCA-9C4A-7F8E3FFA3DA8}" destId="{50A6ABE4-4CA8-421C-B54C-503481AF80EF}" srcOrd="4" destOrd="0" presId="urn:microsoft.com/office/officeart/2005/8/layout/lProcess2"/>
    <dgm:cxn modelId="{4EE6DAC9-AD16-40E5-BD42-09F32CF969F8}" type="presParOf" srcId="{A56430A5-7676-4CCA-9C4A-7F8E3FFA3DA8}" destId="{4C5B184C-E0D6-4349-8AB7-69FE73A0646B}" srcOrd="5" destOrd="0" presId="urn:microsoft.com/office/officeart/2005/8/layout/lProcess2"/>
    <dgm:cxn modelId="{E991102C-7552-489C-AC91-043456D06680}" type="presParOf" srcId="{A56430A5-7676-4CCA-9C4A-7F8E3FFA3DA8}" destId="{DCC5769E-6CC6-43BC-8E99-4A89EF0F3CE6}" srcOrd="6" destOrd="0" presId="urn:microsoft.com/office/officeart/2005/8/layout/lProcess2"/>
    <dgm:cxn modelId="{64A7EBAA-0823-43B5-B228-408BF0EB7FDD}" type="presParOf" srcId="{A56430A5-7676-4CCA-9C4A-7F8E3FFA3DA8}" destId="{1B3E09FA-7835-4ACA-81DD-F153BEBCC073}" srcOrd="7" destOrd="0" presId="urn:microsoft.com/office/officeart/2005/8/layout/lProcess2"/>
    <dgm:cxn modelId="{EF47CE83-BD90-4625-85FA-FD2E1E6FF41C}" type="presParOf" srcId="{A56430A5-7676-4CCA-9C4A-7F8E3FFA3DA8}" destId="{FEBDB8B3-5233-4836-AB0E-8A6A8B5B8D2A}" srcOrd="8" destOrd="0" presId="urn:microsoft.com/office/officeart/2005/8/layout/lProcess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1779F3-12C2-40D2-A5B8-8F3CB2DF0443}">
      <dsp:nvSpPr>
        <dsp:cNvPr id="0" name=""/>
        <dsp:cNvSpPr/>
      </dsp:nvSpPr>
      <dsp:spPr>
        <a:xfrm>
          <a:off x="86755" y="468774"/>
          <a:ext cx="966608" cy="3070721"/>
        </a:xfrm>
        <a:prstGeom prst="roundRect">
          <a:avLst>
            <a:gd name="adj" fmla="val 10000"/>
          </a:avLst>
        </a:prstGeom>
        <a:solidFill>
          <a:sysClr val="window" lastClr="FFFFFF">
            <a:lumMod val="95000"/>
          </a:sysClr>
        </a:solidFill>
        <a:ln>
          <a:noFill/>
        </a:ln>
        <a:effectLst/>
      </dsp:spPr>
      <dsp:style>
        <a:lnRef idx="0">
          <a:scrgbClr r="0" g="0" b="0"/>
        </a:lnRef>
        <a:fillRef idx="1">
          <a:scrgbClr r="0" g="0" b="0"/>
        </a:fillRef>
        <a:effectRef idx="0">
          <a:scrgbClr r="0" g="0" b="0"/>
        </a:effectRef>
        <a:fontRef idx="minor"/>
      </dsp:style>
      <dsp:txBody>
        <a:bodyPr spcFirstLastPara="0" vert="horz" wrap="square" lIns="53340" tIns="216000" rIns="53340" bIns="53340" numCol="1" spcCol="1270" anchor="t" anchorCtr="0">
          <a:noAutofit/>
        </a:bodyPr>
        <a:lstStyle/>
        <a:p>
          <a:pPr lvl="0" algn="ctr" defTabSz="622300">
            <a:lnSpc>
              <a:spcPct val="90000"/>
            </a:lnSpc>
            <a:spcBef>
              <a:spcPct val="0"/>
            </a:spcBef>
            <a:spcAft>
              <a:spcPct val="35000"/>
            </a:spcAft>
          </a:pPr>
          <a:r>
            <a:rPr lang="pt-BR" sz="1400"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1º PERÍODO</a:t>
          </a:r>
        </a:p>
      </dsp:txBody>
      <dsp:txXfrm>
        <a:off x="86755" y="468774"/>
        <a:ext cx="966608" cy="921216"/>
      </dsp:txXfrm>
    </dsp:sp>
    <dsp:sp modelId="{351D97C9-E4B0-4541-B560-2F232E922138}">
      <dsp:nvSpPr>
        <dsp:cNvPr id="0" name=""/>
        <dsp:cNvSpPr/>
      </dsp:nvSpPr>
      <dsp:spPr>
        <a:xfrm>
          <a:off x="0" y="1619545"/>
          <a:ext cx="1132158" cy="431634"/>
        </a:xfrm>
        <a:prstGeom prst="roundRect">
          <a:avLst>
            <a:gd name="adj" fmla="val 10000"/>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Introdução aos Estudos Historicos</a:t>
          </a:r>
        </a:p>
      </dsp:txBody>
      <dsp:txXfrm>
        <a:off x="12642" y="1632187"/>
        <a:ext cx="1106874" cy="406350"/>
      </dsp:txXfrm>
    </dsp:sp>
    <dsp:sp modelId="{FCEB8A49-7B31-4062-9CC9-6EA79DF93A1E}">
      <dsp:nvSpPr>
        <dsp:cNvPr id="0" name=""/>
        <dsp:cNvSpPr/>
      </dsp:nvSpPr>
      <dsp:spPr>
        <a:xfrm>
          <a:off x="0" y="1117457"/>
          <a:ext cx="1132158" cy="431634"/>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História Antiga</a:t>
          </a:r>
        </a:p>
      </dsp:txBody>
      <dsp:txXfrm>
        <a:off x="12642" y="1130099"/>
        <a:ext cx="1106874" cy="406350"/>
      </dsp:txXfrm>
    </dsp:sp>
    <dsp:sp modelId="{1E27EB20-4E55-4C6E-AD44-57A922AD1E26}">
      <dsp:nvSpPr>
        <dsp:cNvPr id="0" name=""/>
        <dsp:cNvSpPr/>
      </dsp:nvSpPr>
      <dsp:spPr>
        <a:xfrm>
          <a:off x="3980" y="2101273"/>
          <a:ext cx="1132158" cy="431634"/>
        </a:xfrm>
        <a:prstGeom prst="roundRect">
          <a:avLst>
            <a:gd name="adj" fmla="val 10000"/>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7145" rIns="22860" bIns="17145" numCol="1" spcCol="1270" anchor="ctr" anchorCtr="0">
          <a:noAutofit/>
        </a:bodyPr>
        <a:lstStyle/>
        <a:p>
          <a:pPr lvl="0" algn="ctr" defTabSz="400050">
            <a:lnSpc>
              <a:spcPct val="90000"/>
            </a:lnSpc>
            <a:spcBef>
              <a:spcPct val="0"/>
            </a:spcBef>
            <a:spcAft>
              <a:spcPct val="35000"/>
            </a:spcAft>
          </a:pPr>
          <a:r>
            <a:rPr lang="pt-BR" sz="900" kern="1200" dirty="0">
              <a:solidFill>
                <a:sysClr val="window" lastClr="FFFFFF"/>
              </a:solidFill>
              <a:latin typeface="Calibri" panose="020F0502020204030204"/>
              <a:ea typeface="+mn-ea"/>
              <a:cs typeface="+mn-cs"/>
            </a:rPr>
            <a:t>Política, Cidadania e Direitos humanos no Brasil</a:t>
          </a:r>
        </a:p>
      </dsp:txBody>
      <dsp:txXfrm>
        <a:off x="16622" y="2113915"/>
        <a:ext cx="1106874" cy="406350"/>
      </dsp:txXfrm>
    </dsp:sp>
    <dsp:sp modelId="{983D58CC-0F3C-4BBF-A34B-5DC42579520C}">
      <dsp:nvSpPr>
        <dsp:cNvPr id="0" name=""/>
        <dsp:cNvSpPr/>
      </dsp:nvSpPr>
      <dsp:spPr>
        <a:xfrm>
          <a:off x="3980" y="2599312"/>
          <a:ext cx="1132158" cy="431634"/>
        </a:xfrm>
        <a:prstGeom prst="roundRect">
          <a:avLst>
            <a:gd name="adj" fmla="val 10000"/>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UC  Eletiva</a:t>
          </a:r>
        </a:p>
      </dsp:txBody>
      <dsp:txXfrm>
        <a:off x="16622" y="2611954"/>
        <a:ext cx="1106874" cy="406350"/>
      </dsp:txXfrm>
    </dsp:sp>
    <dsp:sp modelId="{3A0CECA1-6F7C-449E-A0A4-A18B7B62E218}">
      <dsp:nvSpPr>
        <dsp:cNvPr id="0" name=""/>
        <dsp:cNvSpPr/>
      </dsp:nvSpPr>
      <dsp:spPr>
        <a:xfrm>
          <a:off x="3980" y="3097352"/>
          <a:ext cx="1132158" cy="431634"/>
        </a:xfrm>
        <a:prstGeom prst="roundRect">
          <a:avLst>
            <a:gd name="adj" fmla="val 10000"/>
          </a:avLst>
        </a:prstGeom>
        <a:solidFill>
          <a:srgbClr val="00B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História da Educação *</a:t>
          </a:r>
        </a:p>
      </dsp:txBody>
      <dsp:txXfrm>
        <a:off x="16622" y="3109994"/>
        <a:ext cx="1106874" cy="406350"/>
      </dsp:txXfrm>
    </dsp:sp>
    <dsp:sp modelId="{EC8215ED-C71E-4826-9F39-1FEFC26AD001}">
      <dsp:nvSpPr>
        <dsp:cNvPr id="0" name=""/>
        <dsp:cNvSpPr/>
      </dsp:nvSpPr>
      <dsp:spPr>
        <a:xfrm>
          <a:off x="3980" y="3595391"/>
          <a:ext cx="1132158" cy="431634"/>
        </a:xfrm>
        <a:prstGeom prst="roundRect">
          <a:avLst>
            <a:gd name="adj" fmla="val 10000"/>
          </a:avLst>
        </a:prstGeom>
        <a:solidFill>
          <a:srgbClr val="00B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Políticas Educacionais </a:t>
          </a:r>
          <a:r>
            <a:rPr lang="pt-BR" sz="1200" kern="1200" dirty="0">
              <a:solidFill>
                <a:sysClr val="window" lastClr="FFFFFF"/>
              </a:solidFill>
              <a:latin typeface="Calibri" panose="020F0502020204030204"/>
              <a:ea typeface="+mn-ea"/>
              <a:cs typeface="+mn-cs"/>
            </a:rPr>
            <a:t>*</a:t>
          </a:r>
        </a:p>
      </dsp:txBody>
      <dsp:txXfrm>
        <a:off x="16622" y="3608033"/>
        <a:ext cx="1106874" cy="406350"/>
      </dsp:txXfrm>
    </dsp:sp>
    <dsp:sp modelId="{32E9B4A4-A74E-482A-81D9-9E5D63A01AA6}">
      <dsp:nvSpPr>
        <dsp:cNvPr id="0" name=""/>
        <dsp:cNvSpPr/>
      </dsp:nvSpPr>
      <dsp:spPr>
        <a:xfrm>
          <a:off x="1325054" y="468774"/>
          <a:ext cx="966608" cy="3070721"/>
        </a:xfrm>
        <a:prstGeom prst="roundRect">
          <a:avLst>
            <a:gd name="adj" fmla="val 10000"/>
          </a:avLst>
        </a:prstGeom>
        <a:solidFill>
          <a:sysClr val="window" lastClr="FFFFFF">
            <a:lumMod val="95000"/>
          </a:sysClr>
        </a:solidFill>
        <a:ln>
          <a:noFill/>
        </a:ln>
        <a:effectLst/>
      </dsp:spPr>
      <dsp:style>
        <a:lnRef idx="0">
          <a:scrgbClr r="0" g="0" b="0"/>
        </a:lnRef>
        <a:fillRef idx="1">
          <a:scrgbClr r="0" g="0" b="0"/>
        </a:fillRef>
        <a:effectRef idx="0">
          <a:scrgbClr r="0" g="0" b="0"/>
        </a:effectRef>
        <a:fontRef idx="minor"/>
      </dsp:style>
      <dsp:txBody>
        <a:bodyPr spcFirstLastPara="0" vert="horz" wrap="square" lIns="53340" tIns="216000" rIns="53340" bIns="53340" numCol="1" spcCol="1270" anchor="t" anchorCtr="0">
          <a:noAutofit/>
        </a:bodyPr>
        <a:lstStyle/>
        <a:p>
          <a:pPr lvl="0" algn="ctr" defTabSz="622300">
            <a:lnSpc>
              <a:spcPct val="90000"/>
            </a:lnSpc>
            <a:spcBef>
              <a:spcPct val="0"/>
            </a:spcBef>
            <a:spcAft>
              <a:spcPct val="35000"/>
            </a:spcAft>
          </a:pPr>
          <a:r>
            <a:rPr lang="pt-BR" sz="1400"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2º PERÍODO</a:t>
          </a:r>
        </a:p>
      </dsp:txBody>
      <dsp:txXfrm>
        <a:off x="1325054" y="468774"/>
        <a:ext cx="966608" cy="921216"/>
      </dsp:txXfrm>
    </dsp:sp>
    <dsp:sp modelId="{01D06994-6248-4BE4-A0C6-50F6964D328B}">
      <dsp:nvSpPr>
        <dsp:cNvPr id="0" name=""/>
        <dsp:cNvSpPr/>
      </dsp:nvSpPr>
      <dsp:spPr>
        <a:xfrm>
          <a:off x="1242279" y="1105194"/>
          <a:ext cx="1132158" cy="431634"/>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a:solidFill>
                <a:sysClr val="window" lastClr="FFFFFF"/>
              </a:solidFill>
              <a:latin typeface="Calibri" panose="020F0502020204030204"/>
              <a:ea typeface="+mn-ea"/>
              <a:cs typeface="+mn-cs"/>
            </a:rPr>
            <a:t>História Indígena nas Américas</a:t>
          </a:r>
        </a:p>
      </dsp:txBody>
      <dsp:txXfrm>
        <a:off x="1254921" y="1117836"/>
        <a:ext cx="1106874" cy="406350"/>
      </dsp:txXfrm>
    </dsp:sp>
    <dsp:sp modelId="{E59E8AC7-AB45-4064-8131-3091C1303AF3}">
      <dsp:nvSpPr>
        <dsp:cNvPr id="0" name=""/>
        <dsp:cNvSpPr/>
      </dsp:nvSpPr>
      <dsp:spPr>
        <a:xfrm>
          <a:off x="1242279" y="1603233"/>
          <a:ext cx="1132158" cy="431634"/>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66725">
            <a:lnSpc>
              <a:spcPct val="90000"/>
            </a:lnSpc>
            <a:spcBef>
              <a:spcPct val="0"/>
            </a:spcBef>
            <a:spcAft>
              <a:spcPct val="35000"/>
            </a:spcAft>
          </a:pPr>
          <a:r>
            <a:rPr lang="pt-BR" sz="1050" kern="1200" dirty="0">
              <a:solidFill>
                <a:sysClr val="window" lastClr="FFFFFF"/>
              </a:solidFill>
              <a:latin typeface="Calibri" panose="020F0502020204030204"/>
              <a:ea typeface="+mn-ea"/>
              <a:cs typeface="+mn-cs"/>
            </a:rPr>
            <a:t>História da África</a:t>
          </a:r>
        </a:p>
      </dsp:txBody>
      <dsp:txXfrm>
        <a:off x="1254921" y="1615875"/>
        <a:ext cx="1106874" cy="406350"/>
      </dsp:txXfrm>
    </dsp:sp>
    <dsp:sp modelId="{388F0F6F-CA50-45BD-880A-3ED4D0890BD5}">
      <dsp:nvSpPr>
        <dsp:cNvPr id="0" name=""/>
        <dsp:cNvSpPr/>
      </dsp:nvSpPr>
      <dsp:spPr>
        <a:xfrm>
          <a:off x="1242279" y="2117083"/>
          <a:ext cx="1132158" cy="431634"/>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pt-BR" sz="1200" kern="1200" dirty="0">
              <a:solidFill>
                <a:sysClr val="window" lastClr="FFFFFF"/>
              </a:solidFill>
              <a:latin typeface="Calibri" panose="020F0502020204030204"/>
              <a:ea typeface="+mn-ea"/>
              <a:cs typeface="+mn-cs"/>
            </a:rPr>
            <a:t>História Medieval</a:t>
          </a:r>
        </a:p>
      </dsp:txBody>
      <dsp:txXfrm>
        <a:off x="1254921" y="2129725"/>
        <a:ext cx="1106874" cy="406350"/>
      </dsp:txXfrm>
    </dsp:sp>
    <dsp:sp modelId="{B18F3544-9CBD-427F-8EE2-613E03A42802}">
      <dsp:nvSpPr>
        <dsp:cNvPr id="0" name=""/>
        <dsp:cNvSpPr/>
      </dsp:nvSpPr>
      <dsp:spPr>
        <a:xfrm>
          <a:off x="1242279" y="2599312"/>
          <a:ext cx="1132158" cy="431634"/>
        </a:xfrm>
        <a:prstGeom prst="roundRect">
          <a:avLst>
            <a:gd name="adj" fmla="val 10000"/>
          </a:avLst>
        </a:prstGeom>
        <a:solidFill>
          <a:srgbClr val="00B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Educação e Diversidade</a:t>
          </a:r>
        </a:p>
      </dsp:txBody>
      <dsp:txXfrm>
        <a:off x="1254921" y="2611954"/>
        <a:ext cx="1106874" cy="406350"/>
      </dsp:txXfrm>
    </dsp:sp>
    <dsp:sp modelId="{9BE9AC15-82ED-4C5C-8402-99E86F8B33ED}">
      <dsp:nvSpPr>
        <dsp:cNvPr id="0" name=""/>
        <dsp:cNvSpPr/>
      </dsp:nvSpPr>
      <dsp:spPr>
        <a:xfrm>
          <a:off x="1242279" y="3097352"/>
          <a:ext cx="1132158" cy="431634"/>
        </a:xfrm>
        <a:prstGeom prst="roundRect">
          <a:avLst>
            <a:gd name="adj" fmla="val 10000"/>
          </a:avLst>
        </a:prstGeom>
        <a:solidFill>
          <a:srgbClr val="00B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pt-BR" sz="1200" kern="1200" dirty="0">
              <a:solidFill>
                <a:sysClr val="window" lastClr="FFFFFF"/>
              </a:solidFill>
              <a:latin typeface="Calibri" panose="020F0502020204030204"/>
              <a:ea typeface="+mn-ea"/>
              <a:cs typeface="+mn-cs"/>
            </a:rPr>
            <a:t>Didática</a:t>
          </a:r>
        </a:p>
      </dsp:txBody>
      <dsp:txXfrm>
        <a:off x="1254921" y="3109994"/>
        <a:ext cx="1106874" cy="406350"/>
      </dsp:txXfrm>
    </dsp:sp>
    <dsp:sp modelId="{DAF3F12C-E3C4-44C4-8961-3B6372939CF4}">
      <dsp:nvSpPr>
        <dsp:cNvPr id="0" name=""/>
        <dsp:cNvSpPr/>
      </dsp:nvSpPr>
      <dsp:spPr>
        <a:xfrm>
          <a:off x="1242279" y="3595391"/>
          <a:ext cx="1132158" cy="431634"/>
        </a:xfrm>
        <a:prstGeom prst="roundRect">
          <a:avLst>
            <a:gd name="adj" fmla="val 10000"/>
          </a:avLst>
        </a:prstGeom>
        <a:solidFill>
          <a:srgbClr val="00B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pt-BR" sz="1200" kern="1200" dirty="0">
              <a:solidFill>
                <a:sysClr val="window" lastClr="FFFFFF"/>
              </a:solidFill>
              <a:latin typeface="Calibri" panose="020F0502020204030204"/>
              <a:ea typeface="+mn-ea"/>
              <a:cs typeface="+mn-cs"/>
            </a:rPr>
            <a:t>Filosofia da Educação</a:t>
          </a:r>
        </a:p>
      </dsp:txBody>
      <dsp:txXfrm>
        <a:off x="1254921" y="3608033"/>
        <a:ext cx="1106874" cy="406350"/>
      </dsp:txXfrm>
    </dsp:sp>
    <dsp:sp modelId="{B5D5F797-E487-483C-9C14-197B59514F84}">
      <dsp:nvSpPr>
        <dsp:cNvPr id="0" name=""/>
        <dsp:cNvSpPr/>
      </dsp:nvSpPr>
      <dsp:spPr>
        <a:xfrm>
          <a:off x="2563352" y="469089"/>
          <a:ext cx="966608" cy="3070721"/>
        </a:xfrm>
        <a:prstGeom prst="roundRect">
          <a:avLst>
            <a:gd name="adj" fmla="val 10000"/>
          </a:avLst>
        </a:prstGeom>
        <a:solidFill>
          <a:sysClr val="window" lastClr="FFFFFF">
            <a:lumMod val="95000"/>
          </a:sysClr>
        </a:solidFill>
        <a:ln>
          <a:noFill/>
        </a:ln>
        <a:effectLst/>
      </dsp:spPr>
      <dsp:style>
        <a:lnRef idx="0">
          <a:scrgbClr r="0" g="0" b="0"/>
        </a:lnRef>
        <a:fillRef idx="1">
          <a:scrgbClr r="0" g="0" b="0"/>
        </a:fillRef>
        <a:effectRef idx="0">
          <a:scrgbClr r="0" g="0" b="0"/>
        </a:effectRef>
        <a:fontRef idx="minor"/>
      </dsp:style>
      <dsp:txBody>
        <a:bodyPr spcFirstLastPara="0" vert="horz" wrap="square" lIns="53340" tIns="216000" rIns="53340" bIns="53340" numCol="1" spcCol="1270" anchor="t" anchorCtr="0">
          <a:noAutofit/>
        </a:bodyPr>
        <a:lstStyle/>
        <a:p>
          <a:pPr lvl="0" algn="ctr" defTabSz="622300">
            <a:lnSpc>
              <a:spcPct val="90000"/>
            </a:lnSpc>
            <a:spcBef>
              <a:spcPct val="0"/>
            </a:spcBef>
            <a:spcAft>
              <a:spcPct val="35000"/>
            </a:spcAft>
          </a:pPr>
          <a:r>
            <a:rPr lang="pt-BR" sz="14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3º PERÍODO</a:t>
          </a:r>
          <a:endParaRPr lang="pt-BR" sz="1400"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2563352" y="469089"/>
        <a:ext cx="966608" cy="921216"/>
      </dsp:txXfrm>
    </dsp:sp>
    <dsp:sp modelId="{F9E70B55-81AE-4F59-893A-3315A397D28B}">
      <dsp:nvSpPr>
        <dsp:cNvPr id="0" name=""/>
        <dsp:cNvSpPr/>
      </dsp:nvSpPr>
      <dsp:spPr>
        <a:xfrm>
          <a:off x="2480577" y="1106141"/>
          <a:ext cx="1132158" cy="520101"/>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66725">
            <a:lnSpc>
              <a:spcPct val="90000"/>
            </a:lnSpc>
            <a:spcBef>
              <a:spcPct val="0"/>
            </a:spcBef>
            <a:spcAft>
              <a:spcPct val="35000"/>
            </a:spcAft>
          </a:pPr>
          <a:r>
            <a:rPr lang="pt-BR" sz="1050" kern="1200">
              <a:solidFill>
                <a:sysClr val="window" lastClr="FFFFFF"/>
              </a:solidFill>
              <a:latin typeface="Calibri" panose="020F0502020204030204"/>
              <a:ea typeface="+mn-ea"/>
              <a:cs typeface="+mn-cs"/>
            </a:rPr>
            <a:t>História Moderna</a:t>
          </a:r>
        </a:p>
      </dsp:txBody>
      <dsp:txXfrm>
        <a:off x="2495810" y="1121374"/>
        <a:ext cx="1101692" cy="489635"/>
      </dsp:txXfrm>
    </dsp:sp>
    <dsp:sp modelId="{0379949A-40E6-449F-8447-CDBC7DCAF3C6}">
      <dsp:nvSpPr>
        <dsp:cNvPr id="0" name=""/>
        <dsp:cNvSpPr/>
      </dsp:nvSpPr>
      <dsp:spPr>
        <a:xfrm>
          <a:off x="2480577" y="1706258"/>
          <a:ext cx="1132158" cy="520101"/>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Metodologia da pesquisa histórica</a:t>
          </a:r>
        </a:p>
      </dsp:txBody>
      <dsp:txXfrm>
        <a:off x="2495810" y="1721491"/>
        <a:ext cx="1101692" cy="489635"/>
      </dsp:txXfrm>
    </dsp:sp>
    <dsp:sp modelId="{E8BCA177-AF5E-4F00-822F-74C769FF12DB}">
      <dsp:nvSpPr>
        <dsp:cNvPr id="0" name=""/>
        <dsp:cNvSpPr/>
      </dsp:nvSpPr>
      <dsp:spPr>
        <a:xfrm>
          <a:off x="2480577" y="2296850"/>
          <a:ext cx="1132158" cy="520101"/>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66725">
            <a:lnSpc>
              <a:spcPct val="90000"/>
            </a:lnSpc>
            <a:spcBef>
              <a:spcPct val="0"/>
            </a:spcBef>
            <a:spcAft>
              <a:spcPct val="35000"/>
            </a:spcAft>
          </a:pPr>
          <a:r>
            <a:rPr lang="pt-BR" sz="1050" kern="1200" dirty="0">
              <a:solidFill>
                <a:sysClr val="window" lastClr="FFFFFF"/>
              </a:solidFill>
              <a:latin typeface="Calibri" panose="020F0502020204030204"/>
              <a:ea typeface="+mn-ea"/>
              <a:cs typeface="+mn-cs"/>
            </a:rPr>
            <a:t>Teoria da História</a:t>
          </a:r>
        </a:p>
      </dsp:txBody>
      <dsp:txXfrm>
        <a:off x="2495810" y="2312083"/>
        <a:ext cx="1101692" cy="489635"/>
      </dsp:txXfrm>
    </dsp:sp>
    <dsp:sp modelId="{ED41083D-1F94-4055-82BE-CAE013D33B66}">
      <dsp:nvSpPr>
        <dsp:cNvPr id="0" name=""/>
        <dsp:cNvSpPr/>
      </dsp:nvSpPr>
      <dsp:spPr>
        <a:xfrm>
          <a:off x="2480577" y="2906491"/>
          <a:ext cx="1132158" cy="520101"/>
        </a:xfrm>
        <a:prstGeom prst="roundRect">
          <a:avLst>
            <a:gd name="adj" fmla="val 10000"/>
          </a:avLst>
        </a:prstGeom>
        <a:solidFill>
          <a:srgbClr val="00B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66725">
            <a:lnSpc>
              <a:spcPct val="90000"/>
            </a:lnSpc>
            <a:spcBef>
              <a:spcPct val="0"/>
            </a:spcBef>
            <a:spcAft>
              <a:spcPct val="35000"/>
            </a:spcAft>
          </a:pPr>
          <a:r>
            <a:rPr lang="pt-BR" sz="1050" kern="1200" dirty="0">
              <a:solidFill>
                <a:sysClr val="window" lastClr="FFFFFF"/>
              </a:solidFill>
              <a:latin typeface="Calibri" panose="020F0502020204030204"/>
              <a:ea typeface="+mn-ea"/>
              <a:cs typeface="+mn-cs"/>
            </a:rPr>
            <a:t>Psicologia da Educação *</a:t>
          </a:r>
        </a:p>
      </dsp:txBody>
      <dsp:txXfrm>
        <a:off x="2495810" y="2921724"/>
        <a:ext cx="1101692" cy="489635"/>
      </dsp:txXfrm>
    </dsp:sp>
    <dsp:sp modelId="{E1CAE400-24E2-49D6-B8E5-ED0AFA5F613B}">
      <dsp:nvSpPr>
        <dsp:cNvPr id="0" name=""/>
        <dsp:cNvSpPr/>
      </dsp:nvSpPr>
      <dsp:spPr>
        <a:xfrm>
          <a:off x="2480577" y="3506608"/>
          <a:ext cx="1132158" cy="520101"/>
        </a:xfrm>
        <a:prstGeom prst="roundRect">
          <a:avLst>
            <a:gd name="adj" fmla="val 10000"/>
          </a:avLst>
        </a:prstGeom>
        <a:solidFill>
          <a:srgbClr val="00B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pt-BR" sz="800" kern="1200" dirty="0">
              <a:solidFill>
                <a:sysClr val="window" lastClr="FFFFFF"/>
              </a:solidFill>
              <a:latin typeface="Calibri" panose="020F0502020204030204"/>
              <a:ea typeface="+mn-ea"/>
              <a:cs typeface="+mn-cs"/>
            </a:rPr>
            <a:t>Laboratório de Ensino de História: memória, patrimônio e educação histórica</a:t>
          </a:r>
        </a:p>
      </dsp:txBody>
      <dsp:txXfrm>
        <a:off x="2495810" y="3521841"/>
        <a:ext cx="1101692" cy="489635"/>
      </dsp:txXfrm>
    </dsp:sp>
    <dsp:sp modelId="{D6EC63BF-8C99-4D5F-B6C4-ED8607B8EECA}">
      <dsp:nvSpPr>
        <dsp:cNvPr id="0" name=""/>
        <dsp:cNvSpPr/>
      </dsp:nvSpPr>
      <dsp:spPr>
        <a:xfrm>
          <a:off x="3801651" y="468774"/>
          <a:ext cx="966608" cy="3070721"/>
        </a:xfrm>
        <a:prstGeom prst="roundRect">
          <a:avLst>
            <a:gd name="adj" fmla="val 10000"/>
          </a:avLst>
        </a:prstGeom>
        <a:solidFill>
          <a:sysClr val="window" lastClr="FFFFFF">
            <a:lumMod val="95000"/>
          </a:sysClr>
        </a:solidFill>
        <a:ln>
          <a:noFill/>
        </a:ln>
        <a:effectLst/>
      </dsp:spPr>
      <dsp:style>
        <a:lnRef idx="0">
          <a:scrgbClr r="0" g="0" b="0"/>
        </a:lnRef>
        <a:fillRef idx="1">
          <a:scrgbClr r="0" g="0" b="0"/>
        </a:fillRef>
        <a:effectRef idx="0">
          <a:scrgbClr r="0" g="0" b="0"/>
        </a:effectRef>
        <a:fontRef idx="minor"/>
      </dsp:style>
      <dsp:txBody>
        <a:bodyPr spcFirstLastPara="0" vert="horz" wrap="square" lIns="53340" tIns="216000" rIns="53340" bIns="53340" numCol="1" spcCol="1270" anchor="t" anchorCtr="0">
          <a:noAutofit/>
        </a:bodyPr>
        <a:lstStyle/>
        <a:p>
          <a:pPr lvl="0" algn="ctr" defTabSz="622300">
            <a:lnSpc>
              <a:spcPct val="90000"/>
            </a:lnSpc>
            <a:spcBef>
              <a:spcPct val="0"/>
            </a:spcBef>
            <a:spcAft>
              <a:spcPct val="35000"/>
            </a:spcAft>
          </a:pPr>
          <a:r>
            <a:rPr lang="pt-BR" sz="1400"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4</a:t>
          </a:r>
          <a:r>
            <a:rPr lang="pt-BR" sz="14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º PERÍODO</a:t>
          </a:r>
          <a:endParaRPr lang="pt-BR" sz="1400"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3801651" y="468774"/>
        <a:ext cx="966608" cy="921216"/>
      </dsp:txXfrm>
    </dsp:sp>
    <dsp:sp modelId="{E8D98036-C5E4-4F14-8E11-4E5B09D17BD4}">
      <dsp:nvSpPr>
        <dsp:cNvPr id="0" name=""/>
        <dsp:cNvSpPr/>
      </dsp:nvSpPr>
      <dsp:spPr>
        <a:xfrm>
          <a:off x="3718876" y="1105194"/>
          <a:ext cx="1132158" cy="431634"/>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História da América Colonial</a:t>
          </a:r>
        </a:p>
      </dsp:txBody>
      <dsp:txXfrm>
        <a:off x="3731518" y="1117836"/>
        <a:ext cx="1106874" cy="406350"/>
      </dsp:txXfrm>
    </dsp:sp>
    <dsp:sp modelId="{E62F950D-776E-421E-9E74-7F8526D04CEB}">
      <dsp:nvSpPr>
        <dsp:cNvPr id="0" name=""/>
        <dsp:cNvSpPr/>
      </dsp:nvSpPr>
      <dsp:spPr>
        <a:xfrm>
          <a:off x="3718876" y="1603233"/>
          <a:ext cx="1132158" cy="431634"/>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História da América Portuguesa</a:t>
          </a:r>
        </a:p>
      </dsp:txBody>
      <dsp:txXfrm>
        <a:off x="3731518" y="1615875"/>
        <a:ext cx="1106874" cy="406350"/>
      </dsp:txXfrm>
    </dsp:sp>
    <dsp:sp modelId="{1762C222-DF06-4F42-A809-D49D8694EFCD}">
      <dsp:nvSpPr>
        <dsp:cNvPr id="0" name=""/>
        <dsp:cNvSpPr/>
      </dsp:nvSpPr>
      <dsp:spPr>
        <a:xfrm>
          <a:off x="3718876" y="2101273"/>
          <a:ext cx="1132158" cy="431634"/>
        </a:xfrm>
        <a:prstGeom prst="roundRect">
          <a:avLst>
            <a:gd name="adj" fmla="val 10000"/>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UC Eletiva</a:t>
          </a:r>
        </a:p>
      </dsp:txBody>
      <dsp:txXfrm>
        <a:off x="3731518" y="2113915"/>
        <a:ext cx="1106874" cy="406350"/>
      </dsp:txXfrm>
    </dsp:sp>
    <dsp:sp modelId="{505179C9-E457-4CF2-ACFF-2C981CD09691}">
      <dsp:nvSpPr>
        <dsp:cNvPr id="0" name=""/>
        <dsp:cNvSpPr/>
      </dsp:nvSpPr>
      <dsp:spPr>
        <a:xfrm>
          <a:off x="3718876" y="2599312"/>
          <a:ext cx="1132158" cy="431634"/>
        </a:xfrm>
        <a:prstGeom prst="roundRect">
          <a:avLst>
            <a:gd name="adj" fmla="val 10000"/>
          </a:avLst>
        </a:prstGeom>
        <a:solidFill>
          <a:srgbClr val="00B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7145" rIns="22860" bIns="17145" numCol="1" spcCol="1270" anchor="ctr" anchorCtr="0">
          <a:noAutofit/>
        </a:bodyPr>
        <a:lstStyle/>
        <a:p>
          <a:pPr lvl="0" algn="ctr" defTabSz="400050">
            <a:lnSpc>
              <a:spcPct val="90000"/>
            </a:lnSpc>
            <a:spcBef>
              <a:spcPct val="0"/>
            </a:spcBef>
            <a:spcAft>
              <a:spcPct val="35000"/>
            </a:spcAft>
          </a:pPr>
          <a:r>
            <a:rPr lang="pt-BR" sz="900" kern="1200" dirty="0">
              <a:solidFill>
                <a:sysClr val="window" lastClr="FFFFFF"/>
              </a:solidFill>
              <a:latin typeface="Calibri" panose="020F0502020204030204"/>
              <a:ea typeface="+mn-ea"/>
              <a:cs typeface="+mn-cs"/>
            </a:rPr>
            <a:t>História, Meio-ambiente e educação ambiental *</a:t>
          </a:r>
        </a:p>
      </dsp:txBody>
      <dsp:txXfrm>
        <a:off x="3731518" y="2611954"/>
        <a:ext cx="1106874" cy="406350"/>
      </dsp:txXfrm>
    </dsp:sp>
    <dsp:sp modelId="{7F95CBCC-4B34-47D9-A1D3-637E429CBD6C}">
      <dsp:nvSpPr>
        <dsp:cNvPr id="0" name=""/>
        <dsp:cNvSpPr/>
      </dsp:nvSpPr>
      <dsp:spPr>
        <a:xfrm>
          <a:off x="3718876" y="3097352"/>
          <a:ext cx="1132158" cy="431634"/>
        </a:xfrm>
        <a:prstGeom prst="roundRect">
          <a:avLst>
            <a:gd name="adj" fmla="val 10000"/>
          </a:avLst>
        </a:prstGeom>
        <a:solidFill>
          <a:srgbClr val="00B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Sociologia da Educação*</a:t>
          </a:r>
        </a:p>
      </dsp:txBody>
      <dsp:txXfrm>
        <a:off x="3731518" y="3109994"/>
        <a:ext cx="1106874" cy="406350"/>
      </dsp:txXfrm>
    </dsp:sp>
    <dsp:sp modelId="{7C163D57-E792-4482-BA3C-8960DE208897}">
      <dsp:nvSpPr>
        <dsp:cNvPr id="0" name=""/>
        <dsp:cNvSpPr/>
      </dsp:nvSpPr>
      <dsp:spPr>
        <a:xfrm>
          <a:off x="3718876" y="3595391"/>
          <a:ext cx="1132158" cy="431634"/>
        </a:xfrm>
        <a:prstGeom prst="roundRect">
          <a:avLst>
            <a:gd name="adj" fmla="val 10000"/>
          </a:avLst>
        </a:prstGeom>
        <a:solidFill>
          <a:srgbClr val="00B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lvl="0" algn="ctr" defTabSz="355600">
            <a:lnSpc>
              <a:spcPct val="90000"/>
            </a:lnSpc>
            <a:spcBef>
              <a:spcPct val="0"/>
            </a:spcBef>
            <a:spcAft>
              <a:spcPct val="35000"/>
            </a:spcAft>
          </a:pPr>
          <a:r>
            <a:rPr lang="pt-BR" sz="800" kern="1200" dirty="0">
              <a:solidFill>
                <a:sysClr val="window" lastClr="FFFFFF"/>
              </a:solidFill>
              <a:latin typeface="Calibri" panose="020F0502020204030204"/>
              <a:ea typeface="+mn-ea"/>
              <a:cs typeface="+mn-cs"/>
            </a:rPr>
            <a:t>Laboratório de Ensino de História: metodologia e tecnologias do Ensino de História</a:t>
          </a:r>
        </a:p>
      </dsp:txBody>
      <dsp:txXfrm>
        <a:off x="3731518" y="3608033"/>
        <a:ext cx="1106874" cy="406350"/>
      </dsp:txXfrm>
    </dsp:sp>
    <dsp:sp modelId="{F94921AA-4CFE-4C64-8105-C6E98F624E3F}">
      <dsp:nvSpPr>
        <dsp:cNvPr id="0" name=""/>
        <dsp:cNvSpPr/>
      </dsp:nvSpPr>
      <dsp:spPr>
        <a:xfrm>
          <a:off x="5039949" y="469089"/>
          <a:ext cx="966608" cy="3070721"/>
        </a:xfrm>
        <a:prstGeom prst="roundRect">
          <a:avLst>
            <a:gd name="adj" fmla="val 10000"/>
          </a:avLst>
        </a:prstGeom>
        <a:solidFill>
          <a:sysClr val="window" lastClr="FFFFFF">
            <a:lumMod val="95000"/>
          </a:sysClr>
        </a:solidFill>
        <a:ln>
          <a:noFill/>
        </a:ln>
        <a:effectLst/>
      </dsp:spPr>
      <dsp:style>
        <a:lnRef idx="0">
          <a:scrgbClr r="0" g="0" b="0"/>
        </a:lnRef>
        <a:fillRef idx="1">
          <a:scrgbClr r="0" g="0" b="0"/>
        </a:fillRef>
        <a:effectRef idx="0">
          <a:scrgbClr r="0" g="0" b="0"/>
        </a:effectRef>
        <a:fontRef idx="minor"/>
      </dsp:style>
      <dsp:txBody>
        <a:bodyPr spcFirstLastPara="0" vert="horz" wrap="square" lIns="53340" tIns="216000" rIns="53340" bIns="53340" numCol="1" spcCol="1270" anchor="t" anchorCtr="0">
          <a:noAutofit/>
        </a:bodyPr>
        <a:lstStyle/>
        <a:p>
          <a:pPr lvl="0" algn="ctr" defTabSz="622300">
            <a:lnSpc>
              <a:spcPct val="90000"/>
            </a:lnSpc>
            <a:spcBef>
              <a:spcPct val="0"/>
            </a:spcBef>
            <a:spcAft>
              <a:spcPct val="35000"/>
            </a:spcAft>
          </a:pPr>
          <a:r>
            <a:rPr lang="pt-BR" sz="1400"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5</a:t>
          </a:r>
          <a:r>
            <a:rPr lang="pt-BR" sz="14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º PERÍODO</a:t>
          </a:r>
          <a:endParaRPr lang="pt-BR" sz="1400"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5039949" y="469089"/>
        <a:ext cx="966608" cy="921216"/>
      </dsp:txXfrm>
    </dsp:sp>
    <dsp:sp modelId="{A80EC57D-6B70-4CB8-8D97-44AAD60E119C}">
      <dsp:nvSpPr>
        <dsp:cNvPr id="0" name=""/>
        <dsp:cNvSpPr/>
      </dsp:nvSpPr>
      <dsp:spPr>
        <a:xfrm>
          <a:off x="4957174" y="1106141"/>
          <a:ext cx="1132158" cy="520101"/>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Historiografia Contemporânea</a:t>
          </a:r>
        </a:p>
      </dsp:txBody>
      <dsp:txXfrm>
        <a:off x="4972407" y="1121374"/>
        <a:ext cx="1101692" cy="489635"/>
      </dsp:txXfrm>
    </dsp:sp>
    <dsp:sp modelId="{61E3ADDD-0A10-488F-B17B-42687B4A8F8A}">
      <dsp:nvSpPr>
        <dsp:cNvPr id="0" name=""/>
        <dsp:cNvSpPr/>
      </dsp:nvSpPr>
      <dsp:spPr>
        <a:xfrm>
          <a:off x="4957174" y="1706258"/>
          <a:ext cx="1132158" cy="520101"/>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66725">
            <a:lnSpc>
              <a:spcPct val="90000"/>
            </a:lnSpc>
            <a:spcBef>
              <a:spcPct val="0"/>
            </a:spcBef>
            <a:spcAft>
              <a:spcPct val="35000"/>
            </a:spcAft>
          </a:pPr>
          <a:r>
            <a:rPr lang="pt-BR" sz="1050" kern="1200" dirty="0">
              <a:solidFill>
                <a:sysClr val="window" lastClr="FFFFFF"/>
              </a:solidFill>
              <a:latin typeface="Calibri" panose="020F0502020204030204"/>
              <a:ea typeface="+mn-ea"/>
              <a:cs typeface="+mn-cs"/>
            </a:rPr>
            <a:t>História da América Independente</a:t>
          </a:r>
        </a:p>
      </dsp:txBody>
      <dsp:txXfrm>
        <a:off x="4972407" y="1721491"/>
        <a:ext cx="1101692" cy="489635"/>
      </dsp:txXfrm>
    </dsp:sp>
    <dsp:sp modelId="{B0D22898-E0BB-4B04-B516-9E35003CAD3B}">
      <dsp:nvSpPr>
        <dsp:cNvPr id="0" name=""/>
        <dsp:cNvSpPr/>
      </dsp:nvSpPr>
      <dsp:spPr>
        <a:xfrm>
          <a:off x="4957174" y="2306375"/>
          <a:ext cx="1132158" cy="520101"/>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História do Brasil Monárquico</a:t>
          </a:r>
        </a:p>
      </dsp:txBody>
      <dsp:txXfrm>
        <a:off x="4972407" y="2321608"/>
        <a:ext cx="1101692" cy="489635"/>
      </dsp:txXfrm>
    </dsp:sp>
    <dsp:sp modelId="{BED46B49-B058-4EE7-98DF-03E3F9373717}">
      <dsp:nvSpPr>
        <dsp:cNvPr id="0" name=""/>
        <dsp:cNvSpPr/>
      </dsp:nvSpPr>
      <dsp:spPr>
        <a:xfrm>
          <a:off x="4957174" y="2906491"/>
          <a:ext cx="1132158" cy="520101"/>
        </a:xfrm>
        <a:prstGeom prst="roundRect">
          <a:avLst>
            <a:gd name="adj" fmla="val 10000"/>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UC Eletiva</a:t>
          </a:r>
        </a:p>
      </dsp:txBody>
      <dsp:txXfrm>
        <a:off x="4972407" y="2921724"/>
        <a:ext cx="1101692" cy="489635"/>
      </dsp:txXfrm>
    </dsp:sp>
    <dsp:sp modelId="{C2F54181-96FE-4EEF-AE81-E23CA96AF49F}">
      <dsp:nvSpPr>
        <dsp:cNvPr id="0" name=""/>
        <dsp:cNvSpPr/>
      </dsp:nvSpPr>
      <dsp:spPr>
        <a:xfrm>
          <a:off x="4957174" y="3506608"/>
          <a:ext cx="1132158" cy="520101"/>
        </a:xfrm>
        <a:prstGeom prst="roundRect">
          <a:avLst>
            <a:gd name="adj" fmla="val 10000"/>
          </a:avLst>
        </a:prstGeom>
        <a:solidFill>
          <a:srgbClr val="00B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7145" rIns="22860" bIns="17145" numCol="1" spcCol="1270" anchor="ctr" anchorCtr="0">
          <a:noAutofit/>
        </a:bodyPr>
        <a:lstStyle/>
        <a:p>
          <a:pPr lvl="0" algn="ctr" defTabSz="400050">
            <a:lnSpc>
              <a:spcPct val="90000"/>
            </a:lnSpc>
            <a:spcBef>
              <a:spcPct val="0"/>
            </a:spcBef>
            <a:spcAft>
              <a:spcPct val="35000"/>
            </a:spcAft>
          </a:pPr>
          <a:r>
            <a:rPr lang="pt-BR" sz="900" kern="1200" dirty="0">
              <a:solidFill>
                <a:sysClr val="window" lastClr="FFFFFF"/>
              </a:solidFill>
              <a:latin typeface="Calibri" panose="020F0502020204030204"/>
              <a:ea typeface="+mn-ea"/>
              <a:cs typeface="+mn-cs"/>
            </a:rPr>
            <a:t>Laboratório de Ensino de História: produção de material didático</a:t>
          </a:r>
        </a:p>
      </dsp:txBody>
      <dsp:txXfrm>
        <a:off x="4972407" y="3521841"/>
        <a:ext cx="1101692" cy="489635"/>
      </dsp:txXfrm>
    </dsp:sp>
    <dsp:sp modelId="{CB9AB3F0-A51C-4611-81A1-965C9BAC6B1A}">
      <dsp:nvSpPr>
        <dsp:cNvPr id="0" name=""/>
        <dsp:cNvSpPr/>
      </dsp:nvSpPr>
      <dsp:spPr>
        <a:xfrm>
          <a:off x="6278248" y="469089"/>
          <a:ext cx="966608" cy="3070721"/>
        </a:xfrm>
        <a:prstGeom prst="roundRect">
          <a:avLst>
            <a:gd name="adj" fmla="val 10000"/>
          </a:avLst>
        </a:prstGeom>
        <a:solidFill>
          <a:sysClr val="window" lastClr="FFFFFF">
            <a:lumMod val="95000"/>
          </a:sysClr>
        </a:solidFill>
        <a:ln>
          <a:noFill/>
        </a:ln>
        <a:effectLst/>
      </dsp:spPr>
      <dsp:style>
        <a:lnRef idx="0">
          <a:scrgbClr r="0" g="0" b="0"/>
        </a:lnRef>
        <a:fillRef idx="1">
          <a:scrgbClr r="0" g="0" b="0"/>
        </a:fillRef>
        <a:effectRef idx="0">
          <a:scrgbClr r="0" g="0" b="0"/>
        </a:effectRef>
        <a:fontRef idx="minor"/>
      </dsp:style>
      <dsp:txBody>
        <a:bodyPr spcFirstLastPara="0" vert="horz" wrap="square" lIns="53340" tIns="216000" rIns="53340" bIns="53340" numCol="1" spcCol="1270" anchor="t" anchorCtr="0">
          <a:noAutofit/>
        </a:bodyPr>
        <a:lstStyle/>
        <a:p>
          <a:pPr lvl="0" algn="ctr" defTabSz="622300">
            <a:lnSpc>
              <a:spcPct val="90000"/>
            </a:lnSpc>
            <a:spcBef>
              <a:spcPct val="0"/>
            </a:spcBef>
            <a:spcAft>
              <a:spcPct val="35000"/>
            </a:spcAft>
          </a:pPr>
          <a:r>
            <a:rPr lang="pt-BR" sz="14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6º PERÍODO</a:t>
          </a:r>
          <a:endParaRPr lang="pt-BR" sz="1400"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6278248" y="469089"/>
        <a:ext cx="966608" cy="921216"/>
      </dsp:txXfrm>
    </dsp:sp>
    <dsp:sp modelId="{46C06980-EDA3-43E9-AFE4-B46A7C3E421F}">
      <dsp:nvSpPr>
        <dsp:cNvPr id="0" name=""/>
        <dsp:cNvSpPr/>
      </dsp:nvSpPr>
      <dsp:spPr>
        <a:xfrm>
          <a:off x="6195473" y="1106141"/>
          <a:ext cx="1132158" cy="520101"/>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História Contemporânea no século XIX</a:t>
          </a:r>
        </a:p>
      </dsp:txBody>
      <dsp:txXfrm>
        <a:off x="6210706" y="1121374"/>
        <a:ext cx="1101692" cy="489635"/>
      </dsp:txXfrm>
    </dsp:sp>
    <dsp:sp modelId="{321F759F-6654-40C8-9D02-A373D9ACCD0C}">
      <dsp:nvSpPr>
        <dsp:cNvPr id="0" name=""/>
        <dsp:cNvSpPr/>
      </dsp:nvSpPr>
      <dsp:spPr>
        <a:xfrm>
          <a:off x="6195473" y="1706258"/>
          <a:ext cx="1132158" cy="520101"/>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História da América Contemporânea</a:t>
          </a:r>
        </a:p>
      </dsp:txBody>
      <dsp:txXfrm>
        <a:off x="6210706" y="1721491"/>
        <a:ext cx="1101692" cy="489635"/>
      </dsp:txXfrm>
    </dsp:sp>
    <dsp:sp modelId="{027F7A12-B20D-4E04-A7F8-181F6F9423DA}">
      <dsp:nvSpPr>
        <dsp:cNvPr id="0" name=""/>
        <dsp:cNvSpPr/>
      </dsp:nvSpPr>
      <dsp:spPr>
        <a:xfrm>
          <a:off x="6195473" y="2306375"/>
          <a:ext cx="1132158" cy="520101"/>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História do Brasil Republicano</a:t>
          </a:r>
        </a:p>
      </dsp:txBody>
      <dsp:txXfrm>
        <a:off x="6210706" y="2321608"/>
        <a:ext cx="1101692" cy="489635"/>
      </dsp:txXfrm>
    </dsp:sp>
    <dsp:sp modelId="{EFBF6BB4-79C7-492B-A285-D414E514BCEB}">
      <dsp:nvSpPr>
        <dsp:cNvPr id="0" name=""/>
        <dsp:cNvSpPr/>
      </dsp:nvSpPr>
      <dsp:spPr>
        <a:xfrm>
          <a:off x="6195473" y="2906491"/>
          <a:ext cx="1132158" cy="520101"/>
        </a:xfrm>
        <a:prstGeom prst="roundRect">
          <a:avLst>
            <a:gd name="adj" fmla="val 10000"/>
          </a:avLst>
        </a:prstGeom>
        <a:solidFill>
          <a:srgbClr val="44546A"/>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7145" rIns="22860" bIns="17145" numCol="1" spcCol="1270" anchor="ctr" anchorCtr="0">
          <a:noAutofit/>
        </a:bodyPr>
        <a:lstStyle/>
        <a:p>
          <a:pPr lvl="0" algn="ctr" defTabSz="400050">
            <a:lnSpc>
              <a:spcPct val="90000"/>
            </a:lnSpc>
            <a:spcBef>
              <a:spcPct val="0"/>
            </a:spcBef>
            <a:spcAft>
              <a:spcPct val="35000"/>
            </a:spcAft>
          </a:pPr>
          <a:r>
            <a:rPr lang="pt-BR" sz="900" kern="1200" dirty="0">
              <a:solidFill>
                <a:sysClr val="window" lastClr="FFFFFF"/>
              </a:solidFill>
              <a:latin typeface="Calibri" panose="020F0502020204030204"/>
              <a:ea typeface="+mn-ea"/>
              <a:cs typeface="+mn-cs"/>
            </a:rPr>
            <a:t>Estágio supervisionado: gestão e cultura escolar</a:t>
          </a:r>
        </a:p>
      </dsp:txBody>
      <dsp:txXfrm>
        <a:off x="6210706" y="2921724"/>
        <a:ext cx="1101692" cy="489635"/>
      </dsp:txXfrm>
    </dsp:sp>
    <dsp:sp modelId="{52402AAF-59CF-4FAD-B0E5-D6E901C12A81}">
      <dsp:nvSpPr>
        <dsp:cNvPr id="0" name=""/>
        <dsp:cNvSpPr/>
      </dsp:nvSpPr>
      <dsp:spPr>
        <a:xfrm>
          <a:off x="6195473" y="3506608"/>
          <a:ext cx="1132158" cy="520101"/>
        </a:xfrm>
        <a:prstGeom prst="roundRect">
          <a:avLst>
            <a:gd name="adj" fmla="val 10000"/>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UC Eletiva</a:t>
          </a:r>
        </a:p>
      </dsp:txBody>
      <dsp:txXfrm>
        <a:off x="6210706" y="3521841"/>
        <a:ext cx="1101692" cy="489635"/>
      </dsp:txXfrm>
    </dsp:sp>
    <dsp:sp modelId="{93413AB3-3BEF-4995-9212-A599DC46596A}">
      <dsp:nvSpPr>
        <dsp:cNvPr id="0" name=""/>
        <dsp:cNvSpPr/>
      </dsp:nvSpPr>
      <dsp:spPr>
        <a:xfrm>
          <a:off x="7516546" y="469089"/>
          <a:ext cx="966608" cy="3070721"/>
        </a:xfrm>
        <a:prstGeom prst="roundRect">
          <a:avLst>
            <a:gd name="adj" fmla="val 10000"/>
          </a:avLst>
        </a:prstGeom>
        <a:solidFill>
          <a:sysClr val="window" lastClr="FFFFFF">
            <a:lumMod val="95000"/>
          </a:sysClr>
        </a:solidFill>
        <a:ln>
          <a:noFill/>
        </a:ln>
        <a:effectLst/>
      </dsp:spPr>
      <dsp:style>
        <a:lnRef idx="0">
          <a:scrgbClr r="0" g="0" b="0"/>
        </a:lnRef>
        <a:fillRef idx="1">
          <a:scrgbClr r="0" g="0" b="0"/>
        </a:fillRef>
        <a:effectRef idx="0">
          <a:scrgbClr r="0" g="0" b="0"/>
        </a:effectRef>
        <a:fontRef idx="minor"/>
      </dsp:style>
      <dsp:txBody>
        <a:bodyPr spcFirstLastPara="0" vert="horz" wrap="square" lIns="53340" tIns="216000" rIns="53340" bIns="53340" numCol="1" spcCol="1270" anchor="t" anchorCtr="0">
          <a:noAutofit/>
        </a:bodyPr>
        <a:lstStyle/>
        <a:p>
          <a:pPr lvl="0" algn="ctr" defTabSz="622300">
            <a:lnSpc>
              <a:spcPct val="90000"/>
            </a:lnSpc>
            <a:spcBef>
              <a:spcPct val="0"/>
            </a:spcBef>
            <a:spcAft>
              <a:spcPct val="35000"/>
            </a:spcAft>
          </a:pPr>
          <a:r>
            <a:rPr lang="pt-BR" sz="1400"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7</a:t>
          </a:r>
          <a:r>
            <a:rPr lang="pt-BR" sz="14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º PERÍODO</a:t>
          </a:r>
          <a:endParaRPr lang="pt-BR" sz="1400"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7516546" y="469089"/>
        <a:ext cx="966608" cy="921216"/>
      </dsp:txXfrm>
    </dsp:sp>
    <dsp:sp modelId="{611409A6-8C9F-4FBD-93E0-C9D3CE6AC288}">
      <dsp:nvSpPr>
        <dsp:cNvPr id="0" name=""/>
        <dsp:cNvSpPr/>
      </dsp:nvSpPr>
      <dsp:spPr>
        <a:xfrm>
          <a:off x="7433771" y="1106141"/>
          <a:ext cx="1132158" cy="520101"/>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pt-BR" sz="1000" kern="1200" dirty="0">
              <a:solidFill>
                <a:sysClr val="window" lastClr="FFFFFF"/>
              </a:solidFill>
              <a:latin typeface="Calibri" panose="020F0502020204030204"/>
              <a:ea typeface="+mn-ea"/>
              <a:cs typeface="+mn-cs"/>
            </a:rPr>
            <a:t>História Contemporânea nos séculos XX e XXI</a:t>
          </a:r>
        </a:p>
      </dsp:txBody>
      <dsp:txXfrm>
        <a:off x="7449004" y="1121374"/>
        <a:ext cx="1101692" cy="489635"/>
      </dsp:txXfrm>
    </dsp:sp>
    <dsp:sp modelId="{8CA67989-6EAD-4737-9BE4-50744894F71F}">
      <dsp:nvSpPr>
        <dsp:cNvPr id="0" name=""/>
        <dsp:cNvSpPr/>
      </dsp:nvSpPr>
      <dsp:spPr>
        <a:xfrm>
          <a:off x="7433771" y="1706258"/>
          <a:ext cx="1132158" cy="520101"/>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História do Brasil Contemporâneo</a:t>
          </a:r>
        </a:p>
      </dsp:txBody>
      <dsp:txXfrm>
        <a:off x="7449004" y="1721491"/>
        <a:ext cx="1101692" cy="489635"/>
      </dsp:txXfrm>
    </dsp:sp>
    <dsp:sp modelId="{3A88516C-0337-4CD4-A2B1-54DCB40D05A9}">
      <dsp:nvSpPr>
        <dsp:cNvPr id="0" name=""/>
        <dsp:cNvSpPr/>
      </dsp:nvSpPr>
      <dsp:spPr>
        <a:xfrm>
          <a:off x="7433771" y="2306375"/>
          <a:ext cx="1132158" cy="520101"/>
        </a:xfrm>
        <a:prstGeom prst="roundRect">
          <a:avLst>
            <a:gd name="adj" fmla="val 10000"/>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UC Eletiva</a:t>
          </a:r>
        </a:p>
      </dsp:txBody>
      <dsp:txXfrm>
        <a:off x="7449004" y="2321608"/>
        <a:ext cx="1101692" cy="489635"/>
      </dsp:txXfrm>
    </dsp:sp>
    <dsp:sp modelId="{90BABA62-41F4-4FF3-A017-0251BC0A437B}">
      <dsp:nvSpPr>
        <dsp:cNvPr id="0" name=""/>
        <dsp:cNvSpPr/>
      </dsp:nvSpPr>
      <dsp:spPr>
        <a:xfrm>
          <a:off x="7433771" y="2906491"/>
          <a:ext cx="1132158" cy="520101"/>
        </a:xfrm>
        <a:prstGeom prst="roundRect">
          <a:avLst>
            <a:gd name="adj" fmla="val 10000"/>
          </a:avLst>
        </a:prstGeom>
        <a:solidFill>
          <a:srgbClr val="44546A"/>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7145" rIns="22860" bIns="17145" numCol="1" spcCol="1270" anchor="ctr" anchorCtr="0">
          <a:noAutofit/>
        </a:bodyPr>
        <a:lstStyle/>
        <a:p>
          <a:pPr lvl="0" algn="ctr" defTabSz="400050">
            <a:lnSpc>
              <a:spcPct val="90000"/>
            </a:lnSpc>
            <a:spcBef>
              <a:spcPct val="0"/>
            </a:spcBef>
            <a:spcAft>
              <a:spcPct val="35000"/>
            </a:spcAft>
          </a:pPr>
          <a:r>
            <a:rPr lang="pt-BR" sz="900" kern="1200" dirty="0">
              <a:solidFill>
                <a:sysClr val="window" lastClr="FFFFFF"/>
              </a:solidFill>
              <a:latin typeface="Calibri" panose="020F0502020204030204"/>
              <a:ea typeface="+mn-ea"/>
              <a:cs typeface="+mn-cs"/>
            </a:rPr>
            <a:t>Estágio Supervisionado: Ensino Fundamental (Séries finais)</a:t>
          </a:r>
        </a:p>
      </dsp:txBody>
      <dsp:txXfrm>
        <a:off x="7449004" y="2921724"/>
        <a:ext cx="1101692" cy="489635"/>
      </dsp:txXfrm>
    </dsp:sp>
    <dsp:sp modelId="{313DC24E-C7B7-4F0E-B6E8-55D79C278CFD}">
      <dsp:nvSpPr>
        <dsp:cNvPr id="0" name=""/>
        <dsp:cNvSpPr/>
      </dsp:nvSpPr>
      <dsp:spPr>
        <a:xfrm>
          <a:off x="7433771" y="3506608"/>
          <a:ext cx="1132158" cy="520101"/>
        </a:xfrm>
        <a:prstGeom prst="roundRect">
          <a:avLst>
            <a:gd name="adj" fmla="val 10000"/>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66725">
            <a:lnSpc>
              <a:spcPct val="90000"/>
            </a:lnSpc>
            <a:spcBef>
              <a:spcPct val="0"/>
            </a:spcBef>
            <a:spcAft>
              <a:spcPct val="35000"/>
            </a:spcAft>
          </a:pPr>
          <a:r>
            <a:rPr lang="pt-BR" sz="1050" kern="1200" dirty="0">
              <a:solidFill>
                <a:sysClr val="window" lastClr="FFFFFF"/>
              </a:solidFill>
              <a:latin typeface="Calibri" panose="020F0502020204030204"/>
              <a:ea typeface="+mn-ea"/>
              <a:cs typeface="+mn-cs"/>
            </a:rPr>
            <a:t>Língua Brasileira de Sinas *</a:t>
          </a:r>
        </a:p>
      </dsp:txBody>
      <dsp:txXfrm>
        <a:off x="7449004" y="3521841"/>
        <a:ext cx="1101692" cy="489635"/>
      </dsp:txXfrm>
    </dsp:sp>
    <dsp:sp modelId="{04172FE2-BBF4-4E40-A70F-6FFDA41D2CF7}">
      <dsp:nvSpPr>
        <dsp:cNvPr id="0" name=""/>
        <dsp:cNvSpPr/>
      </dsp:nvSpPr>
      <dsp:spPr>
        <a:xfrm>
          <a:off x="8754845" y="469089"/>
          <a:ext cx="966608" cy="3070721"/>
        </a:xfrm>
        <a:prstGeom prst="roundRect">
          <a:avLst>
            <a:gd name="adj" fmla="val 10000"/>
          </a:avLst>
        </a:prstGeom>
        <a:solidFill>
          <a:sysClr val="window" lastClr="FFFFFF">
            <a:lumMod val="95000"/>
          </a:sysClr>
        </a:solidFill>
        <a:ln>
          <a:noFill/>
        </a:ln>
        <a:effectLst/>
      </dsp:spPr>
      <dsp:style>
        <a:lnRef idx="0">
          <a:scrgbClr r="0" g="0" b="0"/>
        </a:lnRef>
        <a:fillRef idx="1">
          <a:scrgbClr r="0" g="0" b="0"/>
        </a:fillRef>
        <a:effectRef idx="0">
          <a:scrgbClr r="0" g="0" b="0"/>
        </a:effectRef>
        <a:fontRef idx="minor"/>
      </dsp:style>
      <dsp:txBody>
        <a:bodyPr spcFirstLastPara="0" vert="horz" wrap="square" lIns="53340" tIns="216000" rIns="53340" bIns="53340" numCol="1" spcCol="1270" anchor="t" anchorCtr="0">
          <a:noAutofit/>
        </a:bodyPr>
        <a:lstStyle/>
        <a:p>
          <a:pPr lvl="0" algn="ctr" defTabSz="622300">
            <a:lnSpc>
              <a:spcPct val="90000"/>
            </a:lnSpc>
            <a:spcBef>
              <a:spcPct val="0"/>
            </a:spcBef>
            <a:spcAft>
              <a:spcPct val="35000"/>
            </a:spcAft>
          </a:pPr>
          <a:r>
            <a:rPr lang="pt-BR" sz="1400"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8</a:t>
          </a:r>
          <a:r>
            <a:rPr lang="pt-BR" sz="14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º PERÍODO</a:t>
          </a:r>
          <a:endParaRPr lang="pt-BR" sz="1400"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8754845" y="469089"/>
        <a:ext cx="966608" cy="921216"/>
      </dsp:txXfrm>
    </dsp:sp>
    <dsp:sp modelId="{2EB7FF5D-2A4B-422B-8354-4C1A3F7ACAAC}">
      <dsp:nvSpPr>
        <dsp:cNvPr id="0" name=""/>
        <dsp:cNvSpPr/>
      </dsp:nvSpPr>
      <dsp:spPr>
        <a:xfrm>
          <a:off x="8672070" y="1106141"/>
          <a:ext cx="1132158" cy="520101"/>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pt-BR" sz="1100" kern="1200" dirty="0">
              <a:solidFill>
                <a:sysClr val="window" lastClr="FFFFFF"/>
              </a:solidFill>
              <a:latin typeface="Calibri" panose="020F0502020204030204"/>
              <a:ea typeface="+mn-ea"/>
              <a:cs typeface="+mn-cs"/>
            </a:rPr>
            <a:t>História de Minas Gerais</a:t>
          </a:r>
        </a:p>
      </dsp:txBody>
      <dsp:txXfrm>
        <a:off x="8687303" y="1121374"/>
        <a:ext cx="1101692" cy="489635"/>
      </dsp:txXfrm>
    </dsp:sp>
    <dsp:sp modelId="{B3BEE594-E3B9-4AAB-8C15-5BE9F58D091A}">
      <dsp:nvSpPr>
        <dsp:cNvPr id="0" name=""/>
        <dsp:cNvSpPr/>
      </dsp:nvSpPr>
      <dsp:spPr>
        <a:xfrm>
          <a:off x="8672070" y="1706258"/>
          <a:ext cx="1132158" cy="520101"/>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66725">
            <a:lnSpc>
              <a:spcPct val="90000"/>
            </a:lnSpc>
            <a:spcBef>
              <a:spcPct val="0"/>
            </a:spcBef>
            <a:spcAft>
              <a:spcPct val="35000"/>
            </a:spcAft>
          </a:pPr>
          <a:r>
            <a:rPr lang="pt-BR" sz="1050" kern="1200" dirty="0">
              <a:solidFill>
                <a:sysClr val="window" lastClr="FFFFFF"/>
              </a:solidFill>
              <a:latin typeface="Calibri" panose="020F0502020204030204"/>
              <a:ea typeface="+mn-ea"/>
              <a:cs typeface="+mn-cs"/>
            </a:rPr>
            <a:t>Gestão de Sistema Es</a:t>
          </a:r>
          <a:r>
            <a:rPr lang="pt-BR" sz="1200" kern="1200" dirty="0">
              <a:solidFill>
                <a:sysClr val="window" lastClr="FFFFFF"/>
              </a:solidFill>
              <a:latin typeface="Calibri" panose="020F0502020204030204"/>
              <a:ea typeface="+mn-ea"/>
              <a:cs typeface="+mn-cs"/>
            </a:rPr>
            <a:t>colar*</a:t>
          </a:r>
        </a:p>
      </dsp:txBody>
      <dsp:txXfrm>
        <a:off x="8687303" y="1721491"/>
        <a:ext cx="1101692" cy="489635"/>
      </dsp:txXfrm>
    </dsp:sp>
    <dsp:sp modelId="{50A6ABE4-4CA8-421C-B54C-503481AF80EF}">
      <dsp:nvSpPr>
        <dsp:cNvPr id="0" name=""/>
        <dsp:cNvSpPr/>
      </dsp:nvSpPr>
      <dsp:spPr>
        <a:xfrm>
          <a:off x="8672070" y="2306375"/>
          <a:ext cx="1132158" cy="520101"/>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pt-BR" sz="1200" kern="1200" dirty="0">
              <a:solidFill>
                <a:sysClr val="window" lastClr="FFFFFF"/>
              </a:solidFill>
              <a:latin typeface="Calibri" panose="020F0502020204030204"/>
              <a:ea typeface="+mn-ea"/>
              <a:cs typeface="+mn-cs"/>
            </a:rPr>
            <a:t>Trabalho de Conclusão de curso</a:t>
          </a:r>
          <a:endParaRPr lang="pt-BR" sz="1050" kern="1200" dirty="0">
            <a:solidFill>
              <a:sysClr val="window" lastClr="FFFFFF"/>
            </a:solidFill>
            <a:latin typeface="Calibri" panose="020F0502020204030204"/>
            <a:ea typeface="+mn-ea"/>
            <a:cs typeface="+mn-cs"/>
          </a:endParaRPr>
        </a:p>
      </dsp:txBody>
      <dsp:txXfrm>
        <a:off x="8687303" y="2321608"/>
        <a:ext cx="1101692" cy="489635"/>
      </dsp:txXfrm>
    </dsp:sp>
    <dsp:sp modelId="{DCC5769E-6CC6-43BC-8E99-4A89EF0F3CE6}">
      <dsp:nvSpPr>
        <dsp:cNvPr id="0" name=""/>
        <dsp:cNvSpPr/>
      </dsp:nvSpPr>
      <dsp:spPr>
        <a:xfrm>
          <a:off x="8672070" y="2906491"/>
          <a:ext cx="1132158" cy="520101"/>
        </a:xfrm>
        <a:prstGeom prst="roundRect">
          <a:avLst>
            <a:gd name="adj" fmla="val 10000"/>
          </a:avLst>
        </a:prstGeom>
        <a:solidFill>
          <a:srgbClr val="44546A"/>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7145" rIns="22860" bIns="17145" numCol="1" spcCol="1270" anchor="ctr" anchorCtr="0">
          <a:noAutofit/>
        </a:bodyPr>
        <a:lstStyle/>
        <a:p>
          <a:pPr lvl="0" algn="ctr" defTabSz="400050">
            <a:lnSpc>
              <a:spcPct val="90000"/>
            </a:lnSpc>
            <a:spcBef>
              <a:spcPct val="0"/>
            </a:spcBef>
            <a:spcAft>
              <a:spcPct val="35000"/>
            </a:spcAft>
          </a:pPr>
          <a:r>
            <a:rPr lang="pt-BR" sz="900" kern="1200" dirty="0">
              <a:solidFill>
                <a:sysClr val="window" lastClr="FFFFFF"/>
              </a:solidFill>
              <a:latin typeface="Calibri" panose="020F0502020204030204"/>
              <a:ea typeface="+mn-ea"/>
              <a:cs typeface="+mn-cs"/>
            </a:rPr>
            <a:t>Estágio Supervisionado: Ensino Médio</a:t>
          </a:r>
        </a:p>
      </dsp:txBody>
      <dsp:txXfrm>
        <a:off x="8687303" y="2921724"/>
        <a:ext cx="1101692" cy="489635"/>
      </dsp:txXfrm>
    </dsp:sp>
    <dsp:sp modelId="{FEBDB8B3-5233-4836-AB0E-8A6A8B5B8D2A}">
      <dsp:nvSpPr>
        <dsp:cNvPr id="0" name=""/>
        <dsp:cNvSpPr/>
      </dsp:nvSpPr>
      <dsp:spPr>
        <a:xfrm>
          <a:off x="8672070" y="3506608"/>
          <a:ext cx="1132158" cy="520101"/>
        </a:xfrm>
        <a:prstGeom prst="roundRect">
          <a:avLst>
            <a:gd name="adj" fmla="val 10000"/>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pt-BR" sz="1200" kern="1200" dirty="0">
              <a:solidFill>
                <a:sysClr val="window" lastClr="FFFFFF"/>
              </a:solidFill>
              <a:latin typeface="Calibri" panose="020F0502020204030204"/>
              <a:ea typeface="+mn-ea"/>
              <a:cs typeface="+mn-cs"/>
            </a:rPr>
            <a:t>UC Eletiva</a:t>
          </a:r>
        </a:p>
      </dsp:txBody>
      <dsp:txXfrm>
        <a:off x="8687303" y="3521841"/>
        <a:ext cx="1101692" cy="489635"/>
      </dsp:txXfrm>
    </dsp:sp>
  </dsp:spTree>
</dsp:drawing>
</file>

<file path=word/diagrams/layout3.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E434C-9CBC-443F-9DC2-7BA7C4851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LibreOffice/5.1.6.2$Windows_x86 LibreOffice_project/07ac168c60a517dba0f0d7bc7540f5afa45f0909</Application>
  <Pages>63</Pages>
  <Words>32208</Words>
  <CharactersWithSpaces>173929</CharactersWithSpaces>
  <Paragraphs>411</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2018-03-14T12:51:00Z</dcterms:created>
  <dc:creator>Usuario</dc:creator>
  <dc:description/>
  <dc:language>pt-BR</dc:language>
  <cp:lastModifiedBy>Usuario</cp:lastModifiedBy>
  <cp:lastPrinted>2018-03-10T02:03:00Z</cp:lastPrinted>
  <dcterms:modified xsi:type="dcterms:W3CDTF">2018-03-14T12:51:00Z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