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  <w:lang w:val="pt-BR" w:eastAsia="pt-BR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MINISTÉRIO DA EDUCAÇÃO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UNIVERSIDADE FEDERAL DOS VALES DO JEQUITINHONHA E MUCURI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CONSELHO DE ENSINO, PESQUISA E EXTENSÃO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highlight w:val="white"/>
        </w:rPr>
        <w:t>RESOLUÇÃO Nº. 16, DE 26 DE ABRIL DE 2018.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/>
          <w:b/>
          <w:b/>
          <w:color w:val="000000"/>
          <w:sz w:val="24"/>
          <w:szCs w:val="24"/>
          <w:highlight w:val="white"/>
        </w:rPr>
      </w:pPr>
      <w:r>
        <w:rPr>
          <w:rFonts w:eastAsia="Times New Roman" w:ascii="Times New Roman" w:hAnsi="Times New Roman"/>
          <w:b/>
          <w:color w:val="000000"/>
          <w:sz w:val="24"/>
          <w:szCs w:val="24"/>
          <w:highlight w:val="white"/>
        </w:rPr>
      </w:r>
    </w:p>
    <w:p>
      <w:pPr>
        <w:pStyle w:val="LONormal"/>
        <w:suppressAutoHyphens w:val="true"/>
        <w:spacing w:lineRule="auto" w:line="360" w:before="0" w:after="0"/>
        <w:ind w:left="4762" w:right="0" w:hanging="0"/>
        <w:jc w:val="both"/>
        <w:rPr/>
      </w:pPr>
      <w:r>
        <w:rPr>
          <w:rStyle w:val="Fontepargpadro"/>
          <w:rFonts w:eastAsia="Times New Roman" w:ascii="Times New Roman" w:hAnsi="Times New Roman"/>
          <w:b w:val="false"/>
          <w:bCs w:val="false"/>
          <w:color w:val="000000"/>
          <w:sz w:val="24"/>
          <w:szCs w:val="24"/>
          <w:highlight w:val="white"/>
        </w:rPr>
        <w:t>Dispõe sobre a política de Internacionalização da Universidade Federal dos Vales do Jequitinhonha e Mucuri – UFVJM.</w:t>
      </w:r>
    </w:p>
    <w:p>
      <w:pPr>
        <w:pStyle w:val="LONormal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/>
          <w:b/>
          <w:b/>
          <w:color w:val="000000"/>
          <w:sz w:val="24"/>
          <w:szCs w:val="24"/>
          <w:highlight w:val="white"/>
        </w:rPr>
      </w:pPr>
      <w:r>
        <w:rPr>
          <w:rFonts w:eastAsia="Times New Roman" w:ascii="Times New Roman" w:hAnsi="Times New Roman"/>
          <w:b/>
          <w:color w:val="000000"/>
          <w:sz w:val="24"/>
          <w:szCs w:val="24"/>
          <w:highlight w:val="white"/>
        </w:rPr>
      </w:r>
    </w:p>
    <w:p>
      <w:pPr>
        <w:pStyle w:val="LONormal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ascii="Times New Roman" w:hAnsi="Times New Roman"/>
          <w:b/>
          <w:bCs/>
          <w:color w:val="00000A"/>
          <w:sz w:val="24"/>
          <w:szCs w:val="24"/>
          <w:highlight w:val="whit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color w:val="00000A"/>
          <w:sz w:val="24"/>
          <w:szCs w:val="24"/>
          <w:highlight w:val="white"/>
        </w:rPr>
        <w:t xml:space="preserve">O CONSELHO DE ENSINO, PESQUISA E EXTENSÃO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color w:val="00000A"/>
          <w:sz w:val="24"/>
          <w:szCs w:val="24"/>
          <w:highlight w:val="white"/>
        </w:rPr>
        <w:t xml:space="preserve">da Universidade Federal dos Vales do Jequitinhonha e Mucuri – UFVJM, no uso de suas atribuições estatutárias e tendo em vista o que deliberou em sua 112ª sessão, </w:t>
      </w:r>
      <w:r>
        <w:rPr>
          <w:rStyle w:val="Fontepargpadro"/>
          <w:rFonts w:eastAsia="Times New Roman" w:ascii="Times New Roman" w:hAnsi="Times New Roman"/>
          <w:b w:val="false"/>
          <w:bCs w:val="false"/>
          <w:color w:val="00000A"/>
          <w:sz w:val="24"/>
          <w:szCs w:val="24"/>
          <w:highlight w:val="white"/>
        </w:rPr>
        <w:t xml:space="preserve">e </w:t>
      </w:r>
    </w:p>
    <w:p>
      <w:pPr>
        <w:pStyle w:val="LONormal"/>
        <w:spacing w:lineRule="auto" w:line="360" w:before="0" w:after="0"/>
        <w:ind w:left="0" w:right="0" w:hanging="0"/>
        <w:jc w:val="both"/>
        <w:rPr>
          <w:rStyle w:val="Fontepargpadro"/>
          <w:rFonts w:ascii="Times New Roman" w:hAnsi="Times New Roman" w:eastAsia="Times New Roman"/>
          <w:b w:val="false"/>
          <w:b w:val="false"/>
          <w:bCs w:val="false"/>
          <w:color w:val="00000A"/>
          <w:sz w:val="24"/>
          <w:szCs w:val="24"/>
          <w:highlight w:val="white"/>
        </w:rPr>
      </w:pPr>
      <w:r>
        <w:rPr>
          <w:rFonts w:eastAsia="Times New Roman" w:ascii="Times New Roman" w:hAnsi="Times New Roman"/>
          <w:b w:val="false"/>
          <w:bCs w:val="false"/>
          <w:color w:val="00000A"/>
          <w:sz w:val="24"/>
          <w:szCs w:val="24"/>
          <w:highlight w:val="white"/>
        </w:rPr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>CONSIDERANDO</w:t>
      </w:r>
      <w:r>
        <w:rPr>
          <w:sz w:val="24"/>
          <w:szCs w:val="24"/>
        </w:rPr>
        <w:t xml:space="preserve"> as ações de internacionalização da UFVJM através da participação em programas e redes de universidades no Brasil e no exterior e a necessidade de ampliar e consolidar, com qualidade, sua presença na comunidade acadêmica internacional;</w:t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>CONSIDERANDO</w:t>
      </w:r>
      <w:r>
        <w:rPr>
          <w:sz w:val="24"/>
          <w:szCs w:val="24"/>
        </w:rPr>
        <w:t xml:space="preserve"> a importância da internacionalização no Plano de Desenvolvimento Institucional da UFVJM;</w:t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>CONSIDERANDO</w:t>
      </w:r>
      <w:r>
        <w:rPr>
          <w:sz w:val="24"/>
          <w:szCs w:val="24"/>
        </w:rPr>
        <w:t xml:space="preserve"> a importância de se institucionalizar as ações de internacionalização como uma prática acadêmica constante, regulamentada em todos os níveis da administração;</w:t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>CONSIDERANDO</w:t>
      </w:r>
      <w:r>
        <w:rPr>
          <w:sz w:val="24"/>
          <w:szCs w:val="24"/>
        </w:rPr>
        <w:t xml:space="preserve"> a importância das relações com outras Instituições de Ensino Superior ou correlatas e institutos de pesquisa, nacionais ou estrangeiras;</w:t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>CONSIDERANDO</w:t>
      </w:r>
      <w:r>
        <w:rPr>
          <w:sz w:val="24"/>
          <w:szCs w:val="24"/>
        </w:rPr>
        <w:t xml:space="preserve"> a importância de atrair e receber alunos, técnicos, docentes e pesquisadores estrangeiros, como forma de intensificar a internacionalização na instituição;</w:t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CONSIDERANDO </w:t>
      </w:r>
      <w:r>
        <w:rPr>
          <w:sz w:val="24"/>
          <w:szCs w:val="24"/>
        </w:rPr>
        <w:t>a importância de promover a mobilidade da comunidade acadêmica da UFVJM como forma de diversificar e aprimorar a formação de recursos humanos e geração de conhecimentos;</w:t>
      </w:r>
    </w:p>
    <w:p>
      <w:pPr>
        <w:pStyle w:val="Western"/>
        <w:widowControl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Western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>RESOLVE:</w:t>
      </w:r>
    </w:p>
    <w:p>
      <w:pPr>
        <w:pStyle w:val="Western"/>
        <w:spacing w:lineRule="auto" w:line="360" w:before="0" w:after="0"/>
        <w:ind w:left="0" w:right="0" w:hanging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Western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>Art. 1</w:t>
      </w:r>
      <w:r>
        <w:rPr>
          <w:b/>
          <w:bCs/>
          <w:sz w:val="24"/>
          <w:szCs w:val="24"/>
          <w:u w:val="single"/>
          <w:vertAlign w:val="superscript"/>
        </w:rPr>
        <w:t>o</w:t>
      </w:r>
      <w:r>
        <w:rPr>
          <w:b/>
          <w:bCs/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Aprovar a regulamentação da Política de Internacionalização da Universidade Federal dos Vales do Jequitinhonha e Mucuri – UFVJM e estabelecer os princípios norteadores do ensino, da pesquisa, da extensão e da gestão das ações que envolvem a cooperação científica internacional, tanto em termos de produção científica quanto de mobilidade de docentes, discentes e técnicos administrativos.</w:t>
      </w:r>
    </w:p>
    <w:p>
      <w:pPr>
        <w:pStyle w:val="Western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Western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ab/>
        <w:t>Art. 2</w:t>
      </w:r>
      <w:r>
        <w:rPr>
          <w:b/>
          <w:bCs/>
          <w:sz w:val="24"/>
          <w:szCs w:val="24"/>
          <w:u w:val="single"/>
          <w:vertAlign w:val="superscript"/>
        </w:rPr>
        <w:t>o</w:t>
      </w:r>
      <w:r>
        <w:rPr>
          <w:sz w:val="24"/>
          <w:szCs w:val="24"/>
        </w:rPr>
        <w:t xml:space="preserve"> Esta Resolução entra em vigor na data de sua publicação, revogadas as disposições em contrário.</w:t>
      </w:r>
    </w:p>
    <w:p>
      <w:pPr>
        <w:pStyle w:val="Western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sectPr>
          <w:type w:val="nextPage"/>
          <w:pgSz w:w="11906" w:h="16838"/>
          <w:pgMar w:left="1701" w:right="1701" w:header="0" w:top="1417" w:footer="0" w:bottom="1417" w:gutter="0"/>
          <w:pgNumType w:fmt="decimal"/>
          <w:formProt w:val="false"/>
          <w:textDirection w:val="lrTb"/>
          <w:docGrid w:type="default" w:linePitch="360" w:charSpace="4294965247"/>
        </w:sectPr>
        <w:pStyle w:val="Western"/>
        <w:spacing w:lineRule="auto" w:line="360" w:before="0" w:after="0"/>
        <w:ind w:left="0" w:right="0" w:hanging="0"/>
        <w:jc w:val="center"/>
        <w:rPr/>
      </w:pPr>
      <w:r>
        <w:rPr>
          <w:b/>
          <w:bCs/>
          <w:i/>
          <w:iCs/>
          <w:color w:val="000000"/>
          <w:sz w:val="24"/>
          <w:szCs w:val="24"/>
        </w:rPr>
        <w:t>CLÁUDIO EDUARDO RODRIGUES</w:t>
      </w:r>
    </w:p>
    <w:tbl>
      <w:tblPr>
        <w:tblW w:w="9549" w:type="dxa"/>
        <w:jc w:val="left"/>
        <w:tblInd w:w="15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6041"/>
        <w:gridCol w:w="1813"/>
      </w:tblGrid>
      <w:tr>
        <w:trPr/>
        <w:tc>
          <w:tcPr>
            <w:tcW w:w="1695" w:type="dxa"/>
            <w:tcBorders/>
            <w:shd w:fill="FFFFFF" w:val="clear"/>
            <w:vAlign w:val="center"/>
          </w:tcPr>
          <w:p>
            <w:pPr>
              <w:pStyle w:val="Cabealho"/>
              <w:pageBreakBefore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942975" cy="723900"/>
                  <wp:effectExtent l="0" t="0" r="0" b="0"/>
                  <wp:docPr id="2" name="Figura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gura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1" w:type="dxa"/>
            <w:tcBorders/>
            <w:shd w:fill="FFFFFF" w:val="clear"/>
            <w:vAlign w:val="center"/>
          </w:tcPr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MINISTÉRIO DA EDUCAÇÃO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DIRETORIA DE RELAÇÕES INTERNACIONAIS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relacoesinternacionais@ufvjm.edu.br</w:t>
            </w:r>
          </w:p>
        </w:tc>
        <w:tc>
          <w:tcPr>
            <w:tcW w:w="1813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1019175" cy="914400"/>
                  <wp:effectExtent l="0" t="0" r="0" b="0"/>
                  <wp:docPr id="3" name="Figura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POLÍTICA DE INTERNACIONALIZAÇ</w:t>
      </w:r>
      <w:r>
        <w:rPr>
          <w:rFonts w:ascii="Times New Roman" w:hAnsi="Times New Roman"/>
          <w:b/>
          <w:bCs/>
          <w:sz w:val="24"/>
          <w:szCs w:val="24"/>
        </w:rPr>
        <w:t>Ã</w:t>
      </w:r>
      <w:r>
        <w:rPr>
          <w:rFonts w:ascii="Times New Roman" w:hAnsi="Times New Roman"/>
          <w:b/>
          <w:bCs/>
          <w:sz w:val="24"/>
          <w:szCs w:val="24"/>
        </w:rPr>
        <w:t>O DA U</w:t>
      </w:r>
      <w:r>
        <w:rPr>
          <w:rFonts w:ascii="Times New Roman" w:hAnsi="Times New Roman"/>
          <w:b/>
          <w:bCs/>
          <w:sz w:val="24"/>
          <w:szCs w:val="24"/>
        </w:rPr>
        <w:t xml:space="preserve">NIVERSIDADE </w:t>
      </w: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 xml:space="preserve">EDERAL DOS </w:t>
      </w:r>
      <w:r>
        <w:rPr>
          <w:rFonts w:ascii="Times New Roman" w:hAnsi="Times New Roman"/>
          <w:b/>
          <w:bCs/>
          <w:sz w:val="24"/>
          <w:szCs w:val="24"/>
        </w:rPr>
        <w:t>V</w:t>
      </w:r>
      <w:r>
        <w:rPr>
          <w:rFonts w:ascii="Times New Roman" w:hAnsi="Times New Roman"/>
          <w:b/>
          <w:bCs/>
          <w:sz w:val="24"/>
          <w:szCs w:val="24"/>
        </w:rPr>
        <w:t xml:space="preserve">ALES </w:t>
      </w:r>
      <w:r>
        <w:rPr>
          <w:rFonts w:ascii="Times New Roman" w:hAnsi="Times New Roman"/>
          <w:b/>
          <w:bCs/>
          <w:sz w:val="24"/>
          <w:szCs w:val="24"/>
        </w:rPr>
        <w:t>J</w:t>
      </w:r>
      <w:r>
        <w:rPr>
          <w:rFonts w:ascii="Times New Roman" w:hAnsi="Times New Roman"/>
          <w:b/>
          <w:bCs/>
          <w:sz w:val="24"/>
          <w:szCs w:val="24"/>
        </w:rPr>
        <w:t xml:space="preserve">EQUITINHONHA E </w:t>
      </w:r>
      <w:r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UCURI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Diamantina – MG</w:t>
      </w:r>
    </w:p>
    <w:p>
      <w:pPr>
        <w:pStyle w:val="Normal"/>
        <w:suppressAutoHyphens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Janeiro/2018</w:t>
      </w:r>
    </w:p>
    <w:p>
      <w:pPr>
        <w:pStyle w:val="Normal"/>
        <w:suppressAutoHyphens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49" w:type="dxa"/>
        <w:jc w:val="left"/>
        <w:tblInd w:w="15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6041"/>
        <w:gridCol w:w="1813"/>
      </w:tblGrid>
      <w:tr>
        <w:trPr/>
        <w:tc>
          <w:tcPr>
            <w:tcW w:w="1695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942975" cy="723900"/>
                  <wp:effectExtent l="0" t="0" r="0" b="0"/>
                  <wp:docPr id="4" name="Figura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igura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1" w:type="dxa"/>
            <w:tcBorders/>
            <w:shd w:fill="FFFFFF" w:val="clear"/>
            <w:vAlign w:val="center"/>
          </w:tcPr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MINISTÉRIO DA EDUCAÇÃO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DIRETORIA DE RELAÇÕES INTERNACIONAIS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relacoesinternacionais@ufvjm.edu.br</w:t>
            </w:r>
          </w:p>
        </w:tc>
        <w:tc>
          <w:tcPr>
            <w:tcW w:w="1813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1019175" cy="914400"/>
                  <wp:effectExtent l="0" t="0" r="0" b="0"/>
                  <wp:docPr id="5" name="Figura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igura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suppressAutoHyphens w:val="false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Í</w:t>
      </w:r>
      <w:r>
        <w:rPr>
          <w:rFonts w:ascii="Times New Roman" w:hAnsi="Times New Roman"/>
          <w:b/>
          <w:bCs/>
          <w:sz w:val="24"/>
          <w:szCs w:val="24"/>
        </w:rPr>
        <w:t>NDICE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I –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DAS DISPOSIÇÕES GERAIS</w:t>
      </w: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………………………..……..……..…</w:t>
      </w:r>
      <w:r>
        <w:rPr>
          <w:rFonts w:ascii="Times New Roman" w:hAnsi="Times New Roman"/>
          <w:b w:val="false"/>
          <w:bCs w:val="false"/>
          <w:sz w:val="24"/>
          <w:szCs w:val="24"/>
        </w:rPr>
        <w:t>3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II –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DOS OBJETIVOS</w:t>
      </w: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………………………………………….………...</w:t>
      </w:r>
      <w:r>
        <w:rPr>
          <w:rFonts w:ascii="Times New Roman" w:hAnsi="Times New Roman"/>
          <w:b w:val="false"/>
          <w:bCs w:val="false"/>
          <w:sz w:val="24"/>
          <w:szCs w:val="24"/>
        </w:rPr>
        <w:t>6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III –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DAS METAS</w:t>
      </w: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…………………………………………………….…..</w:t>
      </w:r>
      <w:r>
        <w:rPr>
          <w:rFonts w:ascii="Times New Roman" w:hAnsi="Times New Roman"/>
          <w:b w:val="false"/>
          <w:bCs w:val="false"/>
          <w:sz w:val="24"/>
          <w:szCs w:val="24"/>
        </w:rPr>
        <w:t>8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IV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– DAS DIRETRIZES</w:t>
      </w: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…………………………………………………..</w:t>
      </w:r>
      <w:r>
        <w:rPr>
          <w:rFonts w:ascii="Times New Roman" w:hAnsi="Times New Roman"/>
          <w:b w:val="false"/>
          <w:bCs w:val="false"/>
          <w:sz w:val="24"/>
          <w:szCs w:val="24"/>
        </w:rPr>
        <w:t>8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V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– DOS EIXOS ESTRATÉGICOS</w:t>
      </w: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…………………………………..…..</w:t>
      </w:r>
      <w:r>
        <w:rPr>
          <w:rFonts w:ascii="Times New Roman" w:hAnsi="Times New Roman"/>
          <w:b w:val="false"/>
          <w:bCs w:val="false"/>
          <w:sz w:val="24"/>
          <w:szCs w:val="24"/>
        </w:rPr>
        <w:t>9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VI –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DO CONSELHO DE GESTÃO DA INTERNACIONALIZAÇÃO……………………………………………………….…12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VII –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DA MOBILIDADE DE PESSOAS………………………………………………………………………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..……..</w:t>
      </w:r>
      <w:r>
        <w:rPr>
          <w:rFonts w:ascii="Times New Roman" w:hAnsi="Times New Roman"/>
          <w:b w:val="false"/>
          <w:bCs w:val="false"/>
          <w:sz w:val="24"/>
          <w:szCs w:val="24"/>
        </w:rPr>
        <w:t>12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VIII –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DO FINANCIAMENTO DAS ATIVIDADES DE INTERNACIONALIZAÇÃO………………………………………………………………………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....</w:t>
      </w:r>
      <w:r>
        <w:rPr>
          <w:rFonts w:ascii="Times New Roman" w:hAnsi="Times New Roman"/>
          <w:b w:val="false"/>
          <w:bCs w:val="false"/>
          <w:sz w:val="24"/>
          <w:szCs w:val="24"/>
        </w:rPr>
        <w:t>13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CAPÍTULO IX –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DAS DISPOSIÇÕES FINAIS………………………...</w:t>
      </w:r>
      <w:r>
        <w:rPr>
          <w:rFonts w:ascii="Times New Roman" w:hAnsi="Times New Roman"/>
          <w:b w:val="false"/>
          <w:bCs w:val="false"/>
          <w:sz w:val="24"/>
          <w:szCs w:val="24"/>
        </w:rPr>
        <w:t>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14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LISTA DE SIGLAS UTILIZADAS NO DOCUMENTO……………………….……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</w:t>
      </w:r>
      <w:r>
        <w:rPr>
          <w:rFonts w:ascii="Times New Roman" w:hAnsi="Times New Roman"/>
          <w:b w:val="false"/>
          <w:bCs w:val="false"/>
          <w:sz w:val="24"/>
          <w:szCs w:val="24"/>
        </w:rPr>
        <w:t>1</w:t>
      </w:r>
      <w:r>
        <w:rPr>
          <w:rFonts w:ascii="Times New Roman" w:hAnsi="Times New Roman"/>
          <w:b w:val="false"/>
          <w:bCs w:val="false"/>
          <w:sz w:val="24"/>
          <w:szCs w:val="24"/>
        </w:rPr>
        <w:t>9</w:t>
      </w:r>
    </w:p>
    <w:p>
      <w:pPr>
        <w:sectPr>
          <w:type w:val="nextPage"/>
          <w:pgSz w:w="11906" w:h="16838"/>
          <w:pgMar w:left="1701" w:right="1701" w:header="0" w:top="1417" w:footer="0" w:bottom="1417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DOCUMENTOS CONSULTADOS…………………………………………………...</w:t>
      </w:r>
      <w:r>
        <w:rPr>
          <w:rFonts w:ascii="Times New Roman" w:hAnsi="Times New Roman"/>
          <w:b w:val="false"/>
          <w:bCs w:val="false"/>
          <w:sz w:val="24"/>
          <w:szCs w:val="24"/>
        </w:rPr>
        <w:t>20</w:t>
      </w:r>
    </w:p>
    <w:p>
      <w:pPr>
        <w:pStyle w:val="Normal"/>
        <w:suppressAutoHyphens w:val="false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C</w:t>
      </w:r>
      <w:r>
        <w:rPr>
          <w:rFonts w:cs="Arial" w:ascii="Times New Roman" w:hAnsi="Times New Roman"/>
          <w:b/>
          <w:sz w:val="24"/>
          <w:szCs w:val="24"/>
        </w:rPr>
        <w:t>APÍTULO I</w:t>
      </w:r>
    </w:p>
    <w:p>
      <w:pPr>
        <w:pStyle w:val="Normal"/>
        <w:suppressAutoHyphens w:val="false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 w:cs="Arial"/>
          <w:b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DISPOSIÇÕES GERAIS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b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ab/>
        <w:t xml:space="preserve">1. </w:t>
      </w:r>
      <w:r>
        <w:rPr>
          <w:rFonts w:cs="Arial" w:ascii="Times New Roman" w:hAnsi="Times New Roman"/>
          <w:b/>
          <w:sz w:val="24"/>
          <w:szCs w:val="24"/>
        </w:rPr>
        <w:t>Introdução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sz w:val="24"/>
          <w:szCs w:val="24"/>
        </w:rPr>
        <w:tab/>
        <w:t>O presente documento, “Política de Internacionalização da U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 xml:space="preserve">niversidade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F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 xml:space="preserve">ederal dos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V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 xml:space="preserve">ales do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J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 xml:space="preserve">equitinhonha e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M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ucuri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”, tem por finalidade constitui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r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 xml:space="preserve">-se numa ferramenta de gestão para orientar as ações estratégicas da Diretoria de Relações Internacionais,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de forma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 xml:space="preserve"> que garantam a internacionalização como instrumento de desenvolvimento e aperfeiçoamento da formação, da pesquisa e da extensão desta IES.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b w:val="false"/>
          <w:b w:val="false"/>
          <w:bCs w:val="false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sz w:val="24"/>
          <w:szCs w:val="24"/>
        </w:rPr>
        <w:tab/>
        <w:t xml:space="preserve">Tem como fundamento primordial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 xml:space="preserve">a missão e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os valores da UFVJM, como instituição inserida numa região que demanda atenção especial para conseguir o desenvolvimento socioeconômico e cultural compatíveis com o Estado de Minas Gerais e do Brasil. Por outro lado, se propõe consolidar resultados alcançados e buscar a superação de debilidades desta IES no marco da internacionalização.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b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ab/>
        <w:t xml:space="preserve">2. </w:t>
      </w:r>
      <w:r>
        <w:rPr>
          <w:rFonts w:cs="Arial" w:ascii="Times New Roman" w:hAnsi="Times New Roman"/>
          <w:b/>
          <w:sz w:val="24"/>
          <w:szCs w:val="24"/>
        </w:rPr>
        <w:t>A globalização e seu impacto sobre a educação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ab/>
        <w:t>O processo de globalização trouxe para a educação novos atores e novos desafios. Entre outros, novos mercados se transformando em competidores no mercado do ensino superior, talentos acadêmicos absorvidos pelos mercados emergentes, e a presença de rankings que indicam, induzem e selecionam as melhores instituições de ensino superior.</w:t>
      </w:r>
    </w:p>
    <w:p>
      <w:pPr>
        <w:pStyle w:val="Corpodetexto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 w:val="false"/>
          <w:color w:val="000000"/>
          <w:sz w:val="24"/>
          <w:szCs w:val="24"/>
        </w:rPr>
        <w:tab/>
      </w: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>A nível global, e especificamente no Brasil, o Ensino Superior enfrenta hoje um conjunto de desafios, que conduzirão a fortes transformações das instituições:</w:t>
      </w:r>
    </w:p>
    <w:p>
      <w:pPr>
        <w:pStyle w:val="Corpodetexto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democratização no acesso ao conhecimento;</w:t>
      </w:r>
    </w:p>
    <w:p>
      <w:pPr>
        <w:pStyle w:val="Corpodetexto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crescente competição pela atração de estudantes;</w:t>
      </w:r>
    </w:p>
    <w:p>
      <w:pPr>
        <w:pStyle w:val="Corpodetexto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busca de financiamentos alternativos para pesquisa e formação;</w:t>
      </w:r>
    </w:p>
    <w:p>
      <w:pPr>
        <w:pStyle w:val="Corpodetexto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revolução digital;</w:t>
      </w:r>
    </w:p>
    <w:p>
      <w:pPr>
        <w:pStyle w:val="Corpodetexto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mobilidade global de estudantes e acadêmicos;</w:t>
      </w:r>
    </w:p>
    <w:p>
      <w:pPr>
        <w:pStyle w:val="Corpodetexto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pressão para uma maior interação com a sociedade;</w:t>
      </w:r>
    </w:p>
    <w:p>
      <w:pPr>
        <w:pStyle w:val="Corpodetexto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o estímulo à formação de empresas embrionarias nas IES; </w:t>
      </w:r>
    </w:p>
    <w:p>
      <w:pPr>
        <w:pStyle w:val="Corpodetexto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vinculação crescente com as empresas privadas.</w:t>
      </w:r>
    </w:p>
    <w:p>
      <w:pPr>
        <w:pStyle w:val="Corpodetexto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No Brasil, a diversidade regional e a complexidade envolvente das instituições de Ensino Superior e as crises socioeconômica e financeira (relacionadas com empregabilidade e gastos sociais) enfrentadas nos últimos anos sinalizam uma possível redução de financiamento público para educação e pesquisa.</w:t>
      </w:r>
    </w:p>
    <w:p>
      <w:pPr>
        <w:pStyle w:val="Corpodetexto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O futuro a curto e meio prazo exige a consolidação de dinâmicas coletivas de abertura à sociedade e à inovação, de partilha de informação, de participação em redes de conhecimento nacionais e internacionais.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eastAsia="MS Mincho" w:cs="Tahoma"/>
          <w:color w:val="00000A"/>
          <w:sz w:val="24"/>
          <w:szCs w:val="24"/>
          <w:lang w:val="pt-BR" w:eastAsia="en-US" w:bidi="ar-SA"/>
        </w:rPr>
      </w:pPr>
      <w:r>
        <w:rPr>
          <w:rFonts w:eastAsia="MS Mincho" w:cs="Tahoma" w:ascii="Times New Roman" w:hAnsi="Times New Roman"/>
          <w:color w:val="00000A"/>
          <w:sz w:val="24"/>
          <w:szCs w:val="24"/>
          <w:lang w:val="pt-BR" w:eastAsia="en-US" w:bidi="ar-SA"/>
        </w:rPr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ab/>
        <w:t>3</w:t>
      </w:r>
      <w:r>
        <w:rPr>
          <w:rFonts w:cs="Arial" w:ascii="Times New Roman" w:hAnsi="Times New Roman"/>
          <w:b/>
          <w:sz w:val="24"/>
          <w:szCs w:val="24"/>
        </w:rPr>
        <w:t xml:space="preserve">. </w:t>
      </w:r>
      <w:r>
        <w:rPr>
          <w:rFonts w:cs="Arial" w:ascii="Times New Roman" w:hAnsi="Times New Roman"/>
          <w:b/>
          <w:sz w:val="24"/>
          <w:szCs w:val="24"/>
        </w:rPr>
        <w:t>A internacionalização no contexto do Plano Nacional de Educação (PNE)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/>
      </w:pPr>
      <w:r>
        <w:rPr>
          <w:rFonts w:cs="Arial" w:ascii="Times New Roman" w:hAnsi="Times New Roman"/>
          <w:b w:val="false"/>
          <w:bCs w:val="false"/>
          <w:sz w:val="24"/>
          <w:szCs w:val="24"/>
        </w:rPr>
        <w:tab/>
        <w:t xml:space="preserve">A lei nº </w:t>
      </w:r>
      <w:hyperlink r:id="rId7">
        <w:r>
          <w:rPr>
            <w:rStyle w:val="Nfaseforte"/>
            <w:rFonts w:cs="Arial" w:ascii="Times New Roman" w:hAnsi="Times New Roman"/>
            <w:b w:val="false"/>
            <w:bCs w:val="false"/>
            <w:i w:val="false"/>
            <w:caps w:val="false"/>
            <w:smallCaps w:val="false"/>
            <w:color w:val="000000"/>
            <w:spacing w:val="0"/>
            <w:sz w:val="24"/>
            <w:szCs w:val="24"/>
            <w:u w:val="none"/>
          </w:rPr>
          <w:t>13.005, de 25 de junho de 2014</w:t>
        </w:r>
      </w:hyperlink>
      <w:r>
        <w:rPr>
          <w:rStyle w:val="Nfaseforte"/>
          <w:rFonts w:cs="Arial" w:ascii="Times New Roman" w:hAnsi="Times New Roman"/>
          <w:b w:val="false"/>
          <w:bCs w:val="false"/>
          <w:i w:val="false"/>
          <w:caps w:val="false"/>
          <w:smallCaps w:val="false"/>
          <w:color w:val="000080"/>
          <w:spacing w:val="0"/>
          <w:sz w:val="24"/>
          <w:szCs w:val="24"/>
          <w:u w:val="none"/>
        </w:rPr>
        <w:t xml:space="preserve">, </w:t>
      </w:r>
      <w:r>
        <w:rPr>
          <w:rFonts w:cs="Arial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com vigência por 10 (dez) anos, </w:t>
      </w: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estabelece como metas estratégicas do PNE e orientações conceituais para buscar a internacionalização da educação o disposto nos artigos a seguir:</w:t>
      </w:r>
    </w:p>
    <w:p>
      <w:pPr>
        <w:pStyle w:val="Corpodetexto"/>
        <w:widowControl/>
        <w:spacing w:lineRule="auto" w:line="360" w:before="0" w:after="0"/>
        <w:ind w:left="2268" w:right="0" w:hanging="0"/>
        <w:jc w:val="both"/>
        <w:rPr>
          <w:rFonts w:ascii="Times New Roman" w:hAnsi="Times New Roman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14.9) consolidar programas, projetos e ações que objetivem a internacionalização da pesquisa e da pós-graduação brasileiras, incentivando a atuação em rede e o fortalecimento de grupos de pesquisa;</w:t>
      </w:r>
    </w:p>
    <w:p>
      <w:pPr>
        <w:pStyle w:val="Corpodetexto"/>
        <w:widowControl/>
        <w:spacing w:lineRule="auto" w:line="360" w:before="0" w:after="0"/>
        <w:ind w:left="2268" w:right="0" w:hanging="0"/>
        <w:jc w:val="both"/>
        <w:rPr>
          <w:rFonts w:ascii="Times New Roman" w:hAnsi="Times New Roman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14.10) promover o intercâmbio científico e tecnológico, nacional e internacional, entre as instituições de ensino, pesquisa e extensão;</w:t>
      </w:r>
    </w:p>
    <w:p>
      <w:pPr>
        <w:pStyle w:val="Normal"/>
        <w:widowControl/>
        <w:spacing w:lineRule="auto" w:line="360" w:before="0" w:after="0"/>
        <w:ind w:left="2268" w:right="0" w:hanging="0"/>
        <w:jc w:val="both"/>
        <w:rPr>
          <w:rFonts w:ascii="Times New Roman" w:hAnsi="Times New Roman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14.15) estimular a pesquisa aplicada, no âmbito das IES e das ICTs, de modo a incrementar a inovação e a produção e registro de patentes.</w:t>
      </w:r>
    </w:p>
    <w:p>
      <w:pPr>
        <w:pStyle w:val="Normal"/>
        <w:widowControl/>
        <w:spacing w:lineRule="auto" w:line="360" w:before="0" w:after="0"/>
        <w:ind w:left="2268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[...]</w:t>
      </w:r>
    </w:p>
    <w:p>
      <w:pPr>
        <w:pStyle w:val="Normal"/>
        <w:widowControl/>
        <w:suppressAutoHyphens w:val="false"/>
        <w:spacing w:lineRule="auto" w:line="360" w:before="0" w:after="0"/>
        <w:ind w:left="2268" w:right="0" w:hanging="0"/>
        <w:jc w:val="both"/>
        <w:rPr>
          <w:rFonts w:ascii="Times New Roman" w:hAnsi="Times New Roman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15.12) instituir programa de concessão de bolsas de estudos para que os professores de idiomas das escolas públicas de educação básica realizem estudos de imersão e aperfeiçoamento nos países que tenham como idioma nativo as línguas que lecionem.</w:t>
      </w:r>
    </w:p>
    <w:p>
      <w:pPr>
        <w:pStyle w:val="Normal"/>
        <w:widowControl/>
        <w:suppressAutoHyphens w:val="false"/>
        <w:spacing w:lineRule="auto" w:line="360" w:before="0" w:after="0"/>
        <w:ind w:left="2268" w:right="0" w:hanging="0"/>
        <w:jc w:val="both"/>
        <w:rPr>
          <w:rFonts w:ascii="Times New Roman" w:hAnsi="Times New Roman" w:eastAsia="MS Mincho" w:cs="Tahoma"/>
          <w:color w:val="00000A"/>
          <w:sz w:val="24"/>
          <w:szCs w:val="24"/>
          <w:lang w:val="pt-BR" w:eastAsia="en-US" w:bidi="ar-SA"/>
        </w:rPr>
      </w:pPr>
      <w:r>
        <w:rPr>
          <w:rFonts w:eastAsia="MS Mincho" w:cs="Tahoma" w:ascii="Times New Roman" w:hAnsi="Times New Roman"/>
          <w:color w:val="00000A"/>
          <w:sz w:val="24"/>
          <w:szCs w:val="24"/>
          <w:lang w:val="pt-BR" w:eastAsia="en-US" w:bidi="ar-SA"/>
        </w:rPr>
      </w:r>
    </w:p>
    <w:p>
      <w:pPr>
        <w:pStyle w:val="Normal"/>
        <w:widowControl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ab/>
        <w:t>4</w:t>
      </w:r>
      <w:r>
        <w:rPr>
          <w:rFonts w:cs="Arial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. </w:t>
      </w:r>
      <w:r>
        <w:rPr>
          <w:rFonts w:cs="Arial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A internacionalização no contexto do Plano Nacional de Pós-Graduação</w:t>
      </w:r>
    </w:p>
    <w:p>
      <w:pPr>
        <w:pStyle w:val="Normal"/>
        <w:widowControl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ab/>
        <w:t>O Plano Nacional de Pós-Graduação (PNPG) 2011-2020 estabeleceu como objetivo definir novas diretrizes, estratégias e metas para dar continuidade e avançar nas propostas para política de pós-graduação e pesquisa no Brasil.</w:t>
      </w:r>
    </w:p>
    <w:p>
      <w:pPr>
        <w:pStyle w:val="Normal"/>
        <w:widowControl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ab/>
        <w:t>O PNPG destaca o papel protagonista e o potencial de liderança que o Brasil tem dentro da América Latina, destacando-se junto a outros países como Argentina e México.</w:t>
      </w:r>
    </w:p>
    <w:p>
      <w:pPr>
        <w:pStyle w:val="Normal"/>
        <w:widowControl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ab/>
        <w:t>Desde 2017 a CAPES está realizando o processo de Planejamento Estratégico de Internacionalização na Universidade Brasileira, que tem como objetivo subsidiar e dar apoio ao processo de internacionalização da pesquisa e da pós-graduação no Brasil. O programa institucional Capes-PrInt tem como objetivo a construção de Universidades de Excelência.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360" w:before="0" w:after="0"/>
        <w:ind w:left="0" w:right="0" w:hanging="0"/>
        <w:contextualSpacing/>
        <w:jc w:val="both"/>
        <w:rPr>
          <w:rFonts w:ascii="Times New Roman" w:hAnsi="Times New Roman" w:eastAsia="MS Mincho" w:cs="Arial"/>
          <w:b/>
          <w:b/>
          <w:color w:val="00000A"/>
          <w:sz w:val="24"/>
          <w:szCs w:val="24"/>
          <w:lang w:val="pt-BR" w:eastAsia="en-US" w:bidi="ar-SA"/>
        </w:rPr>
      </w:pPr>
      <w:r>
        <w:rPr>
          <w:rFonts w:eastAsia="MS Mincho" w:cs="Arial" w:ascii="Times New Roman" w:hAnsi="Times New Roman"/>
          <w:b/>
          <w:color w:val="00000A"/>
          <w:sz w:val="24"/>
          <w:szCs w:val="24"/>
          <w:lang w:val="pt-BR" w:eastAsia="en-US" w:bidi="ar-SA"/>
        </w:rPr>
      </w:r>
    </w:p>
    <w:p>
      <w:pPr>
        <w:pStyle w:val="ListParagraph"/>
        <w:widowControl/>
        <w:numPr>
          <w:ilvl w:val="4"/>
          <w:numId w:val="2"/>
        </w:numPr>
        <w:suppressAutoHyphens w:val="false"/>
        <w:overflowPunct w:val="true"/>
        <w:bidi w:val="0"/>
        <w:spacing w:lineRule="auto" w:line="360" w:before="0" w:after="0"/>
        <w:ind w:left="0" w:right="0" w:firstLine="73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5</w:t>
      </w:r>
      <w:r>
        <w:rPr>
          <w:rFonts w:cs="Arial" w:ascii="Times New Roman" w:hAnsi="Times New Roman"/>
          <w:b/>
          <w:sz w:val="24"/>
          <w:szCs w:val="24"/>
        </w:rPr>
        <w:t xml:space="preserve">. </w:t>
      </w:r>
      <w:r>
        <w:rPr>
          <w:rFonts w:cs="Arial" w:ascii="Times New Roman" w:hAnsi="Times New Roman"/>
          <w:b/>
          <w:sz w:val="24"/>
          <w:szCs w:val="24"/>
        </w:rPr>
        <w:t>A importância da internacionalização e da cooperação internacional para a educação e para a UFVJM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ab/>
        <w:t xml:space="preserve">Historicamente a UFVJM sempre esteve envolvida em projetos e atividades de internacionalização, por um lado recebendo alunos do PEC-G na antiga FAFEOD, assim como estabelecendo laços acadêmicos por parte de pesquisadores e docentes que estudaram no exterior. </w:t>
      </w:r>
    </w:p>
    <w:p>
      <w:pPr>
        <w:pStyle w:val="Normal"/>
        <w:suppressAutoHyphens w:val="false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ab/>
        <w:t>Atualmente a UFVJM tem ampliado o foco da internacionalização como um instrumento de aperfeiçoamento acadêmico, assim como uma oportunidade de conhecimento de outas culturas e contribuição dessa construção global que impõem hoje as sociedades modernas, atendendo orientações do MEC/SESu.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ab/>
      </w:r>
      <w:r>
        <w:rPr>
          <w:rFonts w:cs="Arial" w:ascii="Times New Roman" w:hAnsi="Times New Roman"/>
          <w:color w:val="000000"/>
          <w:sz w:val="24"/>
          <w:szCs w:val="24"/>
        </w:rPr>
        <w:t>Com a instituição de um Plano de Desenvolvimento Institucional na UFVJM,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ficou estabelecido que o objetivo fundamental da internacionalização nesta IES seria aumentar a qualidade dos cursos de graduação e pós-graduação através do relacionamento com instituições de reconhecida competência e motivar a participação em redes de pesquisa internacionais por meio de parcerias, adotando como marco de referência um processo de internacionalização proativa.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Até o ano 2006 não existia uma área específica de assessoria internacional e as atividades de internacionalização se realizavam por meio da Reitoria. 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partir da incorporação da, inicialmente, Assessoria de Relações Internacionais, posteriormente transformada em Diretoria de Ralações Internacionais, foi possível orientar as atividades em eixos estratégicos a seguir: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Fortalecimento das relações internacionais e o ensino de idiomas;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Participação da UFVJM em redes;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Participação da UFVJM em feiras internacionais;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Implementação de programas de mobilidades;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Apoio à assinatura de acordos de cooperação;</w:t>
      </w:r>
    </w:p>
    <w:p>
      <w:pPr>
        <w:pStyle w:val="Normal"/>
        <w:numPr>
          <w:ilvl w:val="0"/>
          <w:numId w:val="3"/>
        </w:numPr>
        <w:spacing w:lineRule="auto" w:line="36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Apoio ao ensino de idiomas. 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Style w:val="Fontstyle01"/>
          <w:rFonts w:ascii="Times New Roman" w:hAnsi="Times New Roman"/>
          <w:sz w:val="24"/>
          <w:szCs w:val="24"/>
        </w:rPr>
        <w:tab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Style w:val="Fontstyle01"/>
          <w:rFonts w:ascii="Times New Roman" w:hAnsi="Times New Roman"/>
          <w:sz w:val="24"/>
          <w:szCs w:val="24"/>
        </w:rPr>
        <w:tab/>
        <w:t xml:space="preserve">O avanço foi significativo </w:t>
      </w:r>
      <w:r>
        <w:rPr>
          <w:rStyle w:val="Fontstyle01"/>
          <w:rFonts w:ascii="Times New Roman" w:hAnsi="Times New Roman"/>
          <w:sz w:val="24"/>
          <w:szCs w:val="24"/>
        </w:rPr>
        <w:t xml:space="preserve">no </w:t>
      </w:r>
      <w:r>
        <w:rPr>
          <w:rStyle w:val="Fontstyle01"/>
          <w:rFonts w:ascii="Times New Roman" w:hAnsi="Times New Roman"/>
          <w:sz w:val="24"/>
          <w:szCs w:val="24"/>
        </w:rPr>
        <w:t xml:space="preserve">número de convênios firmados </w:t>
      </w:r>
      <w:r>
        <w:rPr>
          <w:rStyle w:val="Fontstyle01"/>
          <w:rFonts w:ascii="Times New Roman" w:hAnsi="Times New Roman"/>
          <w:sz w:val="24"/>
          <w:szCs w:val="24"/>
        </w:rPr>
        <w:t xml:space="preserve">com instituições de ensino superior estrangeiras, assim como </w:t>
      </w:r>
      <w:r>
        <w:rPr>
          <w:rStyle w:val="Fontstyle01"/>
          <w:rFonts w:ascii="Times New Roman" w:hAnsi="Times New Roman"/>
          <w:sz w:val="24"/>
          <w:szCs w:val="24"/>
        </w:rPr>
        <w:t xml:space="preserve">de discentes enviados ao exterior e estudantes estrangeiros recebidos na instituição. </w:t>
      </w:r>
      <w:r>
        <w:rPr>
          <w:rStyle w:val="Fontstyle01"/>
          <w:rFonts w:ascii="Times New Roman" w:hAnsi="Times New Roman"/>
          <w:sz w:val="24"/>
          <w:szCs w:val="24"/>
        </w:rPr>
        <w:t>Entretanto, após uma análise do andamento das relações e fluxos dos diferentes setores da UFVJM pôde-se constatar que no domínio da internacionalização desta IES existe uma grande diversidade de atividades isoladas.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Style w:val="Fontstyle01"/>
          <w:rFonts w:ascii="Times New Roman" w:hAnsi="Times New Roman"/>
          <w:color w:val="000000"/>
          <w:sz w:val="24"/>
          <w:szCs w:val="24"/>
        </w:rPr>
        <w:tab/>
      </w:r>
      <w:r>
        <w:rPr>
          <w:rStyle w:val="Fontstyle01"/>
          <w:rFonts w:ascii="Times New Roman" w:hAnsi="Times New Roman"/>
          <w:sz w:val="24"/>
          <w:szCs w:val="24"/>
        </w:rPr>
        <w:t>Quando tomado isoladamente o desempenho de cada um deles (PROGRAD, PRPPG, ICT, EAD e Centro de Línguas e Cultura), considera-se que o conjunto de ações tem uma avaliação</w:t>
      </w: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Style w:val="Fontstyle01"/>
          <w:rFonts w:ascii="Times New Roman" w:hAnsi="Times New Roman"/>
          <w:sz w:val="24"/>
          <w:szCs w:val="24"/>
        </w:rPr>
        <w:t xml:space="preserve">positiva. Entretanto a DRI reconhece que seria possível avançar muito mais se houvesse uma sistematização das informações, o que poderia conduzir a um maior impacto no propósito de internacionalização desta IES. </w:t>
      </w:r>
      <w:r>
        <w:rPr>
          <w:rStyle w:val="Fontstyle01"/>
          <w:rFonts w:ascii="Times New Roman" w:hAnsi="Times New Roman"/>
          <w:sz w:val="24"/>
          <w:szCs w:val="24"/>
        </w:rPr>
        <w:t>Portanto, a integração interna dos setores ligados à internacionalização com a DRI e a sistematização das informações constituem desafios a serem superados no curto e médio prazos.</w:t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 w:eastAsia="MS Mincho" w:cs="Tahoma"/>
          <w:b/>
          <w:b/>
          <w:bCs/>
          <w:color w:val="00000A"/>
          <w:sz w:val="24"/>
          <w:szCs w:val="24"/>
          <w:lang w:val="pt-BR" w:eastAsia="en-US" w:bidi="ar-SA"/>
        </w:rPr>
      </w:pPr>
      <w:r>
        <w:rPr>
          <w:rFonts w:eastAsia="MS Mincho" w:cs="Tahoma" w:ascii="Times New Roman" w:hAnsi="Times New Roman"/>
          <w:b/>
          <w:bCs/>
          <w:color w:val="00000A"/>
          <w:sz w:val="24"/>
          <w:szCs w:val="24"/>
          <w:lang w:val="pt-BR" w:eastAsia="en-US" w:bidi="ar-SA"/>
        </w:rPr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 w:eastAsia="MS Mincho" w:cs="Tahoma"/>
          <w:color w:val="00000A"/>
          <w:sz w:val="24"/>
          <w:szCs w:val="24"/>
          <w:lang w:val="pt-BR" w:eastAsia="en-US" w:bidi="ar-SA"/>
        </w:rPr>
      </w:pPr>
      <w:r>
        <w:rPr>
          <w:rFonts w:eastAsia="MS Mincho" w:cs="Tahoma" w:ascii="Times New Roman" w:hAnsi="Times New Roman"/>
          <w:b/>
          <w:bCs/>
          <w:color w:val="00000A"/>
          <w:sz w:val="24"/>
          <w:szCs w:val="24"/>
          <w:lang w:val="pt-BR" w:eastAsia="en-US" w:bidi="ar-SA"/>
        </w:rPr>
        <w:t>CAP</w:t>
      </w:r>
      <w:r>
        <w:rPr>
          <w:rFonts w:eastAsia="MS Mincho" w:cs="Tahoma" w:ascii="Times New Roman" w:hAnsi="Times New Roman"/>
          <w:b/>
          <w:bCs/>
          <w:color w:val="00000A"/>
          <w:sz w:val="24"/>
          <w:szCs w:val="24"/>
          <w:lang w:val="pt-BR" w:eastAsia="en-US" w:bidi="ar-SA"/>
        </w:rPr>
        <w:t>Í</w:t>
      </w:r>
      <w:r>
        <w:rPr>
          <w:rFonts w:eastAsia="MS Mincho" w:cs="Tahoma" w:ascii="Times New Roman" w:hAnsi="Times New Roman"/>
          <w:b/>
          <w:bCs/>
          <w:color w:val="00000A"/>
          <w:sz w:val="24"/>
          <w:szCs w:val="24"/>
          <w:lang w:val="pt-BR" w:eastAsia="en-US" w:bidi="ar-SA"/>
        </w:rPr>
        <w:t xml:space="preserve">TULO </w:t>
      </w:r>
      <w:r>
        <w:rPr>
          <w:rFonts w:eastAsia="MS Mincho" w:cs="Tahoma" w:ascii="Times New Roman" w:hAnsi="Times New Roman"/>
          <w:b/>
          <w:bCs/>
          <w:color w:val="00000A"/>
          <w:sz w:val="24"/>
          <w:szCs w:val="24"/>
          <w:lang w:val="pt-BR" w:eastAsia="en-US" w:bidi="ar-SA"/>
        </w:rPr>
        <w:t>II</w:t>
      </w:r>
    </w:p>
    <w:p>
      <w:pPr>
        <w:pStyle w:val="ListParagraph"/>
        <w:numPr>
          <w:ilvl w:val="0"/>
          <w:numId w:val="2"/>
        </w:numPr>
        <w:bidi w:val="0"/>
        <w:spacing w:lineRule="auto" w:line="360" w:before="0" w:after="0"/>
        <w:ind w:left="0" w:right="0" w:hanging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 OBJETIVOS</w:t>
      </w:r>
    </w:p>
    <w:p>
      <w:pPr>
        <w:pStyle w:val="ListParagraph"/>
        <w:numPr>
          <w:ilvl w:val="0"/>
          <w:numId w:val="2"/>
        </w:numPr>
        <w:bidi w:val="0"/>
        <w:spacing w:lineRule="auto" w:line="360" w:before="0" w:after="0"/>
        <w:ind w:left="0" w:right="0" w:hanging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spacing w:lineRule="auto" w:line="360" w:before="0" w:after="0"/>
        <w:ind w:left="0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 w:val="false"/>
          <w:sz w:val="24"/>
          <w:szCs w:val="24"/>
        </w:rPr>
        <w:tab/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A internacionalização como instrumento de aperfeiçoamento acadêmico desta IES está presente desde o primeiro alinhamento estratégico efetuado para o período 2009-2013.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ab/>
        <w:t>No PDI 2017-2021 a Diretoria de Relações Internacionais estabeleceu como objetivos:</w:t>
      </w:r>
    </w:p>
    <w:p>
      <w:pPr>
        <w:pStyle w:val="Padro"/>
        <w:numPr>
          <w:ilvl w:val="0"/>
          <w:numId w:val="4"/>
        </w:numPr>
        <w:tabs>
          <w:tab w:val="left" w:pos="0" w:leader="none"/>
          <w:tab w:val="left" w:pos="707" w:leader="none"/>
          <w:tab w:val="left" w:pos="1414" w:leader="none"/>
          <w:tab w:val="left" w:pos="2122" w:leader="none"/>
          <w:tab w:val="left" w:pos="2830" w:leader="none"/>
          <w:tab w:val="left" w:pos="3537" w:leader="none"/>
          <w:tab w:val="left" w:pos="4245" w:leader="none"/>
          <w:tab w:val="left" w:pos="4952" w:leader="none"/>
          <w:tab w:val="left" w:pos="5660" w:leader="none"/>
          <w:tab w:val="left" w:pos="6367" w:leader="none"/>
          <w:tab w:val="left" w:pos="7075" w:leader="none"/>
          <w:tab w:val="left" w:pos="7782" w:leader="none"/>
          <w:tab w:val="left" w:pos="8490" w:leader="none"/>
          <w:tab w:val="left" w:pos="9197" w:leader="none"/>
          <w:tab w:val="left" w:pos="9905" w:leader="none"/>
          <w:tab w:val="left" w:pos="10612" w:leader="none"/>
          <w:tab w:val="left" w:pos="11320" w:leader="none"/>
          <w:tab w:val="left" w:pos="12027" w:leader="none"/>
          <w:tab w:val="left" w:pos="12735" w:leader="none"/>
          <w:tab w:val="left" w:pos="13442" w:leader="none"/>
          <w:tab w:val="left" w:pos="14150" w:leader="none"/>
        </w:tabs>
        <w:bidi w:val="0"/>
        <w:spacing w:lineRule="auto" w:line="360" w:before="0" w:after="0"/>
        <w:jc w:val="both"/>
        <w:rPr>
          <w:rFonts w:ascii="Times New Roman" w:hAnsi="Times New Roman" w:cs="Times New Roman"/>
          <w:b w:val="false"/>
          <w:b w:val="false"/>
          <w:color w:val="000000"/>
          <w:sz w:val="24"/>
          <w:szCs w:val="24"/>
        </w:rPr>
      </w:pPr>
      <w:r>
        <w:rPr>
          <w:rFonts w:cs="Times New Roman" w:ascii="Times New Roman" w:hAnsi="Times New Roman"/>
          <w:b w:val="false"/>
          <w:color w:val="000000"/>
          <w:sz w:val="24"/>
          <w:szCs w:val="24"/>
        </w:rPr>
        <w:t xml:space="preserve">Consolidar o ensino de uma segunda língua </w:t>
      </w:r>
      <w:r>
        <w:rPr>
          <w:rFonts w:cs="Times New Roman" w:ascii="Times New Roman" w:hAnsi="Times New Roman"/>
          <w:b w:val="false"/>
          <w:color w:val="000000"/>
          <w:sz w:val="24"/>
          <w:szCs w:val="24"/>
        </w:rPr>
        <w:t xml:space="preserve">por meio </w:t>
      </w:r>
      <w:r>
        <w:rPr>
          <w:rFonts w:cs="Times New Roman" w:ascii="Times New Roman" w:hAnsi="Times New Roman"/>
          <w:b w:val="false"/>
          <w:color w:val="000000"/>
          <w:sz w:val="24"/>
          <w:szCs w:val="24"/>
        </w:rPr>
        <w:t>do Centro de Línguas e Cultura (CELIC);</w:t>
      </w:r>
    </w:p>
    <w:p>
      <w:pPr>
        <w:pStyle w:val="Normal"/>
        <w:widowControl/>
        <w:numPr>
          <w:ilvl w:val="0"/>
          <w:numId w:val="4"/>
        </w:numPr>
        <w:bidi w:val="0"/>
        <w:spacing w:lineRule="auto" w:line="360" w:before="0" w:after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Assistir a Reitoria da UFVJM na formulação e análise de propostas de cooperação de organismos internacionais, bilaterais e multilaterais, no campo da educação superior, que assegurem o crescimento institucional e a qualificação das atividades acadêmicas; </w:t>
      </w:r>
    </w:p>
    <w:p>
      <w:pPr>
        <w:pStyle w:val="Normal"/>
        <w:widowControl/>
        <w:numPr>
          <w:ilvl w:val="0"/>
          <w:numId w:val="4"/>
        </w:numPr>
        <w:bidi w:val="0"/>
        <w:spacing w:lineRule="auto" w:line="360" w:before="0" w:after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Planejar, orientar, promover e coordenar o processo de planejamento de programas, projetos e atividades de cooperação internacional no campo da educação superior, em articulação com as Pró-reitorias de Graduação, Pesquisa e Pós-Graduação, de Extensão, e de Assistência Comunitária e Estudantil;</w:t>
      </w:r>
    </w:p>
    <w:p>
      <w:pPr>
        <w:pStyle w:val="Normal"/>
        <w:widowControl/>
        <w:numPr>
          <w:ilvl w:val="0"/>
          <w:numId w:val="4"/>
        </w:numPr>
        <w:bidi w:val="0"/>
        <w:spacing w:lineRule="auto" w:line="360" w:before="0" w:after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Divulgar programas de mobilidade acadêmica e oportunidades de bolsas de estudos junto à Diretora de Comunicação;</w:t>
      </w:r>
    </w:p>
    <w:p>
      <w:pPr>
        <w:pStyle w:val="Normal"/>
        <w:widowControl/>
        <w:numPr>
          <w:ilvl w:val="0"/>
          <w:numId w:val="4"/>
        </w:numPr>
        <w:bidi w:val="0"/>
        <w:spacing w:lineRule="auto" w:line="360" w:before="0" w:after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Fortalecer as relações com instituições que destinam recursos a projetos internacionais com o Brasil.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 UFVJM, por meio da Diretoria de Relações Internacionais, tem focado na internacionalização como forma de criar uma relação de cooperação entre a sua comunidade científica e a comunidade internacional, gerando oportunidades de conhecimento de outras culturas, fomentando o desenvolvimento da pesquisa, da pós-graduação e da graduação, além de propiciar a seus docentes e discentes a oportunidade de realização de mobilidade internacional. Esta pode gerar o aprofundamento de seus conhecimentos, bem como trazer experiências para a própria Universidade. 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Para tanto, a UFVJM tem estabelecido parcerias com diversas universidades internacionais por meio da adesão a programas de incentivo à internacionalização da educação superior em áreas estratégicas, tais como: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Programa Ciência Sem Fronteiras; 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Programa </w:t>
      </w:r>
      <w:r>
        <w:rPr>
          <w:rFonts w:ascii="Times New Roman" w:hAnsi="Times New Roman"/>
          <w:sz w:val="24"/>
          <w:szCs w:val="24"/>
        </w:rPr>
        <w:t xml:space="preserve">Idiomas Sem Fronteiras; 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Programa BRAFITEC;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Programa BRANETEC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Erasmus Mundus (Projeto Babel)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Erasmus+ (Projeto ceiA3)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Rede RUNCOB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Rede Patagônica de Univers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dades Argentinas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Rede Graal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AIESAD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Partners of the Americas (University of Colorado)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AULP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GCUB</w:t>
      </w:r>
    </w:p>
    <w:p>
      <w:pPr>
        <w:pStyle w:val="ListParagraph"/>
        <w:spacing w:lineRule="auto" w:line="360" w:before="0" w:after="0"/>
        <w:ind w:left="0" w:right="0" w:hanging="0"/>
        <w:contextualSpacing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ListParagraph"/>
        <w:spacing w:lineRule="auto" w:line="360" w:before="0" w:after="0"/>
        <w:ind w:left="0" w:right="0" w:hanging="0"/>
        <w:contextualSpacing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AP</w:t>
      </w:r>
      <w:r>
        <w:rPr>
          <w:rFonts w:ascii="Times New Roman" w:hAnsi="Times New Roman"/>
          <w:b/>
          <w:bCs/>
          <w:sz w:val="24"/>
          <w:szCs w:val="24"/>
        </w:rPr>
        <w:t>Í</w:t>
      </w:r>
      <w:r>
        <w:rPr>
          <w:rFonts w:ascii="Times New Roman" w:hAnsi="Times New Roman"/>
          <w:b/>
          <w:bCs/>
          <w:sz w:val="24"/>
          <w:szCs w:val="24"/>
        </w:rPr>
        <w:t>TULO I</w:t>
      </w:r>
      <w:r>
        <w:rPr>
          <w:rFonts w:ascii="Times New Roman" w:hAnsi="Times New Roman"/>
          <w:b/>
          <w:bCs/>
          <w:sz w:val="24"/>
          <w:szCs w:val="24"/>
        </w:rPr>
        <w:t>II</w:t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DAS METAS 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Ampliar em 10% as relações internacionais da UFVJM; 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Contribuir para que 50% dos egressos da UFVJM estejam mais preparados para a atuação no mundo globalizado;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Desenvolver projetos e participação em programas de pesquisa e de extensão em parceria com instituições internacionais em 20%;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Mapear a inserção dos egressos da UFVJM na comunidade internacional;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Aumentar a participação em Consórcios de IES em 20%, nacionais e internacionais, relacionados à pesquisa e à formação acadêmica;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Participar em Redes de Cooperação Internacional (Pesquisa e Formação) 10%;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Utilizar a tecnologia de EAD para dar capilaridade às relações internacionais no campo da pesquisa e do ensino de idiomas (20%).</w:t>
      </w:r>
    </w:p>
    <w:p>
      <w:pPr>
        <w:pStyle w:val="ListParagraph"/>
        <w:numPr>
          <w:ilvl w:val="0"/>
          <w:numId w:val="0"/>
        </w:numPr>
        <w:spacing w:lineRule="auto" w:line="360" w:before="0" w:after="0"/>
        <w:ind w:left="1440" w:right="0" w:hanging="0"/>
        <w:contextualSpacing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ListParagraph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 w:val="false"/>
          <w:sz w:val="24"/>
          <w:szCs w:val="24"/>
        </w:rPr>
      </w:pPr>
      <w:r>
        <w:rPr>
          <w:rFonts w:ascii="Times New Roman" w:hAnsi="Times New Roman"/>
          <w:b/>
          <w:bCs w:val="false"/>
          <w:sz w:val="24"/>
          <w:szCs w:val="24"/>
        </w:rPr>
        <w:t>CAPÍTULO I</w:t>
      </w:r>
      <w:r>
        <w:rPr>
          <w:rFonts w:ascii="Times New Roman" w:hAnsi="Times New Roman"/>
          <w:b/>
          <w:bCs w:val="false"/>
          <w:sz w:val="24"/>
          <w:szCs w:val="24"/>
        </w:rPr>
        <w:t>V</w:t>
      </w:r>
    </w:p>
    <w:p>
      <w:pPr>
        <w:pStyle w:val="BodyTextIndent3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DAS DIRETRIZES</w:t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360" w:before="57" w:after="57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</w:rPr>
        <w:t>São diretrizes desta Política de Internacionalização:</w:t>
      </w:r>
    </w:p>
    <w:p>
      <w:pPr>
        <w:pStyle w:val="Normal"/>
        <w:numPr>
          <w:ilvl w:val="0"/>
          <w:numId w:val="8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o</w:t>
      </w:r>
      <w:r>
        <w:rPr>
          <w:rFonts w:ascii="Times New Roman" w:hAnsi="Times New Roman"/>
          <w:sz w:val="24"/>
          <w:szCs w:val="24"/>
        </w:rPr>
        <w:t xml:space="preserve"> norteamento das ações de internacionalização pelo princípio da reciprocidade;</w:t>
      </w:r>
    </w:p>
    <w:p>
      <w:pPr>
        <w:pStyle w:val="Normal"/>
        <w:numPr>
          <w:ilvl w:val="0"/>
          <w:numId w:val="8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a</w:t>
      </w:r>
      <w:r>
        <w:rPr>
          <w:rFonts w:ascii="Times New Roman" w:hAnsi="Times New Roman"/>
          <w:sz w:val="24"/>
          <w:szCs w:val="24"/>
        </w:rPr>
        <w:t xml:space="preserve"> divulgação, junto à comunidade internacional, das áreas de produção de conhecimento da UF</w:t>
      </w:r>
      <w:r>
        <w:rPr>
          <w:rFonts w:ascii="Times New Roman" w:hAnsi="Times New Roman"/>
          <w:sz w:val="24"/>
          <w:szCs w:val="24"/>
        </w:rPr>
        <w:t>VJM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8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o</w:t>
      </w:r>
      <w:r>
        <w:rPr>
          <w:rFonts w:ascii="Times New Roman" w:hAnsi="Times New Roman"/>
          <w:sz w:val="24"/>
          <w:szCs w:val="24"/>
        </w:rPr>
        <w:t xml:space="preserve"> estabelecimento de parcerias </w:t>
      </w:r>
      <w:r>
        <w:rPr>
          <w:rFonts w:ascii="Times New Roman" w:hAnsi="Times New Roman"/>
          <w:sz w:val="24"/>
          <w:szCs w:val="24"/>
        </w:rPr>
        <w:t xml:space="preserve">nacionais e </w:t>
      </w:r>
      <w:r>
        <w:rPr>
          <w:rFonts w:ascii="Times New Roman" w:hAnsi="Times New Roman"/>
          <w:sz w:val="24"/>
          <w:szCs w:val="24"/>
        </w:rPr>
        <w:t>internacionais, como forma de aprender com outras realidades e levar o conhecimento produzido na UF</w:t>
      </w:r>
      <w:r>
        <w:rPr>
          <w:rFonts w:ascii="Times New Roman" w:hAnsi="Times New Roman"/>
          <w:sz w:val="24"/>
          <w:szCs w:val="24"/>
        </w:rPr>
        <w:t>VJM</w:t>
      </w:r>
      <w:r>
        <w:rPr>
          <w:rFonts w:ascii="Times New Roman" w:hAnsi="Times New Roman"/>
          <w:sz w:val="24"/>
          <w:szCs w:val="24"/>
        </w:rPr>
        <w:t xml:space="preserve"> a outras instituições </w:t>
      </w:r>
      <w:r>
        <w:rPr>
          <w:rFonts w:ascii="Times New Roman" w:hAnsi="Times New Roman"/>
          <w:sz w:val="24"/>
          <w:szCs w:val="24"/>
        </w:rPr>
        <w:t>de ensino, pesquisa e extensão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8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a</w:t>
      </w:r>
      <w:r>
        <w:rPr>
          <w:rFonts w:ascii="Times New Roman" w:hAnsi="Times New Roman"/>
          <w:sz w:val="24"/>
          <w:szCs w:val="24"/>
        </w:rPr>
        <w:t xml:space="preserve"> promoção de pesquisas que fortaleçam a inserção da UF</w:t>
      </w:r>
      <w:r>
        <w:rPr>
          <w:rFonts w:ascii="Times New Roman" w:hAnsi="Times New Roman"/>
          <w:sz w:val="24"/>
          <w:szCs w:val="24"/>
        </w:rPr>
        <w:t>VJM</w:t>
      </w:r>
      <w:r>
        <w:rPr>
          <w:rFonts w:ascii="Times New Roman" w:hAnsi="Times New Roman"/>
          <w:sz w:val="24"/>
          <w:szCs w:val="24"/>
        </w:rPr>
        <w:t xml:space="preserve"> em redes </w:t>
      </w:r>
      <w:r>
        <w:rPr>
          <w:rFonts w:ascii="Times New Roman" w:hAnsi="Times New Roman"/>
          <w:sz w:val="24"/>
          <w:szCs w:val="24"/>
        </w:rPr>
        <w:t xml:space="preserve">nacionais e </w:t>
      </w:r>
      <w:r>
        <w:rPr>
          <w:rFonts w:ascii="Times New Roman" w:hAnsi="Times New Roman"/>
          <w:sz w:val="24"/>
          <w:szCs w:val="24"/>
        </w:rPr>
        <w:t xml:space="preserve">internacionais de produção de conhecimento; </w:t>
      </w:r>
    </w:p>
    <w:p>
      <w:pPr>
        <w:pStyle w:val="Normal"/>
        <w:numPr>
          <w:ilvl w:val="0"/>
          <w:numId w:val="8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a</w:t>
      </w:r>
      <w:r>
        <w:rPr>
          <w:rFonts w:ascii="Times New Roman" w:hAnsi="Times New Roman"/>
          <w:sz w:val="24"/>
          <w:szCs w:val="24"/>
        </w:rPr>
        <w:t xml:space="preserve"> ampliação da presença de discentes, docentes e técnicos estrangeiros na UF</w:t>
      </w:r>
      <w:r>
        <w:rPr>
          <w:rFonts w:ascii="Times New Roman" w:hAnsi="Times New Roman"/>
          <w:sz w:val="24"/>
          <w:szCs w:val="24"/>
        </w:rPr>
        <w:t>VJM</w:t>
      </w:r>
      <w:r>
        <w:rPr>
          <w:rFonts w:ascii="Times New Roman" w:hAnsi="Times New Roman"/>
          <w:sz w:val="24"/>
          <w:szCs w:val="24"/>
        </w:rPr>
        <w:t>, como forma de consolidar sua inserção internacional.</w:t>
      </w:r>
    </w:p>
    <w:p>
      <w:pPr>
        <w:pStyle w:val="ListParagraph"/>
        <w:spacing w:lineRule="auto" w:line="360"/>
        <w:ind w:left="2160" w:right="0" w:hanging="0"/>
        <w:jc w:val="both"/>
        <w:rPr>
          <w:rFonts w:ascii="Times New Roman" w:hAnsi="Times New Roman"/>
          <w:b/>
          <w:b/>
          <w:bCs w:val="false"/>
          <w:sz w:val="24"/>
          <w:szCs w:val="24"/>
        </w:rPr>
      </w:pPr>
      <w:r>
        <w:rPr>
          <w:rFonts w:ascii="Times New Roman" w:hAnsi="Times New Roman"/>
          <w:b/>
          <w:bCs w:val="false"/>
          <w:sz w:val="24"/>
          <w:szCs w:val="24"/>
        </w:rPr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</w:t>
      </w:r>
      <w:r>
        <w:rPr>
          <w:rFonts w:ascii="Times New Roman" w:hAnsi="Times New Roman"/>
          <w:b/>
          <w:sz w:val="24"/>
          <w:szCs w:val="24"/>
        </w:rPr>
        <w:t>Í</w:t>
      </w:r>
      <w:r>
        <w:rPr>
          <w:rFonts w:ascii="Times New Roman" w:hAnsi="Times New Roman"/>
          <w:b/>
          <w:sz w:val="24"/>
          <w:szCs w:val="24"/>
        </w:rPr>
        <w:t xml:space="preserve">TULO </w:t>
      </w:r>
      <w:r>
        <w:rPr>
          <w:rFonts w:ascii="Times New Roman" w:hAnsi="Times New Roman"/>
          <w:b/>
          <w:sz w:val="24"/>
          <w:szCs w:val="24"/>
        </w:rPr>
        <w:t>V</w:t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 EIXOS ESTRAT</w:t>
      </w:r>
      <w:r>
        <w:rPr>
          <w:rFonts w:ascii="Times New Roman" w:hAnsi="Times New Roman"/>
          <w:b/>
          <w:sz w:val="24"/>
          <w:szCs w:val="24"/>
        </w:rPr>
        <w:t>É</w:t>
      </w:r>
      <w:r>
        <w:rPr>
          <w:rFonts w:ascii="Times New Roman" w:hAnsi="Times New Roman"/>
          <w:b/>
          <w:sz w:val="24"/>
          <w:szCs w:val="24"/>
        </w:rPr>
        <w:t>GICOS</w:t>
      </w:r>
    </w:p>
    <w:p>
      <w:pPr>
        <w:pStyle w:val="Normal"/>
        <w:spacing w:lineRule="auto" w:line="36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1. Instrumentos de Articulação Internacional a Nível Federal e Estadual</w:t>
      </w:r>
    </w:p>
    <w:p>
      <w:pPr>
        <w:pStyle w:val="ListParagraph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Esta IES se insere nos programas de governo federal que buscam a internacionalização das IES, como em 2007, quando aprovou um projeto de Internacionalização junto à SESu/MEC; e em 2015/16 quando a DRI passou a incorporar recursos de apoio à internacionalização na matriz orçamentária da UFVJM. Ainda, aprovou junto à FAPEMIG dois projetos de fortalecimento das assessorias internacionais das IES de Minas Gerais, um em 2011 e outro em 2014.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 Articulação com Instituições que Buscam a Internacionalização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UFVJM busca associar-se a instituições que promovam a internacionalização e atualmente é associada a: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FAUBAI (Associação Brasileira de Educação Internacional);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UNIMINAS (Consórcio de Universidades Mineiras);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AULP (Associação de Universidades de Língua Portuguesa);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GCUB (Grupo Coimbra de Universidades Brasileiras);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ANDIFES/CGRIFES 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Partners of the Americas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Programa Embaixadores Universitários da França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AECID (Agência Espanhola de Cooperação Internacional para o Desenvolvimento);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UNIVERSIA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Redes universitárias do PMM (Google Groups);</w:t>
      </w:r>
    </w:p>
    <w:p>
      <w:pPr>
        <w:pStyle w:val="Cabealho1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Fundação Fulbright;</w:t>
      </w:r>
    </w:p>
    <w:p>
      <w:pPr>
        <w:pStyle w:val="ListParagraph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CNPq/Capes;</w:t>
      </w:r>
    </w:p>
    <w:p>
      <w:pPr>
        <w:pStyle w:val="ListParagraph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FAPEMIG</w:t>
      </w:r>
    </w:p>
    <w:p>
      <w:pPr>
        <w:pStyle w:val="ListParagraph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NUMIES </w:t>
      </w:r>
    </w:p>
    <w:p>
      <w:pPr>
        <w:pStyle w:val="ListParagraph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UNIFAIDATE – Sistema Universitário Italiano.</w:t>
      </w:r>
    </w:p>
    <w:p>
      <w:pPr>
        <w:pStyle w:val="ListParagraph"/>
        <w:numPr>
          <w:ilvl w:val="0"/>
          <w:numId w:val="7"/>
        </w:numPr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VALENCIA COLLEGE</w:t>
      </w:r>
    </w:p>
    <w:p>
      <w:pPr>
        <w:pStyle w:val="ListParagraph"/>
        <w:spacing w:lineRule="auto" w:line="360"/>
        <w:ind w:left="64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3. Participação em Projetos Internacionais e redes</w:t>
      </w:r>
    </w:p>
    <w:p>
      <w:pPr>
        <w:pStyle w:val="ListParagraph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 UFVJM participa de projetos internacionais, tais como o Programa de Mobilidade Mercosul (Mercosul e União Europeia), Brafitec (França), Branetec (Holanda), Projeto Babel - Erasmus Mundus (Universidade do Porto/União Europeia) e Erasmus+ (Consórcio de Excelência Internacional Agroalimentar/União Europeia, que reúne 5 universidades espanholas).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Esta IES também participa de projetos nacionais que visam acolhimento internacional, a exemplo dos programas de estudantes-convênio de graduação e pós-graduação (PEC-G e PEC-PG), do programa PAEC – GCUB/OEA e do projeto de graduação com o Governo de Timor-Leste.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No âmbito de programas do governo federal que apoiam a internacionalização, a UFVJM participou do Programa de Incentivo à Formação Científica de Estudantes de Cabo Verde, Moçambique e Angola (Capes/PIFC) e como fruto da execução do Programa CsF enviou para o exterior 297 discentes e 6 docentes.</w:t>
      </w:r>
    </w:p>
    <w:p>
      <w:pPr>
        <w:pStyle w:val="ListParagraph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Ainda, a UFVJM se articula com o governo de Minas Gerais para trabalhar em projetos internacionais que proporcionem caminhos para o desenvolvimento regional e internacionalização das IES mineiras, permitindo que acadêmicos da UFVJM participem de iniciativas da SECTES (NUMIES) e FAPEMIG nesse sentido.</w:t>
      </w:r>
    </w:p>
    <w:p>
      <w:pPr>
        <w:pStyle w:val="ListParagraph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4. Articulação com Programas de Ensino de Línguas</w:t>
      </w:r>
    </w:p>
    <w:p>
      <w:pPr>
        <w:pStyle w:val="ListParagraph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Com o objetivo de instrumentalizar o processo de internacionalização, a UFVJM apoia desde 2008 programas de incentivo do aprendizado de línguas e oferece o curso de português para estrangeiro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az parte do Programa Idiomas sem Fronteiras (IsF) e criou o NucLi (Núcleo de Línguas), e está em fase de criação do NuPLE (Núcleo de Português para Estrangeiros) e do CELIC (Centro de Línguas e Cultura).</w:t>
      </w:r>
    </w:p>
    <w:p>
      <w:pPr>
        <w:pStyle w:val="ListParagraph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Esta Instituição Federal de Ensino Superior entende que, </w:t>
      </w:r>
      <w:r>
        <w:rPr>
          <w:rFonts w:ascii="Times New Roman" w:hAnsi="Times New Roman"/>
          <w:color w:val="000000"/>
          <w:sz w:val="24"/>
          <w:szCs w:val="24"/>
        </w:rPr>
        <w:t>em um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mundo atual globalizado, alcançar um proveito total dos conhecimentos científicos e culturais disponíveis em âmbito</w:t>
      </w:r>
      <w:r>
        <w:rPr>
          <w:rFonts w:ascii="Times New Roman" w:hAnsi="Times New Roman"/>
          <w:color w:val="000000"/>
          <w:sz w:val="24"/>
          <w:szCs w:val="24"/>
        </w:rPr>
        <w:t xml:space="preserve"> global</w:t>
      </w:r>
      <w:r>
        <w:rPr>
          <w:rFonts w:ascii="Times New Roman" w:hAnsi="Times New Roman"/>
          <w:sz w:val="24"/>
          <w:szCs w:val="24"/>
        </w:rPr>
        <w:t xml:space="preserve"> passa por dois grandes eixos convergentes: </w:t>
      </w:r>
      <w:r>
        <w:rPr>
          <w:rFonts w:ascii="Times New Roman" w:hAnsi="Times New Roman"/>
          <w:i/>
          <w:sz w:val="24"/>
          <w:szCs w:val="24"/>
        </w:rPr>
        <w:t xml:space="preserve">a mobilidade acadêmica internacional </w:t>
      </w:r>
      <w:r>
        <w:rPr>
          <w:rFonts w:ascii="Times New Roman" w:hAnsi="Times New Roman"/>
          <w:sz w:val="24"/>
          <w:szCs w:val="24"/>
        </w:rPr>
        <w:t xml:space="preserve">e a </w:t>
      </w:r>
      <w:r>
        <w:rPr>
          <w:rFonts w:ascii="Times New Roman" w:hAnsi="Times New Roman"/>
          <w:i/>
          <w:sz w:val="24"/>
          <w:szCs w:val="24"/>
        </w:rPr>
        <w:t>aprendizagem de línguas</w:t>
      </w:r>
      <w:r>
        <w:rPr>
          <w:rFonts w:ascii="Times New Roman" w:hAnsi="Times New Roman"/>
          <w:sz w:val="24"/>
          <w:szCs w:val="24"/>
        </w:rPr>
        <w:t>.</w:t>
        <w:tab/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 política de internacionalização da UFVJM visa assegurar a mobilidade acadêmica e propiciar o ensino de línguas através do tempo tendo como pilares básicos: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Integrar os programas internacionais à pesquisa, ensino e extensão, com foco na p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s-graduação;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Involucrar os programas de governo, estaduais e federais que estimulam o processo de internacionalização;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tender as demandas de docentes e pesquisadores para estabelecer parcerias com instituições internacionais;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Inserir a IES na dinâmica de internacionalização de agentes estrangeiros pela celebração de acordos e pela filiação a associações de caráter internacional;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Integrar o processo de internacionalização a programas de incentivo do aprendizado de línguas;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Aumentar a receita própria da instituição com a oferta de serviços relacionados a idiomas.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5. Uso de Novas Tecnologias para a Internacionalização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UFVJM está buscando aumentar o compartilhamento do conhecimento por meio do uso de tecnologias existentes que aproxim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m as parcerias internacionais, a exemplo do uso de teleconferências e skype. </w:t>
      </w:r>
      <w:r>
        <w:rPr>
          <w:rFonts w:ascii="Times New Roman" w:hAnsi="Times New Roman"/>
          <w:sz w:val="24"/>
          <w:szCs w:val="24"/>
        </w:rPr>
        <w:t xml:space="preserve">Para atingir esse objetivo </w:t>
      </w:r>
      <w:r>
        <w:rPr>
          <w:rFonts w:ascii="Times New Roman" w:hAnsi="Times New Roman"/>
          <w:sz w:val="24"/>
          <w:szCs w:val="24"/>
        </w:rPr>
        <w:t xml:space="preserve">usa como instrumento institucional a EAD para executar projetos educativos, </w:t>
      </w:r>
      <w:r>
        <w:rPr>
          <w:rFonts w:ascii="Times New Roman" w:hAnsi="Times New Roman"/>
          <w:sz w:val="24"/>
          <w:szCs w:val="24"/>
        </w:rPr>
        <w:t xml:space="preserve">destacando-se </w:t>
      </w:r>
      <w:r>
        <w:rPr>
          <w:rFonts w:ascii="Times New Roman" w:hAnsi="Times New Roman"/>
          <w:sz w:val="24"/>
          <w:szCs w:val="24"/>
        </w:rPr>
        <w:t xml:space="preserve">a parceria com instituições argentinas interessadas no uso da EAD </w:t>
      </w:r>
      <w:r>
        <w:rPr>
          <w:rFonts w:ascii="Times New Roman" w:hAnsi="Times New Roman"/>
          <w:sz w:val="24"/>
          <w:szCs w:val="24"/>
        </w:rPr>
        <w:t>para o</w:t>
      </w:r>
      <w:r>
        <w:rPr>
          <w:rFonts w:ascii="Times New Roman" w:hAnsi="Times New Roman"/>
          <w:sz w:val="24"/>
          <w:szCs w:val="24"/>
        </w:rPr>
        <w:t xml:space="preserve"> ensino de matemática e língua espanhola.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Além disso, pretende-se buscar a c</w:t>
      </w:r>
      <w:r>
        <w:rPr>
          <w:rFonts w:ascii="Times New Roman" w:hAnsi="Times New Roman"/>
          <w:sz w:val="24"/>
          <w:szCs w:val="24"/>
        </w:rPr>
        <w:t>onstruç</w:t>
      </w:r>
      <w:r>
        <w:rPr>
          <w:rFonts w:ascii="Times New Roman" w:hAnsi="Times New Roman"/>
          <w:sz w:val="24"/>
          <w:szCs w:val="24"/>
        </w:rPr>
        <w:t>ã</w:t>
      </w:r>
      <w:r>
        <w:rPr>
          <w:rFonts w:ascii="Times New Roman" w:hAnsi="Times New Roman"/>
          <w:sz w:val="24"/>
          <w:szCs w:val="24"/>
        </w:rPr>
        <w:t>o de um modelo de EAD para o ensino do português em universidades argentinas e americanas.</w:t>
      </w:r>
    </w:p>
    <w:p>
      <w:pPr>
        <w:pStyle w:val="ListParagraph"/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spacing w:lineRule="auto" w:line="360"/>
        <w:ind w:left="0" w:right="0" w:hanging="0"/>
        <w:jc w:val="both"/>
        <w:rPr>
          <w:rFonts w:ascii="Times New Roman" w:hAnsi="Times New Roman" w:cs="Arial"/>
          <w:b/>
          <w:b/>
          <w:bCs/>
          <w:color w:val="000000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ab/>
        <w:t>6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. O Acolhimento e Incentivo à Aculturação</w:t>
      </w:r>
    </w:p>
    <w:p>
      <w:pPr>
        <w:pStyle w:val="Normal"/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ab/>
        <w:t>Esta IES desenvolve um sistema de informação na página da DRI para facilitar aos alunos estrangeiros uma adaptação rápida no país, tais como regularização da situação do estudante junto à Polícia Federal, mapas de localização, dados dos campi, tipos de acomodação, entre outros. Entre eles destaca-se o programa “Um estrangeiro no seu Lar” para que famílias de Diamantina recebam alunos que estão na mobilidade de internacional.</w:t>
      </w:r>
    </w:p>
    <w:p>
      <w:pPr>
        <w:pStyle w:val="Normal"/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ab/>
        <w:t>Durante a semana de acolhimento a calouros a DRI participa das reuniões para explicar sobre as atividades da Diretoria de Relações Internacionais, assim como incentivar o aluno para o aprendizado de uma segunda língua. Além disso, durante o SINTEGRA sempre são realizadas conferências relacionadas à internacionalização e são apresentadas experiências no campo de internacionalização.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ab/>
        <w:t>A participação do Diret</w:t>
      </w:r>
      <w:r>
        <w:rPr>
          <w:rFonts w:cs="Arial" w:ascii="Times New Roman" w:hAnsi="Times New Roman"/>
          <w:color w:val="000000"/>
          <w:sz w:val="24"/>
          <w:szCs w:val="24"/>
        </w:rPr>
        <w:t>ó</w:t>
      </w:r>
      <w:r>
        <w:rPr>
          <w:rFonts w:cs="Arial" w:ascii="Times New Roman" w:hAnsi="Times New Roman"/>
          <w:color w:val="000000"/>
          <w:sz w:val="24"/>
          <w:szCs w:val="24"/>
        </w:rPr>
        <w:t>rio Central de Est</w:t>
      </w:r>
      <w:r>
        <w:rPr>
          <w:rFonts w:cs="Arial" w:ascii="Times New Roman" w:hAnsi="Times New Roman"/>
          <w:color w:val="000000"/>
          <w:sz w:val="24"/>
          <w:szCs w:val="24"/>
        </w:rPr>
        <w:t>u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dantes </w:t>
      </w:r>
      <w:r>
        <w:rPr>
          <w:rFonts w:cs="Arial" w:ascii="Times New Roman" w:hAnsi="Times New Roman"/>
          <w:color w:val="000000"/>
          <w:sz w:val="24"/>
          <w:szCs w:val="24"/>
        </w:rPr>
        <w:t>(DCE</w:t>
      </w:r>
      <w:r>
        <w:rPr>
          <w:rFonts w:cs="Arial" w:ascii="Times New Roman" w:hAnsi="Times New Roman"/>
          <w:color w:val="000000"/>
          <w:sz w:val="24"/>
          <w:szCs w:val="24"/>
        </w:rPr>
        <w:t>) configura-</w:t>
      </w:r>
      <w:r>
        <w:rPr>
          <w:rFonts w:cs="Arial" w:ascii="Times New Roman" w:hAnsi="Times New Roman"/>
          <w:color w:val="000000"/>
          <w:sz w:val="24"/>
          <w:szCs w:val="24"/>
        </w:rPr>
        <w:t>se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como parceiro ideal para efetivar o entrosamento e aculturação dos estudantes da UFVJM com os alunos estrangeiros. </w:t>
      </w:r>
    </w:p>
    <w:p>
      <w:pPr>
        <w:pStyle w:val="ListParagraph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CAP</w:t>
      </w:r>
      <w:r>
        <w:rPr>
          <w:rFonts w:ascii="Times New Roman" w:hAnsi="Times New Roman"/>
          <w:b/>
          <w:bCs/>
          <w:sz w:val="24"/>
          <w:szCs w:val="24"/>
        </w:rPr>
        <w:t>Í</w:t>
      </w:r>
      <w:r>
        <w:rPr>
          <w:rFonts w:ascii="Times New Roman" w:hAnsi="Times New Roman"/>
          <w:b/>
          <w:bCs/>
          <w:sz w:val="24"/>
          <w:szCs w:val="24"/>
        </w:rPr>
        <w:t>TULO V</w:t>
      </w:r>
      <w:r>
        <w:rPr>
          <w:rFonts w:ascii="Times New Roman" w:hAnsi="Times New Roman"/>
          <w:b/>
          <w:bCs/>
          <w:sz w:val="24"/>
          <w:szCs w:val="24"/>
        </w:rPr>
        <w:t>I</w:t>
      </w:r>
    </w:p>
    <w:p>
      <w:pPr>
        <w:pStyle w:val="BodyTextIndent3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CO</w:t>
      </w:r>
      <w:r>
        <w:rPr>
          <w:rFonts w:ascii="Times New Roman" w:hAnsi="Times New Roman"/>
          <w:b/>
          <w:sz w:val="24"/>
          <w:szCs w:val="24"/>
        </w:rPr>
        <w:t>NSELHO</w:t>
      </w:r>
      <w:r>
        <w:rPr>
          <w:rFonts w:ascii="Times New Roman" w:hAnsi="Times New Roman"/>
          <w:b/>
          <w:sz w:val="24"/>
          <w:szCs w:val="24"/>
        </w:rPr>
        <w:t xml:space="preserve"> DE GESTÃO DA INTERNACIONALIZAÇÃO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Fica instituído o Co</w:t>
      </w:r>
      <w:r>
        <w:rPr>
          <w:rFonts w:ascii="Times New Roman" w:hAnsi="Times New Roman"/>
          <w:sz w:val="24"/>
          <w:szCs w:val="24"/>
        </w:rPr>
        <w:t xml:space="preserve">nselho </w:t>
      </w:r>
      <w:r>
        <w:rPr>
          <w:rFonts w:ascii="Times New Roman" w:hAnsi="Times New Roman"/>
          <w:sz w:val="24"/>
          <w:szCs w:val="24"/>
        </w:rPr>
        <w:t>de Gestão da Internacionalização, que deverá elaborar, acompanhar e avaliar o Plano Anual das Ações de Internacionalização e deliberar sobre alterações necessárias.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 Comitê de Gestão da Internacionalização tem a seguinte composição:</w:t>
      </w:r>
    </w:p>
    <w:p>
      <w:pPr>
        <w:pStyle w:val="Normal"/>
        <w:numPr>
          <w:ilvl w:val="0"/>
          <w:numId w:val="10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Diretor</w:t>
      </w:r>
      <w:r>
        <w:rPr>
          <w:rFonts w:ascii="Times New Roman" w:hAnsi="Times New Roman"/>
          <w:sz w:val="24"/>
          <w:szCs w:val="24"/>
        </w:rPr>
        <w:t xml:space="preserve"> de Relações Internacionais, como seu presidente;</w:t>
      </w:r>
    </w:p>
    <w:p>
      <w:pPr>
        <w:pStyle w:val="Normal"/>
        <w:numPr>
          <w:ilvl w:val="0"/>
          <w:numId w:val="10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o</w:t>
      </w:r>
      <w:r>
        <w:rPr>
          <w:rFonts w:ascii="Times New Roman" w:hAnsi="Times New Roman"/>
          <w:sz w:val="24"/>
          <w:szCs w:val="24"/>
        </w:rPr>
        <w:t xml:space="preserve"> Pró-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eitor de Extensão;</w:t>
      </w:r>
    </w:p>
    <w:p>
      <w:pPr>
        <w:pStyle w:val="Normal"/>
        <w:numPr>
          <w:ilvl w:val="0"/>
          <w:numId w:val="10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o </w:t>
      </w:r>
      <w:r>
        <w:rPr>
          <w:rFonts w:ascii="Times New Roman" w:hAnsi="Times New Roman"/>
          <w:sz w:val="24"/>
          <w:szCs w:val="24"/>
        </w:rPr>
        <w:t>Pró-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eitor de Graduação;</w:t>
      </w:r>
    </w:p>
    <w:p>
      <w:pPr>
        <w:pStyle w:val="Normal"/>
        <w:numPr>
          <w:ilvl w:val="0"/>
          <w:numId w:val="10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o</w:t>
      </w:r>
      <w:r>
        <w:rPr>
          <w:rFonts w:ascii="Times New Roman" w:hAnsi="Times New Roman"/>
          <w:sz w:val="24"/>
          <w:szCs w:val="24"/>
        </w:rPr>
        <w:t xml:space="preserve"> Pró-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eitor de Pesquisa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Pós-graduação;</w:t>
      </w:r>
    </w:p>
    <w:p>
      <w:pPr>
        <w:pStyle w:val="Normal"/>
        <w:numPr>
          <w:ilvl w:val="0"/>
          <w:numId w:val="10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u</w:t>
      </w:r>
      <w:r>
        <w:rPr>
          <w:rFonts w:ascii="Times New Roman" w:hAnsi="Times New Roman"/>
          <w:sz w:val="24"/>
          <w:szCs w:val="24"/>
        </w:rPr>
        <w:t>m representante escolhido entre os Diretores d</w:t>
      </w:r>
      <w:r>
        <w:rPr>
          <w:rFonts w:ascii="Times New Roman" w:hAnsi="Times New Roman"/>
          <w:sz w:val="24"/>
          <w:szCs w:val="24"/>
        </w:rPr>
        <w:t>os Institutos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10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u</w:t>
      </w:r>
      <w:r>
        <w:rPr>
          <w:rFonts w:ascii="Times New Roman" w:hAnsi="Times New Roman"/>
          <w:sz w:val="24"/>
          <w:szCs w:val="24"/>
        </w:rPr>
        <w:t>m representante escolhido entre os Diretores de Unidades Acadêmicas Especializadas.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ab/>
      </w:r>
      <w:r>
        <w:rPr>
          <w:rFonts w:ascii="Times New Roman" w:hAnsi="Times New Roman"/>
          <w:sz w:val="24"/>
          <w:szCs w:val="24"/>
        </w:rPr>
        <w:t>O Comitê reunir-se-á ordinariamente, pelo menos uma vez a cada semestre ou, extraordinariamente, quando convocado por seu presidente.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CAPÍTULO V</w:t>
      </w:r>
      <w:r>
        <w:rPr>
          <w:rFonts w:ascii="Times New Roman" w:hAnsi="Times New Roman"/>
          <w:b/>
          <w:sz w:val="24"/>
          <w:szCs w:val="24"/>
        </w:rPr>
        <w:t>II</w:t>
      </w:r>
    </w:p>
    <w:p>
      <w:pPr>
        <w:pStyle w:val="Ttulo1"/>
        <w:bidi w:val="0"/>
        <w:spacing w:lineRule="auto" w:line="360" w:before="0" w:after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MOBILIDADE DE PESSOAS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b/>
          <w:b/>
          <w:bCs/>
          <w:color w:val="000000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  <w:lang w:val="pt-PT"/>
        </w:rPr>
        <w:tab/>
      </w:r>
      <w:r>
        <w:rPr>
          <w:rFonts w:cs="Arial" w:ascii="Times New Roman" w:hAnsi="Times New Roman"/>
          <w:color w:val="000000"/>
          <w:sz w:val="24"/>
          <w:szCs w:val="24"/>
        </w:rPr>
        <w:t>A DRI recebe alunos, professores e pesquisadores que buscam informações sobre oportunidades de cooperação, de mobilidade internacional e de instrumentos de cooperação. Também recebe delegações de instituições de outros países e promove reuniões com os diversos interessados na cooperação internacional.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ab/>
        <w:t>A DRI tem representantes da diretoria em cada campus para facilitar a circulação de informações e participa das reuniões em que é convocada para explicar, promover e incentivar ações no campo das relações internacionais.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ab/>
        <w:t xml:space="preserve">Tem como meta a ampliação da participação de professores, pesquisadores e acadêmicos de forma geral em visitas e reuniões onde são tratados assuntos internacionais e apoia aos técnicos administrativos da DRI a participar de eventos de formação e atualização relacionados com a internacionalização. 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 w:val="false"/>
          <w:sz w:val="24"/>
          <w:szCs w:val="24"/>
          <w:lang w:val="pt-PT"/>
        </w:rPr>
        <w:tab/>
      </w:r>
      <w:r>
        <w:rPr>
          <w:rFonts w:ascii="Times New Roman" w:hAnsi="Times New Roman"/>
          <w:b w:val="false"/>
          <w:bCs w:val="false"/>
          <w:sz w:val="24"/>
          <w:szCs w:val="24"/>
          <w:lang w:val="pt-PT"/>
        </w:rPr>
        <w:t>E</w:t>
      </w:r>
      <w:r>
        <w:rPr>
          <w:rFonts w:ascii="Times New Roman" w:hAnsi="Times New Roman"/>
          <w:sz w:val="24"/>
          <w:szCs w:val="24"/>
          <w:lang w:val="pt-PT"/>
        </w:rPr>
        <w:t>ntende-se por “mobilidade”, no âmbito desta Política de Internacionalização, o livre trânsito de docentes, de discentes e de pessoal técnico-administrativo entre a UF</w:t>
      </w:r>
      <w:r>
        <w:rPr>
          <w:rFonts w:ascii="Times New Roman" w:hAnsi="Times New Roman"/>
          <w:sz w:val="24"/>
          <w:szCs w:val="24"/>
          <w:lang w:val="pt-PT"/>
        </w:rPr>
        <w:t xml:space="preserve">VJM </w:t>
      </w:r>
      <w:r>
        <w:rPr>
          <w:rFonts w:ascii="Times New Roman" w:hAnsi="Times New Roman"/>
          <w:sz w:val="24"/>
          <w:szCs w:val="24"/>
          <w:lang w:val="pt-PT"/>
        </w:rPr>
        <w:t>e as instituições parceiras, devidamente amparados por acordos de cooperação.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ab/>
        <w:t xml:space="preserve">A mobilidade de docentes, alunos de </w:t>
      </w:r>
      <w:r>
        <w:rPr>
          <w:rFonts w:ascii="Times New Roman" w:hAnsi="Times New Roman"/>
          <w:sz w:val="24"/>
          <w:szCs w:val="24"/>
          <w:lang w:val="pt-BR"/>
        </w:rPr>
        <w:t>G</w:t>
      </w:r>
      <w:r>
        <w:rPr>
          <w:rFonts w:ascii="Times New Roman" w:hAnsi="Times New Roman"/>
          <w:sz w:val="24"/>
          <w:szCs w:val="24"/>
          <w:lang w:val="pt-PT"/>
        </w:rPr>
        <w:t xml:space="preserve">raduação e técnicos administrativos deverá seguir o disposto em </w:t>
      </w:r>
      <w:r>
        <w:rPr>
          <w:rFonts w:ascii="Times New Roman" w:hAnsi="Times New Roman"/>
          <w:sz w:val="24"/>
          <w:szCs w:val="24"/>
          <w:lang w:val="pt-PT"/>
        </w:rPr>
        <w:t>editais e resoluções</w:t>
      </w:r>
      <w:r>
        <w:rPr>
          <w:rFonts w:ascii="Times New Roman" w:hAnsi="Times New Roman"/>
          <w:sz w:val="24"/>
          <w:szCs w:val="24"/>
          <w:lang w:val="pt-PT"/>
        </w:rPr>
        <w:t xml:space="preserve"> específic</w:t>
      </w:r>
      <w:r>
        <w:rPr>
          <w:rFonts w:ascii="Times New Roman" w:hAnsi="Times New Roman"/>
          <w:sz w:val="24"/>
          <w:szCs w:val="24"/>
          <w:lang w:val="pt-PT"/>
        </w:rPr>
        <w:t>o</w:t>
      </w:r>
      <w:r>
        <w:rPr>
          <w:rFonts w:ascii="Times New Roman" w:hAnsi="Times New Roman"/>
          <w:sz w:val="24"/>
          <w:szCs w:val="24"/>
          <w:lang w:val="pt-PT"/>
        </w:rPr>
        <w:t>s.</w:t>
      </w:r>
      <w:r>
        <w:rPr>
          <w:rFonts w:ascii="Times New Roman" w:hAnsi="Times New Roman"/>
          <w:b/>
          <w:sz w:val="24"/>
          <w:szCs w:val="24"/>
          <w:vertAlign w:val="superscript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lang w:val="pt-PT"/>
        </w:rPr>
        <w:t xml:space="preserve">A mobilidade dos alunos de </w:t>
      </w:r>
      <w:r>
        <w:rPr>
          <w:rFonts w:ascii="Times New Roman" w:hAnsi="Times New Roman"/>
          <w:sz w:val="24"/>
          <w:szCs w:val="24"/>
          <w:lang w:val="pt-BR"/>
        </w:rPr>
        <w:t>P</w:t>
      </w:r>
      <w:r>
        <w:rPr>
          <w:rFonts w:ascii="Times New Roman" w:hAnsi="Times New Roman"/>
          <w:sz w:val="24"/>
          <w:szCs w:val="24"/>
          <w:lang w:val="pt-PT"/>
        </w:rPr>
        <w:t>ós-</w:t>
      </w:r>
      <w:r>
        <w:rPr>
          <w:rFonts w:ascii="Times New Roman" w:hAnsi="Times New Roman"/>
          <w:sz w:val="24"/>
          <w:szCs w:val="24"/>
          <w:lang w:val="pt-BR"/>
        </w:rPr>
        <w:t>G</w:t>
      </w:r>
      <w:r>
        <w:rPr>
          <w:rFonts w:ascii="Times New Roman" w:hAnsi="Times New Roman"/>
          <w:sz w:val="24"/>
          <w:szCs w:val="24"/>
          <w:lang w:val="pt-PT"/>
        </w:rPr>
        <w:t xml:space="preserve">raduação será regulamentada pelos respectivos Programas, privilegiando-se a cotutela de tese e a dupla titulação, para os alunos de Doutorado, e acordos específicos para os alunos de </w:t>
      </w:r>
      <w:r>
        <w:rPr>
          <w:rFonts w:ascii="Times New Roman" w:hAnsi="Times New Roman"/>
          <w:sz w:val="24"/>
          <w:szCs w:val="24"/>
          <w:lang w:val="pt-BR"/>
        </w:rPr>
        <w:t>M</w:t>
      </w:r>
      <w:r>
        <w:rPr>
          <w:rFonts w:ascii="Times New Roman" w:hAnsi="Times New Roman"/>
          <w:sz w:val="24"/>
          <w:szCs w:val="24"/>
          <w:lang w:val="pt-PT"/>
        </w:rPr>
        <w:t>estrado.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Os alunos estrangeiros poderão ser matriculados na UF</w:t>
      </w:r>
      <w:r>
        <w:rPr>
          <w:rFonts w:ascii="Times New Roman" w:hAnsi="Times New Roman"/>
          <w:sz w:val="24"/>
          <w:szCs w:val="24"/>
        </w:rPr>
        <w:t>VJM</w:t>
      </w:r>
      <w:r>
        <w:rPr>
          <w:rFonts w:ascii="Times New Roman" w:hAnsi="Times New Roman"/>
          <w:sz w:val="24"/>
          <w:szCs w:val="24"/>
        </w:rPr>
        <w:t xml:space="preserve"> nas seguintes situações:</w:t>
      </w:r>
    </w:p>
    <w:p>
      <w:pPr>
        <w:pStyle w:val="Normal"/>
        <w:numPr>
          <w:ilvl w:val="0"/>
          <w:numId w:val="11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a</w:t>
      </w:r>
      <w:r>
        <w:rPr>
          <w:rFonts w:ascii="Times New Roman" w:hAnsi="Times New Roman"/>
          <w:sz w:val="24"/>
          <w:szCs w:val="24"/>
        </w:rPr>
        <w:t>luno estrangeiro regular que, tendo sua permanência no Brasil devidamente legalizada, ingressa nos cursos da UF</w:t>
      </w:r>
      <w:r>
        <w:rPr>
          <w:rFonts w:ascii="Times New Roman" w:hAnsi="Times New Roman"/>
          <w:sz w:val="24"/>
          <w:szCs w:val="24"/>
        </w:rPr>
        <w:t>VJM</w:t>
      </w:r>
      <w:r>
        <w:rPr>
          <w:rFonts w:ascii="Times New Roman" w:hAnsi="Times New Roman"/>
          <w:sz w:val="24"/>
          <w:szCs w:val="24"/>
        </w:rPr>
        <w:t xml:space="preserve"> pelos processos de seleção regulares, por programas ou acordos de cooperação dos quais a UF</w:t>
      </w:r>
      <w:r>
        <w:rPr>
          <w:rFonts w:ascii="Times New Roman" w:hAnsi="Times New Roman"/>
          <w:sz w:val="24"/>
          <w:szCs w:val="24"/>
        </w:rPr>
        <w:t>VJM</w:t>
      </w:r>
      <w:r>
        <w:rPr>
          <w:rFonts w:ascii="Times New Roman" w:hAnsi="Times New Roman"/>
          <w:sz w:val="24"/>
          <w:szCs w:val="24"/>
        </w:rPr>
        <w:t xml:space="preserve"> seja signatária ou editais específicos para refugiados;</w:t>
      </w:r>
    </w:p>
    <w:p>
      <w:pPr>
        <w:pStyle w:val="Normal"/>
        <w:numPr>
          <w:ilvl w:val="0"/>
          <w:numId w:val="11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a</w:t>
      </w:r>
      <w:r>
        <w:rPr>
          <w:rFonts w:ascii="Times New Roman" w:hAnsi="Times New Roman"/>
          <w:b w:val="false"/>
          <w:bCs w:val="false"/>
          <w:sz w:val="24"/>
          <w:szCs w:val="24"/>
        </w:rPr>
        <w:t>luno estrangeiro em mobilidade que ingressa na UFVJM por um período curto, de um ou dois semestres letivos, na graduação ou na pós-graduação, sem direito à obtenção do respectivo título.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0"/>
        <w:ind w:left="72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tulo3"/>
        <w:bidi w:val="0"/>
        <w:spacing w:lineRule="auto" w:line="360" w:before="0" w:after="0"/>
        <w:ind w:left="0" w:right="0" w:hanging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CAPÍTULO VI</w:t>
      </w:r>
      <w:r>
        <w:rPr>
          <w:rFonts w:ascii="Times New Roman" w:hAnsi="Times New Roman"/>
          <w:color w:val="000000"/>
          <w:sz w:val="24"/>
          <w:szCs w:val="24"/>
        </w:rPr>
        <w:t>II</w:t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DO FINANCIAMENTO DAS ATIVIDADES DE INTERNACIONALIZAÇÃO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Ttulo3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color w:val="000000"/>
          <w:sz w:val="24"/>
          <w:szCs w:val="24"/>
        </w:rPr>
      </w:pPr>
      <w:r>
        <w:rPr>
          <w:rFonts w:ascii="Times New Roman" w:hAnsi="Times New Roman"/>
          <w:b w:val="false"/>
          <w:color w:val="000000"/>
          <w:sz w:val="24"/>
          <w:szCs w:val="24"/>
        </w:rPr>
        <w:tab/>
        <w:t>As atividades de internacionalização poderão ser financiadas por:</w:t>
      </w:r>
    </w:p>
    <w:p>
      <w:pPr>
        <w:pStyle w:val="Normal"/>
        <w:numPr>
          <w:ilvl w:val="0"/>
          <w:numId w:val="12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t-BR"/>
        </w:rPr>
        <w:t>p</w:t>
      </w:r>
      <w:r>
        <w:rPr>
          <w:rFonts w:ascii="Times New Roman" w:hAnsi="Times New Roman"/>
          <w:color w:val="000000"/>
          <w:sz w:val="24"/>
          <w:szCs w:val="24"/>
        </w:rPr>
        <w:t>arcerias estabelecidas com outras instituições, no âmbito dos convênios ou acordos firmados pela UF</w:t>
      </w:r>
      <w:r>
        <w:rPr>
          <w:rFonts w:ascii="Times New Roman" w:hAnsi="Times New Roman"/>
          <w:color w:val="000000"/>
          <w:sz w:val="24"/>
          <w:szCs w:val="24"/>
        </w:rPr>
        <w:t>VJM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numPr>
          <w:ilvl w:val="0"/>
          <w:numId w:val="12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t-BR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gências de fomento governamentais ou não-governamentais, brasileiras ou estrangeiras;</w:t>
      </w:r>
    </w:p>
    <w:p>
      <w:pPr>
        <w:pStyle w:val="Normal"/>
        <w:numPr>
          <w:ilvl w:val="0"/>
          <w:numId w:val="12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t-BR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>oações em conformidade com a regulamentação vigente;</w:t>
      </w:r>
    </w:p>
    <w:p>
      <w:pPr>
        <w:pStyle w:val="Normal"/>
        <w:numPr>
          <w:ilvl w:val="0"/>
          <w:numId w:val="12"/>
        </w:numPr>
        <w:bidi w:val="0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t-BR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rçamento da UF</w:t>
      </w:r>
      <w:r>
        <w:rPr>
          <w:rFonts w:ascii="Times New Roman" w:hAnsi="Times New Roman"/>
          <w:color w:val="000000"/>
          <w:sz w:val="24"/>
          <w:szCs w:val="24"/>
        </w:rPr>
        <w:t>VJM</w:t>
      </w:r>
      <w:r>
        <w:rPr>
          <w:rFonts w:ascii="Times New Roman" w:hAnsi="Times New Roman"/>
          <w:color w:val="000000"/>
          <w:sz w:val="24"/>
          <w:szCs w:val="24"/>
        </w:rPr>
        <w:t>, executado por qualquer uma de suas unidades administrativas.</w:t>
      </w:r>
    </w:p>
    <w:p>
      <w:pPr>
        <w:pStyle w:val="Normal"/>
        <w:bidi w:val="0"/>
        <w:spacing w:lineRule="auto" w:line="360" w:before="0" w:after="0"/>
        <w:ind w:left="0" w:right="0" w:hanging="0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CAPÍTULO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IX</w:t>
      </w:r>
    </w:p>
    <w:p>
      <w:pPr>
        <w:pStyle w:val="Ttulo3"/>
        <w:bidi w:val="0"/>
        <w:spacing w:lineRule="auto" w:line="360" w:before="0" w:after="0"/>
        <w:ind w:left="0" w:right="0" w:hanging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DAS DISPOSIÇÕES FINAIS</w:t>
      </w:r>
    </w:p>
    <w:p>
      <w:pPr>
        <w:pStyle w:val="Corpodetexto"/>
        <w:bidi w:val="0"/>
        <w:spacing w:lineRule="auto" w:line="360" w:before="0" w:after="0"/>
        <w:ind w:left="0" w:right="0" w:hanging="0"/>
        <w:rPr>
          <w:rFonts w:ascii="Times New Roman" w:hAnsi="Times New Roman"/>
          <w:b/>
          <w:b/>
          <w:bCs/>
          <w:dstrike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dstrike/>
          <w:color w:val="000000"/>
          <w:sz w:val="24"/>
          <w:szCs w:val="24"/>
        </w:rPr>
      </w:r>
    </w:p>
    <w:p>
      <w:pPr>
        <w:sectPr>
          <w:headerReference w:type="default" r:id="rId8"/>
          <w:footerReference w:type="default" r:id="rId9"/>
          <w:type w:val="nextPage"/>
          <w:pgSz w:w="11906" w:h="16838"/>
          <w:pgMar w:left="1134" w:right="1134" w:header="1134" w:top="2574" w:footer="1134" w:bottom="1670" w:gutter="0"/>
          <w:pgNumType w:start="3" w:fmt="decimal"/>
          <w:formProt w:val="false"/>
          <w:textDirection w:val="lrTb"/>
        </w:sect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Arial"/>
          <w:b/>
          <w:b/>
          <w:color w:val="4F81BD"/>
          <w:sz w:val="24"/>
          <w:szCs w:val="24"/>
        </w:rPr>
      </w:pPr>
      <w:r>
        <w:rPr>
          <w:rFonts w:eastAsia="Times New Roman" w:cs="Arial" w:ascii="Times New Roman" w:hAnsi="Times New Roman"/>
          <w:b/>
          <w:color w:val="000000"/>
          <w:sz w:val="24"/>
          <w:szCs w:val="24"/>
        </w:rPr>
        <w:tab/>
      </w:r>
      <w:r>
        <w:rPr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>Os casos omissos relativos à Política de Internacionalização da UF</w:t>
      </w:r>
      <w:r>
        <w:rPr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>VJM</w:t>
      </w:r>
      <w:r>
        <w:rPr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 xml:space="preserve"> serão analisados pela </w:t>
      </w:r>
      <w:r>
        <w:rPr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 xml:space="preserve">Diretoria </w:t>
      </w:r>
      <w:r>
        <w:rPr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 xml:space="preserve">de Relações Internacionais </w:t>
      </w:r>
      <w:r>
        <w:rPr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>m</w:t>
      </w:r>
      <w:r>
        <w:rPr>
          <w:rFonts w:eastAsia="Times New Roman" w:cs="Arial" w:ascii="Times New Roman" w:hAnsi="Times New Roman"/>
          <w:b w:val="false"/>
          <w:bCs w:val="false"/>
          <w:color w:val="000000"/>
          <w:sz w:val="24"/>
          <w:szCs w:val="24"/>
        </w:rPr>
        <w:t>ediante consulta às unidades administrativas e acadêmicas diretamente envolvidas.</w:t>
      </w:r>
    </w:p>
    <w:p>
      <w:pPr>
        <w:pStyle w:val="ListParagraph"/>
        <w:spacing w:lineRule="auto" w:line="360"/>
        <w:ind w:left="0" w:right="0" w:hanging="0"/>
        <w:jc w:val="both"/>
        <w:rPr>
          <w:rFonts w:ascii="Times New Roman" w:hAnsi="Times New Roman" w:cs="Arial"/>
          <w:b/>
          <w:b/>
          <w:bCs/>
          <w:color w:val="000000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8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. Ações estratégicas</w:t>
      </w:r>
    </w:p>
    <w:p>
      <w:pPr>
        <w:pStyle w:val="ListParagraph"/>
        <w:spacing w:lineRule="auto" w:line="360"/>
        <w:ind w:left="0" w:right="0" w:hanging="0"/>
        <w:jc w:val="both"/>
        <w:rPr>
          <w:rFonts w:ascii="Times New Roman" w:hAnsi="Times New Roman" w:cs="Arial"/>
          <w:b w:val="false"/>
          <w:b w:val="false"/>
          <w:bCs w:val="false"/>
          <w:color w:val="000000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 xml:space="preserve">Com a finalidade de operacionalizar os eixos estratégicos acima, a DRI propõe as ações a seguir: </w:t>
      </w:r>
    </w:p>
    <w:tbl>
      <w:tblPr>
        <w:tblW w:w="14570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6628"/>
        <w:gridCol w:w="7942"/>
      </w:tblGrid>
      <w:tr>
        <w:trPr/>
        <w:tc>
          <w:tcPr>
            <w:tcW w:w="6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 w:before="0" w:after="20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Ação estratégica</w:t>
            </w:r>
          </w:p>
        </w:tc>
        <w:tc>
          <w:tcPr>
            <w:tcW w:w="7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 w:before="0" w:after="20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</w:tr>
      <w:tr>
        <w:trPr/>
        <w:tc>
          <w:tcPr>
            <w:tcW w:w="662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360" w:before="0" w:after="20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Aumentar o número de acordos internacionais da UFVJM com instituições reconhecidamente relevantes no campo do ensino, da pesquisa e/ou da extensão.</w:t>
            </w:r>
          </w:p>
        </w:tc>
        <w:tc>
          <w:tcPr>
            <w:tcW w:w="79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numPr>
                <w:ilvl w:val="0"/>
                <w:numId w:val="13"/>
              </w:numPr>
              <w:spacing w:lineRule="auto" w:line="36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Reforçar parcerias existentes e articular novas parcerias a partir de eventos internacionais;</w:t>
            </w:r>
          </w:p>
          <w:p>
            <w:pPr>
              <w:pStyle w:val="Normal"/>
              <w:numPr>
                <w:ilvl w:val="0"/>
                <w:numId w:val="13"/>
              </w:numPr>
              <w:spacing w:lineRule="auto" w: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tender a demanda para estabelecer parcerias por parte de investigadores e professores que participam em atividades conjuntas com IES internacionais;</w:t>
            </w:r>
          </w:p>
          <w:p>
            <w:pPr>
              <w:pStyle w:val="Normal"/>
              <w:numPr>
                <w:ilvl w:val="0"/>
                <w:numId w:val="13"/>
              </w:numPr>
              <w:spacing w:lineRule="auto" w:line="36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Participação em acordos coletivos de redes de pesquisa e formação, induzidos por consórcios nacionais e internacionais que buscam a UFVJM como parceiro;</w:t>
            </w:r>
          </w:p>
          <w:p>
            <w:pPr>
              <w:pStyle w:val="Normal"/>
              <w:numPr>
                <w:ilvl w:val="0"/>
                <w:numId w:val="13"/>
              </w:numPr>
              <w:spacing w:lineRule="auto" w:line="36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Incentivar a contratação de professor visitante internacional para atuarem, preferencialmente na p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ó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s-graduação.</w:t>
            </w:r>
          </w:p>
        </w:tc>
      </w:tr>
      <w:tr>
        <w:trPr/>
        <w:tc>
          <w:tcPr>
            <w:tcW w:w="662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360" w:before="0" w:after="20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Ampliar a participação da UFVJM em programas governamentais de incentivo à internacionalização da educação superior, bem como em editais de fomento à internacionalização</w:t>
            </w:r>
          </w:p>
        </w:tc>
        <w:tc>
          <w:tcPr>
            <w:tcW w:w="79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numPr>
                <w:ilvl w:val="0"/>
                <w:numId w:val="14"/>
              </w:numPr>
              <w:spacing w:lineRule="auto" w: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articipar de editais do MEC (CAPES e CNPq) para fomento da internacionalização das IES;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Aumentar a oferta de vagas para os programas PEC-G e PEC-PG do MEC/M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RE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36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Participar de editais da comunidade internacional (ERASMUS, CYTED, AISEAD, Graal) para incentivo da pesquisa; 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360" w:before="0" w:after="20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Participar de editais da FAPEMIG e CONFAP para apoio à internacionalização das IES.</w:t>
            </w:r>
          </w:p>
        </w:tc>
      </w:tr>
      <w:tr>
        <w:trPr/>
        <w:tc>
          <w:tcPr>
            <w:tcW w:w="662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360" w:before="0" w:after="20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Participação em Projetos Internacionais e redes</w:t>
            </w:r>
          </w:p>
        </w:tc>
        <w:tc>
          <w:tcPr>
            <w:tcW w:w="79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numPr>
                <w:ilvl w:val="0"/>
                <w:numId w:val="15"/>
              </w:numPr>
              <w:spacing w:lineRule="auto" w: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Aumentar os contatos internacionais que assegur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e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m a participação em projetos com financiamento externo (União Europeia);</w:t>
            </w:r>
          </w:p>
          <w:p>
            <w:pPr>
              <w:pStyle w:val="Normal"/>
              <w:numPr>
                <w:ilvl w:val="0"/>
                <w:numId w:val="15"/>
              </w:numPr>
              <w:spacing w:lineRule="auto" w: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Divulgar chamadas de editais internacionais para pesquisa e/ou formação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fldChar w:fldCharType="begin"/>
            </w:r>
            <w:r>
              <w:instrText> PAGE </w:instrText>
            </w:r>
            <w:r>
              <w:fldChar w:fldCharType="separate"/>
            </w:r>
            <w:r>
              <w:t>17</w:t>
            </w:r>
            <w:r>
              <w:fldChar w:fldCharType="end"/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(CAPES, CONFAP, FAPEMIG, União Europeia, Partners of 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the 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America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s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);</w:t>
            </w:r>
          </w:p>
          <w:p>
            <w:pPr>
              <w:pStyle w:val="Normal"/>
              <w:numPr>
                <w:ilvl w:val="0"/>
                <w:numId w:val="15"/>
              </w:numPr>
              <w:spacing w:lineRule="auto" w:line="3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Participar de reuniões para preparação de projetos de internacionalização das IES;</w:t>
            </w:r>
          </w:p>
          <w:p>
            <w:pPr>
              <w:pStyle w:val="Normal"/>
              <w:numPr>
                <w:ilvl w:val="0"/>
                <w:numId w:val="15"/>
              </w:numPr>
              <w:spacing w:lineRule="auto" w:line="3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Apoiar iniciativas das Pró reitorias de graduação e pós-graduação de participação em projetos internacionais;</w:t>
            </w:r>
          </w:p>
          <w:p>
            <w:pPr>
              <w:pStyle w:val="Normal"/>
              <w:numPr>
                <w:ilvl w:val="0"/>
                <w:numId w:val="15"/>
              </w:numPr>
              <w:spacing w:lineRule="auto" w:line="360" w:before="0" w:after="20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Somar a UFVJM em projetos internacionais financiados por governos estrangeiros.</w:t>
            </w:r>
          </w:p>
        </w:tc>
      </w:tr>
      <w:tr>
        <w:trPr/>
        <w:tc>
          <w:tcPr>
            <w:tcW w:w="662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360" w:before="0" w:after="200"/>
              <w:ind w:left="0" w:right="0" w:hanging="0"/>
              <w:jc w:val="both"/>
              <w:rPr>
                <w:rFonts w:ascii="Times New Roman" w:hAnsi="Times New Roman" w:cs="Arial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4. </w:t>
            </w:r>
            <w:r>
              <w:rPr>
                <w:rFonts w:cs="Arial" w:ascii="Times New Roman" w:hAnsi="Times New Roman"/>
                <w:b/>
                <w:bCs/>
                <w:color w:val="000000"/>
                <w:sz w:val="24"/>
                <w:szCs w:val="24"/>
              </w:rPr>
              <w:t>Articulação com Programas de Ensino de Línguas</w:t>
            </w:r>
          </w:p>
        </w:tc>
        <w:tc>
          <w:tcPr>
            <w:tcW w:w="79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numPr>
                <w:ilvl w:val="0"/>
                <w:numId w:val="16"/>
              </w:numPr>
              <w:spacing w:lineRule="auto" w:line="3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Colocar em funcionamento o CELIC ampliando a oferta de línguas modernas;</w:t>
            </w:r>
          </w:p>
          <w:p>
            <w:pPr>
              <w:pStyle w:val="Normal"/>
              <w:numPr>
                <w:ilvl w:val="0"/>
                <w:numId w:val="16"/>
              </w:numPr>
              <w:spacing w:lineRule="auto" w:line="3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Atender a comunidade acadêmica com oferta de testes de proficiência de línguas;</w:t>
            </w:r>
          </w:p>
          <w:p>
            <w:pPr>
              <w:pStyle w:val="Normal"/>
              <w:numPr>
                <w:ilvl w:val="0"/>
                <w:numId w:val="16"/>
              </w:numPr>
              <w:spacing w:lineRule="auto" w:line="3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Ampliar o número de cursos de línguas ofertados pelo NUCLI, principalmente utilizando plataformas digitais;</w:t>
            </w:r>
          </w:p>
          <w:p>
            <w:pPr>
              <w:pStyle w:val="Normal"/>
              <w:numPr>
                <w:ilvl w:val="0"/>
                <w:numId w:val="16"/>
              </w:numPr>
              <w:spacing w:lineRule="auto" w:line="36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Fortalecer o NINFA para preparar acadêmicos na p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ó</w:t>
            </w:r>
            <w:r>
              <w:rPr>
                <w:rFonts w:cs="Arial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s-graduação e futuros profissionais para atuarem em empresas estrangeiras.</w:t>
            </w:r>
          </w:p>
        </w:tc>
      </w:tr>
      <w:tr>
        <w:trPr/>
        <w:tc>
          <w:tcPr>
            <w:tcW w:w="662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360" w:before="0" w:after="20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Acolhimento e incentivo à aculturação</w:t>
            </w:r>
          </w:p>
        </w:tc>
        <w:tc>
          <w:tcPr>
            <w:tcW w:w="79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Esta IES desenvolve um sistema de informação digital na página da DRI para facilitar aos alunos estrangeiros uma adaptação rápida no país, tais como regularização da situação do estudante junto à Polícia Federal, mapas de localização, dados dos campi, tipos de acomodação, entre outros. Entre eles destaca-se o programa “Um estrangeiro no seu Lar” para que famílias de Diamantina recebam alunos que estão na mobilidade de internacional.</w:t>
            </w:r>
          </w:p>
          <w:p>
            <w:pPr>
              <w:pStyle w:val="Normal"/>
              <w:spacing w:lineRule="auto" w:line="36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Durante a semana de acolhimento a calouros a DRI participa das reuniões para explicar sobre as atividades da Diretoria de Relações Internacionais, assim como incentivar o aluno para o aprendizado de uma segunda língua. Além disso, durante o SINTEGRA sempre são realizadas conferências relacionadas à internacionalização e são apresentadas experiências no campo de internacionalização.</w:t>
            </w:r>
          </w:p>
          <w:p>
            <w:pPr>
              <w:pStyle w:val="Normal"/>
              <w:spacing w:lineRule="auto" w:line="36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20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A participação do Diret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ó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rio Central de Est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u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dantes 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(DCE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) se configura como parceiro ideal para efetivar o entrosamento e  aculturação dos estudantes da UFVJM com os alunos estrangeiros. </w:t>
            </w:r>
          </w:p>
        </w:tc>
      </w:tr>
      <w:tr>
        <w:trPr/>
        <w:tc>
          <w:tcPr>
            <w:tcW w:w="662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360" w:before="0" w:after="20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Internacionalização em casa</w:t>
            </w:r>
          </w:p>
        </w:tc>
        <w:tc>
          <w:tcPr>
            <w:tcW w:w="79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A DRI recebe alunos, professores e pesquisadores que buscam informações sobre oportunidades de cooperação, de mobilidade internacional e de instrumentos de cooperação. Também recebe delegações de instituições de outros países e promove reuniões com os diversos interessados na cooperação internacional.</w:t>
            </w:r>
          </w:p>
          <w:p>
            <w:pPr>
              <w:pStyle w:val="Normal"/>
              <w:spacing w:lineRule="auto" w:line="36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Esta Diretoria tem representantes em cada campus para facilitar a circulação de informações e participa das reuniões em que é convocada para explicar, promover e incentivar ações no campo das relações internacionais.</w:t>
            </w:r>
          </w:p>
          <w:p>
            <w:pPr>
              <w:pStyle w:val="Normal"/>
              <w:spacing w:lineRule="auto" w:line="36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20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em como meta a ampliação da participação de professores, pesquisadores e acadêmicos de forma geral em visitas e reuniões onde são tratados assuntos internacionais e apoia aos técnicos administrativos da DRI a participar de eventos de formação e atualização relacionados com a internacionalização. </w:t>
            </w:r>
          </w:p>
        </w:tc>
      </w:tr>
      <w:tr>
        <w:trPr/>
        <w:tc>
          <w:tcPr>
            <w:tcW w:w="662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ListParagraph"/>
              <w:spacing w:lineRule="auto" w:line="360"/>
              <w:ind w:left="0" w:right="0" w:hanging="0"/>
              <w:jc w:val="both"/>
              <w:rPr>
                <w:rFonts w:ascii="Times New Roman" w:hAnsi="Times New Roman" w:cs="Arial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7. </w:t>
            </w:r>
            <w:r>
              <w:rPr>
                <w:rFonts w:cs="Arial" w:ascii="Times New Roman" w:hAnsi="Times New Roman"/>
                <w:b/>
                <w:bCs/>
                <w:color w:val="000000"/>
                <w:sz w:val="24"/>
                <w:szCs w:val="24"/>
              </w:rPr>
              <w:t>Participação em Eventos Internacionais</w:t>
            </w:r>
          </w:p>
        </w:tc>
        <w:tc>
          <w:tcPr>
            <w:tcW w:w="79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ListParagraph"/>
              <w:spacing w:lineRule="auto" w:line="360"/>
              <w:ind w:left="0" w:right="0" w:hanging="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A UFVJM tem estado representada em grandes eventos internacionais promovidos por CAPES e CNPq, acrescentados por aqueles promovidos por agências de promoção internacional: FAUBAI, PMM, EAIE, NAFSA, OXFORD, Partners of 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the 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Americas e OEA, momento rico para a divulgação de informações institucionais 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e 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para o estabelecimento de novas parcerias.</w:t>
            </w:r>
          </w:p>
        </w:tc>
      </w:tr>
      <w:tr>
        <w:trPr/>
        <w:tc>
          <w:tcPr>
            <w:tcW w:w="662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360" w:before="0" w:after="200"/>
              <w:ind w:left="0" w:right="0" w:hanging="0"/>
              <w:jc w:val="both"/>
              <w:rPr>
                <w:rFonts w:ascii="Times New Roman" w:hAnsi="Times New Roman" w:cs="Arial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8. </w:t>
            </w:r>
            <w:r>
              <w:rPr>
                <w:rFonts w:cs="Arial" w:ascii="Times New Roman" w:hAnsi="Times New Roman"/>
                <w:b/>
                <w:bCs/>
                <w:color w:val="000000"/>
                <w:sz w:val="24"/>
                <w:szCs w:val="24"/>
              </w:rPr>
              <w:t>Ampliar o uso de tecnologias digitais para a internacionalização</w:t>
            </w:r>
          </w:p>
        </w:tc>
        <w:tc>
          <w:tcPr>
            <w:tcW w:w="79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ListParagraph"/>
              <w:spacing w:lineRule="auto" w:line="360"/>
              <w:ind w:left="0" w:right="0" w:hanging="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A UFVJM está buscando aumentar o compartilhamento do conhecimento por meio do uso de tecnologias online existentes que aproximam as parcerias internacionais, a exemplo do uso de teleconferências e skype. 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Para atingir esse objetivo usa como instrumento institucional a EAD para executar projetos educativos e de extensão, destacando-se a parceria com instituições argentinas interessadas no uso da EAD para o ensino de matemática e língua espanhola.</w:t>
            </w:r>
          </w:p>
          <w:p>
            <w:pPr>
              <w:pStyle w:val="ListParagraph"/>
              <w:spacing w:lineRule="auto" w:line="360"/>
              <w:ind w:left="0" w:right="0" w:hanging="0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ab/>
              <w:t>Além disso, pretende-se buscar a construção de um modelo de EAD para o ensino do português e espanhol em universidades argentinas,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 e 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 xml:space="preserve">em </w:t>
            </w:r>
            <w:r>
              <w:rPr>
                <w:rFonts w:cs="Arial" w:ascii="Times New Roman" w:hAnsi="Times New Roman"/>
                <w:color w:val="000000"/>
                <w:sz w:val="24"/>
                <w:szCs w:val="24"/>
              </w:rPr>
              <w:t>universidades americanas articuladas com os Companheiros das Américas e com a Fundação Fulbright.</w:t>
            </w:r>
          </w:p>
        </w:tc>
      </w:tr>
    </w:tbl>
    <w:p>
      <w:pPr>
        <w:sectPr>
          <w:headerReference w:type="default" r:id="rId10"/>
          <w:footerReference w:type="default" r:id="rId11"/>
          <w:type w:val="nextPage"/>
          <w:pgSz w:orient="landscape" w:w="16838" w:h="11906"/>
          <w:pgMar w:left="1134" w:right="1134" w:header="1134" w:top="3812" w:footer="1134" w:bottom="1670" w:gutter="0"/>
          <w:pgNumType w:fmt="decimal"/>
          <w:formProt w:val="false"/>
          <w:textDirection w:val="lrTb"/>
        </w:sectPr>
        <w:pStyle w:val="Normal"/>
        <w:rPr/>
      </w:pPr>
      <w:r>
        <w:rPr/>
      </w:r>
    </w:p>
    <w:tbl>
      <w:tblPr>
        <w:tblW w:w="9549" w:type="dxa"/>
        <w:jc w:val="left"/>
        <w:tblInd w:w="15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6041"/>
        <w:gridCol w:w="1813"/>
      </w:tblGrid>
      <w:tr>
        <w:trPr/>
        <w:tc>
          <w:tcPr>
            <w:tcW w:w="1695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942975" cy="723900"/>
                  <wp:effectExtent l="0" t="0" r="0" b="0"/>
                  <wp:docPr id="10" name="Figura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Figura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1" w:type="dxa"/>
            <w:tcBorders/>
            <w:shd w:fill="FFFFFF" w:val="clear"/>
            <w:vAlign w:val="center"/>
          </w:tcPr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MINISTÉRIO DA EDUCAÇÃO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DIRETORIA DE RELAÇÕES INTERNACIONAIS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relacoesinternacionais@ufvjm.edu.br</w:t>
            </w:r>
          </w:p>
        </w:tc>
        <w:tc>
          <w:tcPr>
            <w:tcW w:w="1813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1019175" cy="914400"/>
                  <wp:effectExtent l="0" t="0" r="0" b="0"/>
                  <wp:docPr id="11" name="Figura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Figura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cs="Arial"/>
          <w:b/>
          <w:b/>
          <w:bCs/>
          <w:color w:val="000000"/>
          <w:sz w:val="24"/>
          <w:szCs w:val="24"/>
          <w:u w:val="none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  <w:u w:val="none"/>
        </w:rPr>
        <w:tab/>
        <w:t xml:space="preserve">9. </w:t>
      </w:r>
      <w:r>
        <w:rPr>
          <w:rFonts w:cs="Arial" w:ascii="Times New Roman" w:hAnsi="Times New Roman"/>
          <w:b/>
          <w:bCs/>
          <w:color w:val="000000"/>
          <w:sz w:val="24"/>
          <w:szCs w:val="24"/>
          <w:u w:val="none"/>
        </w:rPr>
        <w:t>O futuro da internacionalização na UFVJM</w:t>
      </w:r>
    </w:p>
    <w:p>
      <w:pPr>
        <w:pStyle w:val="Normal"/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ab/>
        <w:t>Apesar do avanço existente no campo da internacionalização, seja ele ancorado em projetos oficiais ou por iniciativa de pesquisadores, existe um caminho a ser percorrido que abarca as seguintes questões:</w:t>
      </w:r>
    </w:p>
    <w:p>
      <w:pPr>
        <w:pStyle w:val="Normal"/>
        <w:numPr>
          <w:ilvl w:val="0"/>
          <w:numId w:val="17"/>
        </w:numPr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Continuar a capacitação da equipe da DRI e da comunidade acadêmica;</w:t>
      </w:r>
    </w:p>
    <w:p>
      <w:pPr>
        <w:pStyle w:val="Normal"/>
        <w:numPr>
          <w:ilvl w:val="0"/>
          <w:numId w:val="17"/>
        </w:numPr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Atualizar o equipamento de informática;</w:t>
      </w:r>
    </w:p>
    <w:p>
      <w:pPr>
        <w:pStyle w:val="Normal"/>
        <w:numPr>
          <w:ilvl w:val="0"/>
          <w:numId w:val="17"/>
        </w:numPr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Implantar um sistema de software que permita sistematizar e acompanhar a evolução da internacionalização da UFVJM;</w:t>
      </w:r>
    </w:p>
    <w:p>
      <w:pPr>
        <w:pStyle w:val="Normal"/>
        <w:numPr>
          <w:ilvl w:val="0"/>
          <w:numId w:val="17"/>
        </w:numPr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Aumentar o número de pesquisadores participantes em redes, via EAD, sejam eles regionais ou internacionais, ampliando e diversificando;</w:t>
      </w:r>
    </w:p>
    <w:p>
      <w:pPr>
        <w:pStyle w:val="Normal"/>
        <w:numPr>
          <w:ilvl w:val="0"/>
          <w:numId w:val="17"/>
        </w:numPr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Na área de apoio a celebração de convênios assegurar a tradução dos mesmos em várias línguas;</w:t>
      </w:r>
    </w:p>
    <w:p>
      <w:pPr>
        <w:pStyle w:val="Normal"/>
        <w:numPr>
          <w:ilvl w:val="0"/>
          <w:numId w:val="17"/>
        </w:numPr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Fortalecer o Núcleo de Ensino de Português para Estrangeiros (Nuple), como instrumento de presença da universidade com uma língua portuguesa autóctone;</w:t>
      </w:r>
    </w:p>
    <w:p>
      <w:pPr>
        <w:pStyle w:val="Normal"/>
        <w:numPr>
          <w:ilvl w:val="0"/>
          <w:numId w:val="17"/>
        </w:numPr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Buscar novas fronteiras de cooperação possíveis e ainda não exploradas no eixo sul–sul;</w:t>
      </w:r>
    </w:p>
    <w:p>
      <w:pPr>
        <w:pStyle w:val="Normal"/>
        <w:numPr>
          <w:ilvl w:val="0"/>
          <w:numId w:val="17"/>
        </w:numPr>
        <w:spacing w:lineRule="auto" w:line="3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Discutir em eventos internacionais novas fronteiras de cooperação tendo como base as experiências institucionais.</w:t>
      </w:r>
    </w:p>
    <w:p>
      <w:pPr>
        <w:pStyle w:val="ListParagraph"/>
        <w:numPr>
          <w:ilvl w:val="0"/>
          <w:numId w:val="0"/>
        </w:numPr>
        <w:spacing w:lineRule="auto" w:line="360"/>
        <w:ind w:left="1440" w:right="0" w:hanging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pageBreakBefore w:val="false"/>
        <w:spacing w:lineRule="auto" w:line="36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10. Lista </w:t>
      </w:r>
      <w:r>
        <w:rPr>
          <w:rFonts w:ascii="Times New Roman" w:hAnsi="Times New Roman"/>
          <w:b/>
          <w:bCs/>
          <w:sz w:val="24"/>
          <w:szCs w:val="24"/>
        </w:rPr>
        <w:t>de s</w:t>
      </w:r>
      <w:r>
        <w:rPr>
          <w:rFonts w:ascii="Times New Roman" w:hAnsi="Times New Roman"/>
          <w:b/>
          <w:bCs/>
          <w:sz w:val="24"/>
          <w:szCs w:val="24"/>
        </w:rPr>
        <w:t>iglas utilizadas no documento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CAPES - </w:t>
      </w:r>
      <w:r>
        <w:rPr>
          <w:rFonts w:ascii="Times New Roman" w:hAnsi="Times New Roman"/>
          <w:b w:val="false"/>
          <w:bCs w:val="false"/>
          <w:sz w:val="24"/>
          <w:szCs w:val="24"/>
        </w:rPr>
        <w:t>Coordenação de Aperfeiçoamento de Pessoal de Nível Superior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CNPq - </w:t>
      </w:r>
      <w:r>
        <w:rPr>
          <w:rFonts w:ascii="Times New Roman" w:hAnsi="Times New Roman"/>
          <w:b w:val="false"/>
          <w:bCs w:val="false"/>
          <w:sz w:val="24"/>
          <w:szCs w:val="24"/>
        </w:rPr>
        <w:t>Conselho Nacional de Desenvolvimento Científico e Tecnológico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FAP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Fundação de Apoio à Pesquisa</w:t>
      </w:r>
    </w:p>
    <w:tbl>
      <w:tblPr>
        <w:tblW w:w="9549" w:type="dxa"/>
        <w:jc w:val="left"/>
        <w:tblInd w:w="15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6041"/>
        <w:gridCol w:w="1813"/>
      </w:tblGrid>
      <w:tr>
        <w:trPr/>
        <w:tc>
          <w:tcPr>
            <w:tcW w:w="1695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942975" cy="723900"/>
                  <wp:effectExtent l="0" t="0" r="0" b="0"/>
                  <wp:docPr id="12" name="Figura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Figura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1" w:type="dxa"/>
            <w:tcBorders/>
            <w:shd w:fill="FFFFFF" w:val="clear"/>
            <w:vAlign w:val="center"/>
          </w:tcPr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MINISTÉRIO DA EDUCAÇÃO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DIRETORIA DE RELAÇÕES INTERNACIONAIS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relacoesinternacionais@ufvjm.edu.br</w:t>
            </w:r>
          </w:p>
        </w:tc>
        <w:tc>
          <w:tcPr>
            <w:tcW w:w="1813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1019175" cy="914400"/>
                  <wp:effectExtent l="0" t="0" r="0" b="0"/>
                  <wp:docPr id="13" name="Figura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igura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PNE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Plano Nacional de Educação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PDI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Plano de Desenvolvimento Institucional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IES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Instituição de Ensino Superior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ICT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Instituto de Ciência e Tecnologia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MEC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Ministério da Educação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S</w:t>
      </w:r>
      <w:r>
        <w:rPr>
          <w:rFonts w:ascii="Times New Roman" w:hAnsi="Times New Roman"/>
          <w:b w:val="false"/>
          <w:bCs w:val="false"/>
          <w:sz w:val="24"/>
          <w:szCs w:val="24"/>
        </w:rPr>
        <w:t>E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Su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Secretaria de Educação Superior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PNPG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Programa Nacional de Pós-Graduação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B</w:t>
      </w:r>
      <w:r>
        <w:rPr>
          <w:rFonts w:ascii="Times New Roman" w:hAnsi="Times New Roman"/>
          <w:b w:val="false"/>
          <w:bCs w:val="false"/>
          <w:sz w:val="24"/>
          <w:szCs w:val="24"/>
        </w:rPr>
        <w:t>RAFITEC - BRasil France Ingénieur TEChnologie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B</w:t>
      </w:r>
      <w:r>
        <w:rPr>
          <w:rFonts w:ascii="Times New Roman" w:hAnsi="Times New Roman"/>
          <w:b w:val="false"/>
          <w:bCs w:val="false"/>
          <w:sz w:val="24"/>
          <w:szCs w:val="24"/>
        </w:rPr>
        <w:t>RANETEC – BRAzil NEtherlands TEChnologie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UNIMINAS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Rede de Universidades Mineiras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G</w:t>
      </w:r>
      <w:r>
        <w:rPr>
          <w:rFonts w:ascii="Times New Roman" w:hAnsi="Times New Roman"/>
          <w:b w:val="false"/>
          <w:bCs w:val="false"/>
          <w:sz w:val="24"/>
          <w:szCs w:val="24"/>
        </w:rPr>
        <w:t>RAAL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- </w:t>
      </w:r>
      <w:r>
        <w:rPr>
          <w:rFonts w:ascii="Times New Roman" w:hAnsi="Times New Roman"/>
          <w:b w:val="false"/>
          <w:bCs w:val="false"/>
          <w:sz w:val="24"/>
          <w:szCs w:val="24"/>
        </w:rPr>
        <w:t>Grups de Recerca d' Amèrica i Àfrica Llatines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NUMIES - </w:t>
      </w:r>
      <w:r>
        <w:rPr>
          <w:rFonts w:ascii="Times New Roman" w:hAnsi="Times New Roman"/>
          <w:b w:val="false"/>
          <w:bCs w:val="false"/>
          <w:sz w:val="24"/>
          <w:szCs w:val="24"/>
        </w:rPr>
        <w:t>Núcleo Mineiro de Internacionalização do Ensino Superior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cei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A3 - </w:t>
      </w:r>
      <w:r>
        <w:rPr>
          <w:rFonts w:ascii="Times New Roman" w:hAnsi="Times New Roman"/>
          <w:b w:val="false"/>
          <w:bCs w:val="false"/>
          <w:sz w:val="24"/>
          <w:szCs w:val="24"/>
        </w:rPr>
        <w:t>Campus de Excelencia Internacional Agroalimentario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PEC-G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Programa de Estudante Convênio de Graduação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PEC-PG - </w:t>
      </w:r>
      <w:r>
        <w:rPr>
          <w:rFonts w:ascii="Times New Roman" w:hAnsi="Times New Roman"/>
          <w:b w:val="false"/>
          <w:bCs w:val="false"/>
          <w:sz w:val="24"/>
          <w:szCs w:val="24"/>
        </w:rPr>
        <w:t>Programa de Estudante Convênio de Pós-Graduação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AIESAD - </w:t>
      </w:r>
      <w:r>
        <w:rPr>
          <w:rFonts w:ascii="Times New Roman" w:hAnsi="Times New Roman"/>
          <w:b w:val="false"/>
          <w:bCs w:val="false"/>
          <w:sz w:val="24"/>
          <w:szCs w:val="24"/>
        </w:rPr>
        <w:t>Asociación Iberoamericana de Educación Superior a Distancia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GCUB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Grupo Coimbra de Universidades Brasileiras</w:t>
      </w:r>
      <w:r>
        <w:rPr>
          <w:rFonts w:ascii="Times New Roman" w:hAnsi="Times New Roman"/>
          <w:b w:val="false"/>
          <w:bCs w:val="false"/>
          <w:sz w:val="24"/>
          <w:szCs w:val="24"/>
        </w:rPr>
        <w:br/>
        <w:t xml:space="preserve">FAFEOD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Faculdade Federal de Odontologia</w:t>
      </w:r>
    </w:p>
    <w:p>
      <w:pPr>
        <w:pStyle w:val="Normal"/>
        <w:spacing w:lineRule="auto" w:line="36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AULP – </w:t>
      </w:r>
      <w:r>
        <w:rPr>
          <w:rFonts w:ascii="Times New Roman" w:hAnsi="Times New Roman"/>
          <w:b w:val="false"/>
          <w:bCs w:val="false"/>
          <w:sz w:val="24"/>
          <w:szCs w:val="24"/>
        </w:rPr>
        <w:t>Associação de Universidades de Língua Portuguesa</w:t>
      </w:r>
    </w:p>
    <w:p>
      <w:pPr>
        <w:pStyle w:val="Normal"/>
        <w:spacing w:lineRule="auto" w:line="36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 </w:t>
      </w:r>
      <w:r>
        <w:rPr>
          <w:rFonts w:ascii="Times New Roman" w:hAnsi="Times New Roman"/>
          <w:b/>
          <w:sz w:val="24"/>
          <w:szCs w:val="24"/>
        </w:rPr>
        <w:t>D</w:t>
      </w:r>
      <w:r>
        <w:rPr>
          <w:rFonts w:ascii="Times New Roman" w:hAnsi="Times New Roman"/>
          <w:b/>
          <w:sz w:val="24"/>
          <w:szCs w:val="24"/>
        </w:rPr>
        <w:t>ocumentos consultados</w:t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49" w:type="dxa"/>
        <w:jc w:val="left"/>
        <w:tblInd w:w="15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6041"/>
        <w:gridCol w:w="1813"/>
      </w:tblGrid>
      <w:tr>
        <w:trPr/>
        <w:tc>
          <w:tcPr>
            <w:tcW w:w="1695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942975" cy="723900"/>
                  <wp:effectExtent l="0" t="0" r="0" b="0"/>
                  <wp:docPr id="14" name="Figura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Figura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1" w:type="dxa"/>
            <w:tcBorders/>
            <w:shd w:fill="FFFFFF" w:val="clear"/>
            <w:vAlign w:val="center"/>
          </w:tcPr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MINISTÉRIO DA EDUCAÇÃO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DIRETORIA DE RELAÇÕES INTERNACIONAIS</w:t>
            </w:r>
          </w:p>
          <w:p>
            <w:pPr>
              <w:pStyle w:val="Cabealho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relacoesinternacionais@ufvjm.edu.br</w:t>
            </w:r>
          </w:p>
        </w:tc>
        <w:tc>
          <w:tcPr>
            <w:tcW w:w="1813" w:type="dxa"/>
            <w:tcBorders/>
            <w:shd w:fill="FFFFFF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1019175" cy="914400"/>
                  <wp:effectExtent l="0" t="0" r="0" b="0"/>
                  <wp:docPr id="15" name="Figura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Figura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Alinhamento Estratégico da UFVJM – 2009-2013.</w:t>
      </w:r>
    </w:p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PDI (Plano de Desenvolvimento Institucional) para o período 2009-2013.</w:t>
      </w:r>
    </w:p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PDI da UFVJM 2017-2021 (ainda em discussão).</w:t>
      </w:r>
    </w:p>
    <w:p>
      <w:pPr>
        <w:pStyle w:val="Normal"/>
        <w:numPr>
          <w:ilvl w:val="0"/>
          <w:numId w:val="18"/>
        </w:numPr>
        <w:spacing w:lineRule="auto" w:line="360"/>
        <w:rPr/>
      </w:pPr>
      <w:r>
        <w:rPr>
          <w:rFonts w:ascii="Times New Roman" w:hAnsi="Times New Roman"/>
          <w:sz w:val="24"/>
          <w:szCs w:val="24"/>
        </w:rPr>
        <w:t xml:space="preserve">Plano Nacional de Educação </w:t>
      </w:r>
      <w:r>
        <w:rPr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- </w:t>
      </w:r>
      <w:r>
        <w:rPr>
          <w:rFonts w:cs="Arial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Lei</w:t>
      </w:r>
      <w:hyperlink r:id="rId18">
        <w:r>
          <w:rPr>
            <w:rStyle w:val="Nfaseforte"/>
            <w:rFonts w:cs="Arial" w:ascii="Times New Roman" w:hAnsi="Times New Roman"/>
            <w:b w:val="false"/>
            <w:bCs w:val="false"/>
            <w:i w:val="false"/>
            <w:caps w:val="false"/>
            <w:smallCaps w:val="false"/>
            <w:color w:val="000080"/>
            <w:spacing w:val="0"/>
            <w:sz w:val="24"/>
            <w:szCs w:val="24"/>
            <w:u w:val="none"/>
          </w:rPr>
          <w:t xml:space="preserve"> </w:t>
        </w:r>
      </w:hyperlink>
      <w:r>
        <w:rPr>
          <w:rStyle w:val="Nfaseforte"/>
          <w:rFonts w:cs="Arial" w:ascii="Times New Roman" w:hAnsi="Times New Roman"/>
          <w:b w:val="false"/>
          <w:bCs w:val="false"/>
          <w:i w:val="false"/>
          <w:caps w:val="false"/>
          <w:smallCaps w:val="false"/>
          <w:color w:val="000080"/>
          <w:spacing w:val="0"/>
          <w:sz w:val="24"/>
          <w:szCs w:val="24"/>
          <w:u w:val="none"/>
        </w:rPr>
        <w:t>nº</w:t>
      </w:r>
      <w:hyperlink r:id="rId19">
        <w:r>
          <w:rPr>
            <w:rStyle w:val="Nfaseforte"/>
            <w:rFonts w:cs="Arial" w:ascii="Times New Roman" w:hAnsi="Times New Roman"/>
            <w:b w:val="false"/>
            <w:bCs w:val="false"/>
            <w:i w:val="false"/>
            <w:caps w:val="false"/>
            <w:smallCaps w:val="false"/>
            <w:color w:val="000000"/>
            <w:spacing w:val="0"/>
            <w:sz w:val="24"/>
            <w:szCs w:val="24"/>
            <w:u w:val="none"/>
          </w:rPr>
          <w:t xml:space="preserve"> 13.005, </w:t>
        </w:r>
      </w:hyperlink>
      <w:hyperlink r:id="rId20">
        <w:r>
          <w:rPr>
            <w:rStyle w:val="Nfaseforte"/>
            <w:rFonts w:cs="Arial" w:ascii="Times New Roman" w:hAnsi="Times New Roman"/>
            <w:b w:val="false"/>
            <w:bCs w:val="false"/>
            <w:i w:val="false"/>
            <w:caps w:val="false"/>
            <w:smallCaps w:val="false"/>
            <w:color w:val="000000"/>
            <w:spacing w:val="0"/>
            <w:sz w:val="24"/>
            <w:szCs w:val="24"/>
            <w:u w:val="none"/>
          </w:rPr>
          <w:t>de</w:t>
        </w:r>
      </w:hyperlink>
      <w:hyperlink r:id="rId21">
        <w:r>
          <w:rPr>
            <w:rStyle w:val="Nfaseforte"/>
            <w:rFonts w:cs="Arial" w:ascii="Times New Roman" w:hAnsi="Times New Roman"/>
            <w:b w:val="false"/>
            <w:bCs w:val="false"/>
            <w:i w:val="false"/>
            <w:caps w:val="false"/>
            <w:smallCaps w:val="false"/>
            <w:color w:val="000000"/>
            <w:spacing w:val="0"/>
            <w:sz w:val="24"/>
            <w:szCs w:val="24"/>
            <w:u w:val="none"/>
          </w:rPr>
          <w:t xml:space="preserve"> 25 </w:t>
        </w:r>
      </w:hyperlink>
      <w:hyperlink r:id="rId22">
        <w:r>
          <w:rPr>
            <w:rStyle w:val="Nfaseforte"/>
            <w:rFonts w:cs="Arial" w:ascii="Times New Roman" w:hAnsi="Times New Roman"/>
            <w:b w:val="false"/>
            <w:bCs w:val="false"/>
            <w:i w:val="false"/>
            <w:caps w:val="false"/>
            <w:smallCaps w:val="false"/>
            <w:color w:val="000000"/>
            <w:spacing w:val="0"/>
            <w:sz w:val="24"/>
            <w:szCs w:val="24"/>
            <w:u w:val="none"/>
          </w:rPr>
          <w:t>de junho de</w:t>
        </w:r>
      </w:hyperlink>
      <w:hyperlink r:id="rId23">
        <w:r>
          <w:rPr>
            <w:rStyle w:val="Nfaseforte"/>
            <w:rFonts w:cs="Arial" w:ascii="Times New Roman" w:hAnsi="Times New Roman"/>
            <w:b w:val="false"/>
            <w:bCs w:val="false"/>
            <w:i w:val="false"/>
            <w:caps w:val="false"/>
            <w:smallCaps w:val="false"/>
            <w:color w:val="000000"/>
            <w:spacing w:val="0"/>
            <w:sz w:val="24"/>
            <w:szCs w:val="24"/>
            <w:u w:val="none"/>
          </w:rPr>
          <w:t xml:space="preserve"> 2014</w:t>
        </w:r>
      </w:hyperlink>
      <w:r>
        <w:rPr>
          <w:rFonts w:cs="Arial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</w:t>
      </w:r>
    </w:p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Plano de Pós-Graduação  </w:t>
      </w:r>
      <w:r>
        <w:rPr>
          <w:rFonts w:cs="Arial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(PNPG) 2011-2020.</w:t>
      </w:r>
    </w:p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Edital do MEC/SeSu para internacionalização – 2007.</w:t>
      </w:r>
    </w:p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Edital da FAPEMIG – 2011 para criação e/ou fortalecimento das Assessorias Internacionais das IES Mineiras.</w:t>
      </w:r>
    </w:p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Edital PMM – MEC/SeSu -  </w:t>
      </w:r>
      <w:r>
        <w:rPr>
          <w:rFonts w:cs="Arial" w:ascii="Times New Roman" w:hAnsi="Times New Roman"/>
          <w:b w:val="false"/>
          <w:bCs w:val="false"/>
          <w:i/>
          <w:sz w:val="24"/>
          <w:szCs w:val="24"/>
        </w:rPr>
        <w:t>2010. “Apoyo al Programa de Movilidad MERCOSUR en Educación Superior”. Financiamento da União Europeia, coordenado pela UDELAR.</w:t>
      </w:r>
    </w:p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Edital N11/14 da FAPEMIG -  Fortalecimento das Assessorias Internacionais Mineiras – 2014.</w:t>
      </w:r>
    </w:p>
    <w:p>
      <w:pPr>
        <w:pStyle w:val="Normal"/>
        <w:numPr>
          <w:ilvl w:val="0"/>
          <w:numId w:val="18"/>
        </w:numPr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Agenda 19 da UFVJM – Programa “A UFVJM para o Mundo”.</w:t>
      </w:r>
    </w:p>
    <w:p>
      <w:pPr>
        <w:pStyle w:val="Normal"/>
        <w:numPr>
          <w:ilvl w:val="0"/>
          <w:numId w:val="18"/>
        </w:numPr>
        <w:spacing w:lineRule="auto" w:line="360" w:before="0" w:after="20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Politica de Internacionalização da UFRN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Arial Narro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spacing w:before="0" w:after="200"/>
      <w:jc w:val="right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instrText> PAGE </w:instrText>
    </w:r>
    <w:r>
      <w:fldChar w:fldCharType="separate"/>
    </w:r>
    <w:r>
      <w:t>15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spacing w:before="0" w:after="200"/>
      <w:jc w:val="right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instrText> PAGE </w:instrText>
    </w:r>
    <w:r>
      <w:fldChar w:fldCharType="separate"/>
    </w:r>
    <w:r>
      <w:t>22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60" w:type="dxa"/>
      <w:jc w:val="left"/>
      <w:tblInd w:w="108" w:type="dxa"/>
      <w:tblBorders/>
      <w:tblCellMar>
        <w:top w:w="0" w:type="dxa"/>
        <w:left w:w="108" w:type="dxa"/>
        <w:bottom w:w="0" w:type="dxa"/>
        <w:right w:w="108" w:type="dxa"/>
      </w:tblCellMar>
    </w:tblPr>
    <w:tblGrid>
      <w:gridCol w:w="1636"/>
      <w:gridCol w:w="6329"/>
      <w:gridCol w:w="1695"/>
    </w:tblGrid>
    <w:tr>
      <w:trPr/>
      <w:tc>
        <w:tcPr>
          <w:tcW w:w="1636" w:type="dxa"/>
          <w:tcBorders/>
          <w:shd w:fill="auto" w:val="clear"/>
          <w:vAlign w:val="center"/>
        </w:tcPr>
        <w:p>
          <w:pPr>
            <w:pStyle w:val="Cabealho"/>
            <w:snapToGrid w:val="false"/>
            <w:spacing w:before="0" w:after="200"/>
            <w:jc w:val="center"/>
            <w:rPr>
              <w:lang w:val="zxx" w:eastAsia="zxx"/>
            </w:rPr>
          </w:pPr>
          <w:r>
            <w:rPr>
              <w:lang w:val="zxx" w:eastAsia="zxx"/>
            </w:rPr>
            <w:drawing>
              <wp:inline distT="0" distB="0" distL="0" distR="0">
                <wp:extent cx="939165" cy="718820"/>
                <wp:effectExtent l="0" t="0" r="0" b="0"/>
                <wp:docPr id="6" name="Figura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Figura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9165" cy="718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29" w:type="dxa"/>
          <w:tcBorders/>
          <w:shd w:fill="auto" w:val="clear"/>
          <w:vAlign w:val="center"/>
        </w:tcPr>
        <w:p>
          <w:pPr>
            <w:pStyle w:val="Cabealho"/>
            <w:spacing w:lineRule="auto" w:line="240" w:before="0" w:after="0"/>
            <w:jc w:val="center"/>
            <w:rPr>
              <w:rFonts w:ascii="Times New Roman" w:hAnsi="Times New Roman" w:cs="Arial"/>
              <w:b/>
              <w:b/>
              <w:bCs/>
              <w:sz w:val="24"/>
              <w:szCs w:val="24"/>
            </w:rPr>
          </w:pPr>
          <w:r>
            <w:rPr>
              <w:rFonts w:cs="Arial"/>
              <w:b/>
              <w:bCs/>
              <w:sz w:val="24"/>
              <w:szCs w:val="24"/>
            </w:rPr>
            <w:t>MINISTÉRIO DA EDUCAÇÃO</w:t>
          </w:r>
        </w:p>
        <w:p>
          <w:pPr>
            <w:pStyle w:val="Cabealho"/>
            <w:spacing w:lineRule="auto" w:line="240" w:before="0" w:after="0"/>
            <w:jc w:val="center"/>
            <w:rPr>
              <w:rFonts w:ascii="Times New Roman" w:hAnsi="Times New Roman" w:cs="Arial"/>
              <w:b/>
              <w:b/>
              <w:bCs/>
              <w:sz w:val="24"/>
              <w:szCs w:val="24"/>
            </w:rPr>
          </w:pPr>
          <w:r>
            <w:rPr>
              <w:rFonts w:cs="Arial"/>
              <w:b/>
              <w:bCs/>
              <w:sz w:val="24"/>
              <w:szCs w:val="24"/>
            </w:rPr>
            <w:t>UNIVERSIDADE FEDERAL DOS VALES DO JEQUITINHONHA E MUCURI</w:t>
          </w:r>
        </w:p>
        <w:p>
          <w:pPr>
            <w:pStyle w:val="Cabealho"/>
            <w:spacing w:lineRule="auto" w:line="240" w:before="0" w:after="0"/>
            <w:jc w:val="center"/>
            <w:rPr>
              <w:rFonts w:ascii="Times New Roman" w:hAnsi="Times New Roman" w:cs="Arial"/>
              <w:b/>
              <w:b/>
              <w:bCs/>
              <w:sz w:val="24"/>
              <w:szCs w:val="24"/>
            </w:rPr>
          </w:pPr>
          <w:r>
            <w:rPr>
              <w:rFonts w:cs="Arial"/>
              <w:b/>
              <w:bCs/>
              <w:sz w:val="24"/>
              <w:szCs w:val="24"/>
            </w:rPr>
            <w:t>DIRETORIA DE RELAÇÕES INTERNACIONAIS</w:t>
          </w:r>
        </w:p>
        <w:p>
          <w:pPr>
            <w:pStyle w:val="Cabealho"/>
            <w:tabs>
              <w:tab w:val="right" w:pos="8504" w:leader="none"/>
            </w:tabs>
            <w:snapToGrid w:val="false"/>
            <w:spacing w:lineRule="auto" w:line="240" w:before="0" w:after="0"/>
            <w:jc w:val="center"/>
            <w:rPr>
              <w:rFonts w:ascii="Times New Roman" w:hAnsi="Times New Roman" w:cs="Arial"/>
              <w:b/>
              <w:b/>
              <w:bCs/>
              <w:sz w:val="24"/>
              <w:szCs w:val="24"/>
            </w:rPr>
          </w:pPr>
          <w:r>
            <w:rPr>
              <w:rFonts w:cs="Arial"/>
              <w:b/>
              <w:bCs/>
              <w:sz w:val="24"/>
              <w:szCs w:val="24"/>
            </w:rPr>
            <w:t>relacoesinternacionais@ufvjm.edu.br</w:t>
          </w:r>
        </w:p>
      </w:tc>
      <w:tc>
        <w:tcPr>
          <w:tcW w:w="1695" w:type="dxa"/>
          <w:tcBorders/>
          <w:shd w:fill="auto" w:val="clear"/>
          <w:vAlign w:val="center"/>
        </w:tcPr>
        <w:p>
          <w:pPr>
            <w:pStyle w:val="Cabealho"/>
            <w:snapToGrid w:val="false"/>
            <w:spacing w:before="0" w:after="200"/>
            <w:jc w:val="center"/>
            <w:rPr>
              <w:lang w:val="zxx" w:eastAsia="zxx"/>
            </w:rPr>
          </w:pPr>
          <w:r>
            <w:rPr>
              <w:lang w:val="zxx" w:eastAsia="zxx"/>
            </w:rPr>
            <w:drawing>
              <wp:inline distT="0" distB="0" distL="0" distR="0">
                <wp:extent cx="1015365" cy="911860"/>
                <wp:effectExtent l="0" t="0" r="0" b="0"/>
                <wp:docPr id="7" name="Figura6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Figura6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5365" cy="911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tbl>
    <w:tblPr>
      <w:tblW w:w="14520" w:type="dxa"/>
      <w:jc w:val="left"/>
      <w:tblInd w:w="108" w:type="dxa"/>
      <w:tblBorders/>
      <w:tblCellMar>
        <w:top w:w="0" w:type="dxa"/>
        <w:left w:w="108" w:type="dxa"/>
        <w:bottom w:w="0" w:type="dxa"/>
        <w:right w:w="108" w:type="dxa"/>
      </w:tblCellMar>
    </w:tblPr>
    <w:tblGrid>
      <w:gridCol w:w="1636"/>
      <w:gridCol w:w="11009"/>
      <w:gridCol w:w="1875"/>
    </w:tblGrid>
    <w:tr>
      <w:trPr/>
      <w:tc>
        <w:tcPr>
          <w:tcW w:w="1636" w:type="dxa"/>
          <w:tcBorders/>
          <w:shd w:fill="auto" w:val="clear"/>
          <w:vAlign w:val="center"/>
        </w:tcPr>
        <w:p>
          <w:pPr>
            <w:pStyle w:val="Cabealho"/>
            <w:snapToGrid w:val="false"/>
            <w:spacing w:before="0" w:after="200"/>
            <w:jc w:val="center"/>
            <w:rPr>
              <w:lang w:val="zxx" w:eastAsia="zxx"/>
            </w:rPr>
          </w:pPr>
          <w:r>
            <w:rPr>
              <w:lang w:val="zxx" w:eastAsia="zxx"/>
            </w:rPr>
            <w:drawing>
              <wp:inline distT="0" distB="0" distL="0" distR="0">
                <wp:extent cx="939165" cy="718820"/>
                <wp:effectExtent l="0" t="0" r="0" b="0"/>
                <wp:docPr id="8" name="Figura7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Figura7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9165" cy="718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009" w:type="dxa"/>
          <w:tcBorders/>
          <w:shd w:fill="auto" w:val="clear"/>
          <w:vAlign w:val="center"/>
        </w:tcPr>
        <w:p>
          <w:pPr>
            <w:pStyle w:val="Cabealho"/>
            <w:spacing w:lineRule="auto" w:line="240" w:before="0" w:after="0"/>
            <w:jc w:val="center"/>
            <w:rPr>
              <w:rFonts w:ascii="Times New Roman" w:hAnsi="Times New Roman" w:cs="Arial"/>
              <w:b/>
              <w:b/>
              <w:bCs/>
              <w:sz w:val="24"/>
              <w:szCs w:val="24"/>
            </w:rPr>
          </w:pPr>
          <w:r>
            <w:rPr>
              <w:rFonts w:cs="Arial"/>
              <w:b/>
              <w:bCs/>
              <w:sz w:val="24"/>
              <w:szCs w:val="24"/>
            </w:rPr>
            <w:t>MINISTÉRIO DA EDUCAÇÃO</w:t>
          </w:r>
        </w:p>
        <w:p>
          <w:pPr>
            <w:pStyle w:val="Cabealho"/>
            <w:spacing w:lineRule="auto" w:line="240" w:before="0" w:after="0"/>
            <w:jc w:val="center"/>
            <w:rPr>
              <w:rFonts w:ascii="Times New Roman" w:hAnsi="Times New Roman" w:cs="Arial"/>
              <w:b/>
              <w:b/>
              <w:bCs/>
              <w:sz w:val="24"/>
              <w:szCs w:val="24"/>
            </w:rPr>
          </w:pPr>
          <w:r>
            <w:rPr>
              <w:rFonts w:cs="Arial"/>
              <w:b/>
              <w:bCs/>
              <w:sz w:val="24"/>
              <w:szCs w:val="24"/>
            </w:rPr>
            <w:t>UNIVERSIDADE FEDERAL DOS VALES DO JEQUITINHONHA E MUCURI</w:t>
          </w:r>
        </w:p>
        <w:p>
          <w:pPr>
            <w:pStyle w:val="Cabealho"/>
            <w:spacing w:lineRule="auto" w:line="240" w:before="0" w:after="0"/>
            <w:jc w:val="center"/>
            <w:rPr>
              <w:rFonts w:ascii="Times New Roman" w:hAnsi="Times New Roman" w:cs="Arial"/>
              <w:b/>
              <w:b/>
              <w:bCs/>
              <w:sz w:val="24"/>
              <w:szCs w:val="24"/>
            </w:rPr>
          </w:pPr>
          <w:r>
            <w:rPr>
              <w:rFonts w:cs="Arial"/>
              <w:b/>
              <w:bCs/>
              <w:sz w:val="24"/>
              <w:szCs w:val="24"/>
            </w:rPr>
            <w:t>DIRETORIA DE RELAÇÕES INTERNACIONAIS</w:t>
          </w:r>
        </w:p>
        <w:p>
          <w:pPr>
            <w:pStyle w:val="Cabealho"/>
            <w:tabs>
              <w:tab w:val="right" w:pos="8504" w:leader="none"/>
            </w:tabs>
            <w:snapToGrid w:val="false"/>
            <w:spacing w:lineRule="auto" w:line="240" w:before="0" w:after="0"/>
            <w:jc w:val="center"/>
            <w:rPr>
              <w:rFonts w:ascii="Times New Roman" w:hAnsi="Times New Roman" w:cs="Arial"/>
              <w:b/>
              <w:b/>
              <w:bCs/>
              <w:sz w:val="24"/>
              <w:szCs w:val="24"/>
            </w:rPr>
          </w:pPr>
          <w:r>
            <w:rPr>
              <w:rFonts w:cs="Arial"/>
              <w:b/>
              <w:bCs/>
              <w:sz w:val="24"/>
              <w:szCs w:val="24"/>
            </w:rPr>
            <w:t>relacoesinternacionais@ufvjm.edu.br</w:t>
          </w:r>
        </w:p>
      </w:tc>
      <w:tc>
        <w:tcPr>
          <w:tcW w:w="1875" w:type="dxa"/>
          <w:tcBorders/>
          <w:shd w:fill="auto" w:val="clear"/>
          <w:vAlign w:val="center"/>
        </w:tcPr>
        <w:p>
          <w:pPr>
            <w:pStyle w:val="Cabealho"/>
            <w:snapToGrid w:val="false"/>
            <w:spacing w:before="0" w:after="200"/>
            <w:jc w:val="center"/>
            <w:rPr>
              <w:lang w:val="zxx" w:eastAsia="zxx"/>
            </w:rPr>
          </w:pPr>
          <w:r>
            <w:rPr>
              <w:lang w:val="zxx" w:eastAsia="zxx"/>
            </w:rPr>
            <w:drawing>
              <wp:inline distT="0" distB="0" distL="0" distR="0">
                <wp:extent cx="1015365" cy="911860"/>
                <wp:effectExtent l="0" t="0" r="0" b="0"/>
                <wp:docPr id="9" name="Figura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Figura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5365" cy="911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false"/>
        <w:rFonts w:cs="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  <w:rFonts w:cs="OpenSymbol"/>
      </w:rPr>
    </w:lvl>
  </w:abstractNum>
  <w:abstractNum w:abstractNumId="8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0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2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37997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keepNext/>
      <w:numPr>
        <w:ilvl w:val="0"/>
        <w:numId w:val="0"/>
      </w:numPr>
      <w:jc w:val="center"/>
      <w:outlineLvl w:val="0"/>
    </w:pPr>
    <w:rPr>
      <w:rFonts w:eastAsia="Times New Roman"/>
      <w:b/>
      <w:lang w:val="pt-PT"/>
    </w:rPr>
  </w:style>
  <w:style w:type="paragraph" w:styleId="Ttulo3">
    <w:name w:val="Heading 3"/>
    <w:basedOn w:val="Normal"/>
    <w:qFormat/>
    <w:pPr>
      <w:keepNext/>
      <w:numPr>
        <w:ilvl w:val="0"/>
        <w:numId w:val="0"/>
      </w:numPr>
      <w:jc w:val="center"/>
      <w:outlineLvl w:val="2"/>
    </w:pPr>
    <w:rPr>
      <w:rFonts w:eastAsia="Times New Roman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">
    <w:name w:val="Fonte parág. padr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ListLabel125">
    <w:name w:val="ListLabel 125"/>
    <w:qFormat/>
    <w:rPr>
      <w:rFonts w:cs="Symbol"/>
    </w:rPr>
  </w:style>
  <w:style w:type="character" w:styleId="ListLabel124">
    <w:name w:val="ListLabel 124"/>
    <w:qFormat/>
    <w:rPr>
      <w:rFonts w:cs="OpenSymbol"/>
    </w:rPr>
  </w:style>
  <w:style w:type="character" w:styleId="Nfaseforte">
    <w:name w:val="Ênfase forte"/>
    <w:qFormat/>
    <w:rPr>
      <w:b/>
      <w:bCs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Linkdainternetvisitado">
    <w:name w:val="Link da internet visitado"/>
    <w:rPr>
      <w:color w:val="800000"/>
      <w:u w:val="single"/>
      <w:lang w:val="zxx" w:eastAsia="zxx" w:bidi="zxx"/>
    </w:rPr>
  </w:style>
  <w:style w:type="character" w:styleId="Fontstyle01">
    <w:name w:val="fontstyle01"/>
    <w:basedOn w:val="DefaultParagraphFont"/>
    <w:qFormat/>
    <w:rPr>
      <w:rFonts w:ascii="Arial Narrow" w:hAnsi="Arial Narrow"/>
      <w:b w:val="false"/>
      <w:bCs w:val="false"/>
      <w:i w:val="false"/>
      <w:iCs w:val="false"/>
      <w:color w:val="000000"/>
      <w:sz w:val="24"/>
      <w:szCs w:val="24"/>
    </w:rPr>
  </w:style>
  <w:style w:type="character" w:styleId="Smbolosdenumerao">
    <w:name w:val="Símbolos de numeração"/>
    <w:qFormat/>
    <w:rPr/>
  </w:style>
  <w:style w:type="character" w:styleId="ListLabel123">
    <w:name w:val="ListLabel 123"/>
    <w:qFormat/>
    <w:rPr>
      <w:rFonts w:cs="Symbol"/>
      <w:b w:val="false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8e0579"/>
    <w:pPr>
      <w:spacing w:lineRule="auto" w:line="240" w:beforeAutospacing="1" w:after="0"/>
      <w:jc w:val="both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Western" w:customStyle="1">
    <w:name w:val="western"/>
    <w:basedOn w:val="Normal"/>
    <w:qFormat/>
    <w:rsid w:val="008e0579"/>
    <w:pPr>
      <w:spacing w:lineRule="auto" w:line="240" w:beforeAutospacing="1" w:after="0"/>
      <w:jc w:val="both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LONormal">
    <w:name w:val="LO-Normal"/>
    <w:qFormat/>
    <w:pPr>
      <w:widowControl w:val="false"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zh-CN" w:bidi="ar-SA"/>
    </w:rPr>
  </w:style>
  <w:style w:type="paragraph" w:styleId="Cabealho">
    <w:name w:val="Header"/>
    <w:basedOn w:val="Normal"/>
    <w:pPr>
      <w:widowControl w:val="false"/>
      <w:tabs>
        <w:tab w:val="center" w:pos="4252" w:leader="none"/>
        <w:tab w:val="right" w:pos="8504" w:leader="none"/>
      </w:tabs>
    </w:pPr>
    <w:rPr>
      <w:rFonts w:ascii="Times New Roman" w:hAnsi="Times New Roman" w:eastAsia="SimSun" w:cs="Mangal"/>
      <w:lang w:eastAsia="zh-CN" w:bidi="hi-IN"/>
    </w:rPr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Padro">
    <w:name w:val="Padrão"/>
    <w:qFormat/>
    <w:pPr>
      <w:widowControl/>
      <w:tabs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252525"/>
      <w:sz w:val="36"/>
      <w:szCs w:val="24"/>
      <w:u w:val="none"/>
      <w:em w:val="none"/>
      <w:lang w:val="pt-BR" w:eastAsia="en-US" w:bidi="ar-SA"/>
    </w:rPr>
  </w:style>
  <w:style w:type="paragraph" w:styleId="BodyTextIndent3">
    <w:name w:val="Body Text Indent 3"/>
    <w:basedOn w:val="Normal"/>
    <w:qFormat/>
    <w:pPr>
      <w:ind w:left="0" w:right="0" w:firstLine="1134"/>
      <w:jc w:val="both"/>
    </w:pPr>
    <w:rPr>
      <w:rFonts w:ascii="Arial" w:hAnsi="Arial" w:eastAsia="Times New Roman"/>
      <w:color w:val="000000"/>
    </w:rPr>
  </w:style>
  <w:style w:type="paragraph" w:styleId="Cabealho1">
    <w:name w:val="Cabeçalho1"/>
    <w:basedOn w:val="Normal"/>
    <w:qFormat/>
    <w:pPr>
      <w:tabs>
        <w:tab w:val="center" w:pos="4320" w:leader="none"/>
        <w:tab w:val="right" w:pos="8640" w:leader="none"/>
      </w:tabs>
    </w:pPr>
    <w:rPr/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hyperlink" Target="http://legislacao.planalto.gov.br/legisla/legislacao.nsf/Viw_Identificacao/lei 13.005-2014?OpenDocument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image" Target="media/image10.jpeg"/><Relationship Id="rId13" Type="http://schemas.openxmlformats.org/officeDocument/2006/relationships/image" Target="media/image11.jpeg"/><Relationship Id="rId14" Type="http://schemas.openxmlformats.org/officeDocument/2006/relationships/image" Target="media/image12.jpeg"/><Relationship Id="rId15" Type="http://schemas.openxmlformats.org/officeDocument/2006/relationships/image" Target="media/image13.jpeg"/><Relationship Id="rId16" Type="http://schemas.openxmlformats.org/officeDocument/2006/relationships/image" Target="media/image14.jpeg"/><Relationship Id="rId17" Type="http://schemas.openxmlformats.org/officeDocument/2006/relationships/image" Target="media/image15.jpeg"/><Relationship Id="rId18" Type="http://schemas.openxmlformats.org/officeDocument/2006/relationships/hyperlink" Target="http://legislacao.planalto.gov.br/legisla/legislacao.nsf/Viw_Identificacao/lei 13.005-2014?OpenDocument" TargetMode="External"/><Relationship Id="rId19" Type="http://schemas.openxmlformats.org/officeDocument/2006/relationships/hyperlink" Target="http://legislacao.planalto.gov.br/legisla/legislacao.nsf/Viw_Identificacao/lei 13.005-2014?OpenDocument" TargetMode="External"/><Relationship Id="rId20" Type="http://schemas.openxmlformats.org/officeDocument/2006/relationships/hyperlink" Target="http://legislacao.planalto.gov.br/legisla/legislacao.nsf/Viw_Identificacao/lei 13.005-2014?OpenDocument" TargetMode="External"/><Relationship Id="rId21" Type="http://schemas.openxmlformats.org/officeDocument/2006/relationships/hyperlink" Target="http://legislacao.planalto.gov.br/legisla/legislacao.nsf/Viw_Identificacao/lei 13.005-2014?OpenDocument" TargetMode="External"/><Relationship Id="rId22" Type="http://schemas.openxmlformats.org/officeDocument/2006/relationships/hyperlink" Target="http://legislacao.planalto.gov.br/legisla/legislacao.nsf/Viw_Identificacao/lei 13.005-2014?OpenDocument" TargetMode="External"/><Relationship Id="rId23" Type="http://schemas.openxmlformats.org/officeDocument/2006/relationships/hyperlink" Target="http://legislacao.planalto.gov.br/legisla/legislacao.nsf/Viw_Identificacao/lei 13.005-2014?OpenDocument" TargetMode="External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Relationship Id="rId2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7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9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9355D-B8C4-4EF2-BF78-05B95E9F2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LibreOffice/5.1.5.2$Windows_x86 LibreOffice_project/7a864d8825610a8c07cfc3bc01dd4fce6a9447e5</Application>
  <Pages>27</Pages>
  <Words>4564</Words>
  <Characters>27589</Characters>
  <CharactersWithSpaces>31866</CharactersWithSpaces>
  <Paragraphs>318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2018-02-07T17:57:00Z</dcterms:created>
  <dc:creator>usuario</dc:creator>
  <dc:description/>
  <dc:language>pt-BR</dc:language>
  <cp:lastModifiedBy/>
  <dcterms:modified xsi:type="dcterms:W3CDTF">2018-05-08T09:59:00Z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