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before="0" w:after="0"/>
        <w:ind w:left="0" w:right="0" w:hanging="0"/>
        <w:jc w:val="center"/>
        <w:rPr>
          <w:color w:val="000000"/>
        </w:rPr>
      </w:pPr>
      <w:r>
        <w:rPr/>
        <w:drawing>
          <wp:inline distT="0" distB="0" distL="0" distR="0">
            <wp:extent cx="838200" cy="819150"/>
            <wp:effectExtent l="0" t="0" r="0" b="0"/>
            <wp:docPr id="1" name="Imagem 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3128cd8-bccf-4ad2-b89a-018fba76c053"/>
                    <pic:cNvPicPr>
                      <a:picLocks noChangeAspect="1" noChangeArrowheads="1"/>
                    </pic:cNvPicPr>
                  </pic:nvPicPr>
                  <pic:blipFill>
                    <a:blip r:embed="rId2"/>
                    <a:stretch>
                      <a:fillRect/>
                    </a:stretch>
                  </pic:blipFill>
                  <pic:spPr bwMode="auto">
                    <a:xfrm>
                      <a:off x="0" y="0"/>
                      <a:ext cx="838200" cy="819150"/>
                    </a:xfrm>
                    <a:prstGeom prst="rect">
                      <a:avLst/>
                    </a:prstGeom>
                  </pic:spPr>
                </pic:pic>
              </a:graphicData>
            </a:graphic>
          </wp:inline>
        </w:drawing>
      </w:r>
    </w:p>
    <w:p>
      <w:pPr>
        <w:pStyle w:val="Normal"/>
        <w:spacing w:lineRule="auto" w:line="360" w:before="0" w:after="0"/>
        <w:ind w:left="0" w:right="0" w:hanging="0"/>
        <w:jc w:val="center"/>
        <w:rPr>
          <w:color w:val="000000"/>
        </w:rPr>
      </w:pPr>
      <w:r>
        <w:rPr>
          <w:rFonts w:ascii="Times New Roman" w:hAnsi="Times New Roman"/>
          <w:b/>
          <w:color w:val="000000"/>
          <w:sz w:val="24"/>
          <w:szCs w:val="24"/>
        </w:rPr>
        <w:t xml:space="preserve">MINISTÉRIO DA EDUCAÇÃO </w:t>
      </w:r>
    </w:p>
    <w:p>
      <w:pPr>
        <w:pStyle w:val="Normal"/>
        <w:spacing w:lineRule="auto" w:line="360" w:before="0" w:after="0"/>
        <w:ind w:left="0" w:right="0" w:hanging="0"/>
        <w:jc w:val="center"/>
        <w:rPr>
          <w:color w:val="000000"/>
        </w:rPr>
      </w:pPr>
      <w:r>
        <w:rPr>
          <w:rFonts w:ascii="Times New Roman" w:hAnsi="Times New Roman"/>
          <w:b/>
          <w:color w:val="000000"/>
          <w:sz w:val="24"/>
          <w:szCs w:val="24"/>
        </w:rPr>
        <w:t>UNIVERSIDADE FEDERAL DOS VALES DO JEQUITINHONHA E MUCURI</w:t>
      </w:r>
    </w:p>
    <w:p>
      <w:pPr>
        <w:pStyle w:val="Normal"/>
        <w:spacing w:lineRule="auto" w:line="360" w:before="0" w:after="0"/>
        <w:ind w:left="0" w:right="0" w:hanging="0"/>
        <w:jc w:val="center"/>
        <w:rPr>
          <w:rFonts w:ascii="Times New Roman" w:hAnsi="Times New Roman"/>
          <w:sz w:val="24"/>
          <w:szCs w:val="24"/>
        </w:rPr>
      </w:pPr>
      <w:r>
        <w:rPr>
          <w:rFonts w:ascii="Times New Roman" w:hAnsi="Times New Roman"/>
          <w:b/>
          <w:color w:val="000000"/>
          <w:sz w:val="24"/>
          <w:szCs w:val="24"/>
        </w:rPr>
        <w:t>CONSELHO UNIVERSITÁRIO – CONSU</w:t>
      </w:r>
    </w:p>
    <w:p>
      <w:pPr>
        <w:pStyle w:val="Normal1"/>
        <w:spacing w:lineRule="auto" w:line="360" w:before="0" w:after="0"/>
        <w:ind w:left="0" w:right="0" w:hanging="0"/>
        <w:jc w:val="center"/>
        <w:rPr>
          <w:rFonts w:ascii="Times New Roman" w:hAnsi="Times New Roman"/>
          <w:b/>
          <w:b/>
          <w:color w:val="000000"/>
          <w:sz w:val="24"/>
          <w:szCs w:val="24"/>
        </w:rPr>
      </w:pPr>
      <w:r>
        <w:rPr>
          <w:rFonts w:ascii="Times New Roman" w:hAnsi="Times New Roman"/>
          <w:b/>
          <w:color w:val="000000"/>
          <w:sz w:val="24"/>
          <w:szCs w:val="24"/>
        </w:rPr>
      </w:r>
    </w:p>
    <w:p>
      <w:pPr>
        <w:pStyle w:val="Default"/>
        <w:spacing w:lineRule="auto" w:line="360" w:before="0" w:after="0"/>
        <w:ind w:left="0" w:right="0" w:hanging="0"/>
        <w:jc w:val="center"/>
        <w:rPr/>
      </w:pPr>
      <w:r>
        <w:rPr>
          <w:rFonts w:cs="Times New Roman" w:ascii="Times New Roman" w:hAnsi="Times New Roman"/>
          <w:b/>
          <w:bCs/>
          <w:sz w:val="24"/>
          <w:szCs w:val="24"/>
        </w:rPr>
        <w:t>RESOLUÇÃO Nº. 6, DE 28 DE JUNHO DE 2018</w:t>
      </w:r>
    </w:p>
    <w:p>
      <w:pPr>
        <w:pStyle w:val="Normal"/>
        <w:spacing w:lineRule="auto" w:line="360" w:before="0" w:after="0"/>
        <w:ind w:left="0" w:right="0" w:hanging="0"/>
        <w:rPr>
          <w:rFonts w:ascii="Times New Roman" w:hAnsi="Times New Roman"/>
          <w:sz w:val="24"/>
          <w:szCs w:val="24"/>
        </w:rPr>
      </w:pPr>
      <w:r>
        <w:rPr>
          <w:rFonts w:ascii="Times New Roman" w:hAnsi="Times New Roman"/>
          <w:sz w:val="24"/>
          <w:szCs w:val="24"/>
        </w:rPr>
      </w:r>
    </w:p>
    <w:p>
      <w:pPr>
        <w:pStyle w:val="Normal"/>
        <w:widowControl/>
        <w:suppressAutoHyphens w:val="true"/>
        <w:bidi w:val="0"/>
        <w:spacing w:lineRule="auto" w:line="360" w:before="60" w:after="60"/>
        <w:ind w:left="5159" w:right="0" w:hanging="0"/>
        <w:jc w:val="both"/>
        <w:rPr/>
      </w:pPr>
      <w:r>
        <w:rPr>
          <w:rFonts w:eastAsia="Times New Roman" w:cs="Times New Roman" w:ascii="Times New Roman" w:hAnsi="Times New Roman"/>
          <w:color w:val="000000"/>
          <w:sz w:val="24"/>
          <w:szCs w:val="24"/>
        </w:rPr>
        <w:t>Disciplina a criação e o funcionamento das Empresas Juniores no âmbito da Universidade Federal dos Vales do Jequitinhonha e Mucuri</w:t>
      </w:r>
      <w:r>
        <w:rPr>
          <w:rFonts w:eastAsia="Times New Roman" w:cs="Times New Roman" w:ascii="Times New Roman" w:hAnsi="Times New Roman"/>
          <w:color w:val="000000"/>
          <w:sz w:val="24"/>
          <w:szCs w:val="24"/>
        </w:rPr>
        <w:t xml:space="preserve"> – </w:t>
      </w:r>
      <w:r>
        <w:rPr>
          <w:rFonts w:eastAsia="Times New Roman" w:cs="Times New Roman" w:ascii="Times New Roman" w:hAnsi="Times New Roman"/>
          <w:color w:val="000000"/>
          <w:sz w:val="24"/>
          <w:szCs w:val="24"/>
        </w:rPr>
        <w:t>UFVJM e dá outras providências.</w:t>
      </w:r>
    </w:p>
    <w:p>
      <w:pPr>
        <w:pStyle w:val="Normal"/>
        <w:spacing w:lineRule="auto" w:line="360" w:before="0" w:after="0"/>
        <w:ind w:left="0" w:right="0" w:hanging="0"/>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pPr>
      <w:r>
        <w:rPr>
          <w:rFonts w:eastAsia="Times New Roman" w:cs="Times New Roman" w:ascii="Times New Roman" w:hAnsi="Times New Roman"/>
          <w:b/>
          <w:sz w:val="24"/>
          <w:szCs w:val="24"/>
        </w:rPr>
        <w:tab/>
        <w:t xml:space="preserve">O </w:t>
      </w:r>
      <w:r>
        <w:rPr>
          <w:rFonts w:eastAsia="Times New Roman" w:cs="Times New Roman" w:ascii="Times New Roman" w:hAnsi="Times New Roman"/>
          <w:b/>
          <w:bCs/>
          <w:sz w:val="24"/>
          <w:szCs w:val="24"/>
        </w:rPr>
        <w:t>CONSELHO UNIVERSITÁRIO</w:t>
      </w:r>
      <w:r>
        <w:rPr>
          <w:rFonts w:eastAsia="Times New Roman" w:cs="Times New Roman" w:ascii="Times New Roman" w:hAnsi="Times New Roman"/>
          <w:sz w:val="24"/>
          <w:szCs w:val="24"/>
        </w:rPr>
        <w:t xml:space="preserve"> da Universidade Federal dos Vales do Jequitinhonha e Mucuri – UFVJM, em sua 161ª sessão extraordinária, no uso de suas atribuições estatutárias e regimentais, e considerando a legislação vigente,</w:t>
      </w:r>
    </w:p>
    <w:p>
      <w:pPr>
        <w:pStyle w:val="Normal"/>
        <w:spacing w:lineRule="auto" w:line="360" w:before="0" w:after="0"/>
        <w:ind w:left="0" w:right="0" w:hanging="0"/>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rPr/>
      </w:pPr>
      <w:r>
        <w:rPr>
          <w:rFonts w:ascii="Times New Roman" w:hAnsi="Times New Roman"/>
          <w:b/>
          <w:bCs/>
          <w:color w:val="000000"/>
          <w:sz w:val="24"/>
          <w:szCs w:val="24"/>
        </w:rPr>
        <w:tab/>
        <w:t>RESOLVE:</w:t>
      </w:r>
    </w:p>
    <w:p>
      <w:pPr>
        <w:pStyle w:val="Default"/>
        <w:spacing w:lineRule="auto" w:line="360" w:before="0" w:after="0"/>
        <w:ind w:left="0" w:right="0" w:hanging="0"/>
        <w:rPr>
          <w:rFonts w:ascii="Times New Roman" w:hAnsi="Times New Roman" w:cs="Times New Roman"/>
          <w:sz w:val="24"/>
          <w:szCs w:val="24"/>
        </w:rPr>
      </w:pPr>
      <w:r>
        <w:rPr>
          <w:rFonts w:cs="Times New Roman" w:ascii="Times New Roman" w:hAnsi="Times New Roman"/>
          <w:sz w:val="24"/>
          <w:szCs w:val="24"/>
        </w:rPr>
      </w:r>
    </w:p>
    <w:p>
      <w:pPr>
        <w:pStyle w:val="Normal"/>
        <w:suppressAutoHyphens w:val="true"/>
        <w:spacing w:lineRule="auto" w:line="360" w:before="0" w:after="0"/>
        <w:ind w:left="0" w:right="0" w:hanging="0"/>
        <w:jc w:val="center"/>
        <w:rPr>
          <w:rFonts w:ascii="Times New Roman" w:hAnsi="Times New Roman"/>
          <w:sz w:val="24"/>
          <w:szCs w:val="24"/>
        </w:rPr>
      </w:pPr>
      <w:r>
        <w:rPr>
          <w:rFonts w:eastAsia="Times New Roman" w:cs="Times New Roman" w:ascii="Times New Roman" w:hAnsi="Times New Roman"/>
          <w:b/>
          <w:bCs/>
          <w:color w:val="000000"/>
          <w:sz w:val="24"/>
          <w:szCs w:val="24"/>
        </w:rPr>
        <w:t>CAPÍTULO I</w:t>
      </w:r>
    </w:p>
    <w:p>
      <w:pPr>
        <w:pStyle w:val="Normal"/>
        <w:spacing w:lineRule="auto" w:line="360" w:before="0" w:after="0"/>
        <w:ind w:left="0" w:right="0" w:hanging="0"/>
        <w:jc w:val="center"/>
        <w:rPr>
          <w:rFonts w:ascii="Times New Roman" w:hAnsi="Times New Roman"/>
          <w:sz w:val="24"/>
          <w:szCs w:val="24"/>
        </w:rPr>
      </w:pPr>
      <w:r>
        <w:rPr>
          <w:rFonts w:ascii="Times New Roman" w:hAnsi="Times New Roman"/>
          <w:b/>
          <w:sz w:val="24"/>
          <w:szCs w:val="24"/>
        </w:rPr>
        <w:t>DAS DISPOSIÇÕES INICIAIS</w:t>
      </w:r>
    </w:p>
    <w:p>
      <w:pPr>
        <w:pStyle w:val="Normal"/>
        <w:spacing w:lineRule="auto" w:line="360" w:before="0" w:after="0"/>
        <w:ind w:left="0" w:right="0" w:hanging="0"/>
        <w:jc w:val="center"/>
        <w:rPr>
          <w:rFonts w:ascii="Times New Roman" w:hAnsi="Times New Roman"/>
          <w:b/>
          <w:b/>
          <w:sz w:val="24"/>
          <w:szCs w:val="24"/>
        </w:rPr>
      </w:pPr>
      <w:r>
        <w:rPr>
          <w:rFonts w:ascii="Times New Roman" w:hAnsi="Times New Roman"/>
          <w:b/>
          <w:sz w:val="24"/>
          <w:szCs w:val="24"/>
        </w:rPr>
      </w:r>
    </w:p>
    <w:p>
      <w:pPr>
        <w:pStyle w:val="Normal"/>
        <w:spacing w:lineRule="auto" w:line="360" w:before="0" w:after="0"/>
        <w:ind w:left="0" w:right="0" w:hanging="0"/>
        <w:jc w:val="both"/>
        <w:rPr/>
      </w:pPr>
      <w:r>
        <w:rPr>
          <w:rFonts w:ascii="Times New Roman" w:hAnsi="Times New Roman"/>
          <w:b/>
          <w:bCs/>
          <w:sz w:val="24"/>
          <w:szCs w:val="24"/>
        </w:rPr>
        <w:tab/>
        <w:t>Art. 1º</w:t>
      </w:r>
      <w:r>
        <w:rPr>
          <w:rFonts w:ascii="Times New Roman" w:hAnsi="Times New Roman"/>
          <w:sz w:val="24"/>
          <w:szCs w:val="24"/>
        </w:rPr>
        <w:t xml:space="preserve"> Considera-se Empresa Júnior toda entidade organizada nos termos da legislação em vigor, sob a forma de associação civil gerida por estudantes matriculados nos cursos de graduação de instituições da UFVJM, com o propósito de realizar projetos e serviços que contribuam para o desenvolvimento acadêmico e profissional dos associados, capacitando-os para o mercado de trabalho.</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bCs/>
          <w:sz w:val="24"/>
          <w:szCs w:val="24"/>
        </w:rPr>
        <w:tab/>
        <w:t>§ 1º</w:t>
      </w:r>
      <w:r>
        <w:rPr>
          <w:rFonts w:ascii="Times New Roman" w:hAnsi="Times New Roman"/>
          <w:sz w:val="24"/>
          <w:szCs w:val="24"/>
        </w:rPr>
        <w:t xml:space="preserve"> A Empresa Júnior será inscrita como associação civil no Registro Civil das Pessoas Jurídicas e no Cadastro Nacional da Pessoa Jurídica.</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bCs/>
          <w:sz w:val="24"/>
          <w:szCs w:val="24"/>
        </w:rPr>
        <w:tab/>
        <w:t>§ 2º</w:t>
      </w:r>
      <w:r>
        <w:rPr>
          <w:rFonts w:ascii="Times New Roman" w:hAnsi="Times New Roman"/>
          <w:sz w:val="24"/>
          <w:szCs w:val="24"/>
        </w:rPr>
        <w:t xml:space="preserve"> A Empresa Júnior vincular-se-á à UFVJM e desenvolverá atividades relacionadas ao campo de abrangência de, pelo menos, um curso de graduação indicado no estatuto da Empresa Júnior, nos termos desta regulamentação, do estatuto ou do regimento interno da instituição de ensino superior, vedada qualquer forma de ligação partidária.</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bCs/>
          <w:sz w:val="24"/>
          <w:szCs w:val="24"/>
        </w:rPr>
        <w:tab/>
        <w:t>§ 3º</w:t>
      </w:r>
      <w:r>
        <w:rPr>
          <w:rFonts w:ascii="Times New Roman" w:hAnsi="Times New Roman"/>
          <w:sz w:val="24"/>
          <w:szCs w:val="24"/>
        </w:rPr>
        <w:t xml:space="preserve"> Toda Empresa Júnior deverá ter o ato de criação ratificado pelas Unidades Acadêmicas onde estarão vinculadas.</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center"/>
        <w:rPr>
          <w:rFonts w:ascii="Times New Roman" w:hAnsi="Times New Roman"/>
          <w:sz w:val="24"/>
          <w:szCs w:val="24"/>
        </w:rPr>
      </w:pPr>
      <w:r>
        <w:rPr>
          <w:rFonts w:ascii="Times New Roman" w:hAnsi="Times New Roman"/>
          <w:b/>
          <w:sz w:val="24"/>
          <w:szCs w:val="24"/>
        </w:rPr>
        <w:t>CAPÍTULO II</w:t>
      </w:r>
    </w:p>
    <w:p>
      <w:pPr>
        <w:pStyle w:val="Normal"/>
        <w:spacing w:lineRule="auto" w:line="360" w:before="0" w:after="0"/>
        <w:ind w:left="0" w:right="0" w:hanging="0"/>
        <w:jc w:val="center"/>
        <w:rPr>
          <w:rFonts w:ascii="Times New Roman" w:hAnsi="Times New Roman"/>
          <w:sz w:val="24"/>
          <w:szCs w:val="24"/>
        </w:rPr>
      </w:pPr>
      <w:r>
        <w:rPr>
          <w:rFonts w:ascii="Times New Roman" w:hAnsi="Times New Roman"/>
          <w:b/>
          <w:sz w:val="24"/>
          <w:szCs w:val="24"/>
        </w:rPr>
        <w:t>DA CONSTITUIÇÃO E FUNCIONAMENTO</w:t>
      </w:r>
    </w:p>
    <w:p>
      <w:pPr>
        <w:pStyle w:val="Normal"/>
        <w:spacing w:lineRule="auto" w:line="360" w:before="0" w:after="0"/>
        <w:ind w:left="0" w:right="0" w:hanging="0"/>
        <w:jc w:val="center"/>
        <w:rPr>
          <w:b/>
          <w:b/>
        </w:rPr>
      </w:pPr>
      <w:r>
        <w:rPr>
          <w:b/>
        </w:rPr>
      </w:r>
    </w:p>
    <w:p>
      <w:pPr>
        <w:pStyle w:val="Normal"/>
        <w:spacing w:lineRule="auto" w:line="360" w:before="0" w:after="0"/>
        <w:ind w:left="0" w:right="0" w:hanging="0"/>
        <w:jc w:val="both"/>
        <w:rPr/>
      </w:pPr>
      <w:r>
        <w:rPr>
          <w:rFonts w:ascii="Times New Roman" w:hAnsi="Times New Roman"/>
          <w:sz w:val="24"/>
          <w:szCs w:val="24"/>
        </w:rPr>
        <w:tab/>
      </w:r>
      <w:r>
        <w:rPr>
          <w:rFonts w:ascii="Times New Roman" w:hAnsi="Times New Roman"/>
          <w:b/>
          <w:bCs/>
          <w:sz w:val="24"/>
          <w:szCs w:val="24"/>
        </w:rPr>
        <w:t>Art. 2º</w:t>
      </w:r>
      <w:r>
        <w:rPr>
          <w:rFonts w:ascii="Times New Roman" w:hAnsi="Times New Roman"/>
          <w:sz w:val="24"/>
          <w:szCs w:val="24"/>
        </w:rPr>
        <w:t xml:space="preserve"> Poderão integrar a Empresa Júnior estudantes regularmente matriculados na UFVJM em cursos de graduação a que a entidade seja vinculada, desde que manifestem interesse, observados os procedimentos estabelecidos no estatuto.</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bCs/>
          <w:sz w:val="24"/>
          <w:szCs w:val="24"/>
        </w:rPr>
        <w:tab/>
        <w:t>Parágrafo único.</w:t>
      </w:r>
      <w:r>
        <w:rPr>
          <w:rFonts w:ascii="Times New Roman" w:hAnsi="Times New Roman"/>
          <w:sz w:val="24"/>
          <w:szCs w:val="24"/>
        </w:rPr>
        <w:t xml:space="preserve"> Os estudantes matriculados em curso de graduação e associados à respectiva Empresa Júnior exercem trabalho voluntário, nos termos da legislação em vigor.</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pPr>
      <w:r>
        <w:rPr>
          <w:rFonts w:ascii="Times New Roman" w:hAnsi="Times New Roman"/>
          <w:sz w:val="24"/>
          <w:szCs w:val="24"/>
        </w:rPr>
        <w:tab/>
      </w:r>
      <w:r>
        <w:rPr>
          <w:rFonts w:ascii="Times New Roman" w:hAnsi="Times New Roman"/>
          <w:b/>
          <w:bCs/>
          <w:sz w:val="24"/>
          <w:szCs w:val="24"/>
        </w:rPr>
        <w:t>Art. 3º</w:t>
      </w:r>
      <w:r>
        <w:rPr>
          <w:rFonts w:ascii="Times New Roman" w:hAnsi="Times New Roman"/>
          <w:sz w:val="24"/>
          <w:szCs w:val="24"/>
        </w:rPr>
        <w:t xml:space="preserve"> A Empresa Júnior somente poderá desenvolver atividades que atendam a pelo menos uma das seguintes condições:</w:t>
      </w:r>
    </w:p>
    <w:p>
      <w:pPr>
        <w:pStyle w:val="Normal"/>
        <w:spacing w:lineRule="auto" w:line="360" w:before="0" w:after="0"/>
        <w:ind w:left="0" w:right="0" w:hanging="0"/>
        <w:jc w:val="both"/>
        <w:rPr>
          <w:rFonts w:ascii="Times New Roman" w:hAnsi="Times New Roman"/>
          <w:sz w:val="24"/>
          <w:szCs w:val="24"/>
        </w:rPr>
      </w:pPr>
      <w:r>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I – relacionem-se aos conteúdos programáticos do curso de graduação ou dos cursos de graduação a que se vinculem;</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II – constituam atribuição da categoria profissional correspondente à formação superior dos estudantes associados à entidade.</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bCs/>
          <w:sz w:val="24"/>
          <w:szCs w:val="24"/>
        </w:rPr>
        <w:tab/>
        <w:t xml:space="preserve">§ 1º </w:t>
      </w:r>
      <w:r>
        <w:rPr>
          <w:rFonts w:ascii="Times New Roman" w:hAnsi="Times New Roman"/>
          <w:sz w:val="24"/>
          <w:szCs w:val="24"/>
        </w:rPr>
        <w:t>As atividades desenvolvidas pela Empresa Júnior deverão ser orientadas e supervisionadas por professores e profissionais especializados, e a empresa, desde que devidamente reconhecida nos termos do</w:t>
      </w:r>
      <w:r>
        <w:rPr>
          <w:rFonts w:ascii="Times New Roman" w:hAnsi="Times New Roman"/>
          <w:sz w:val="24"/>
          <w:szCs w:val="24"/>
          <w:shd w:fill="FFFFFF" w:val="clear"/>
        </w:rPr>
        <w:t xml:space="preserve"> art. 9º, terá </w:t>
      </w:r>
      <w:r>
        <w:rPr>
          <w:rFonts w:ascii="Times New Roman" w:hAnsi="Times New Roman"/>
          <w:sz w:val="24"/>
          <w:szCs w:val="24"/>
        </w:rPr>
        <w:t>gestão autônoma em relação à direção da Unidade Acadêmica, ao Departamento, ao centro acadêmico e a quaisquer outras entidades acadêmicas.</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bCs/>
          <w:sz w:val="24"/>
          <w:szCs w:val="24"/>
        </w:rPr>
        <w:tab/>
        <w:t>§ 2º</w:t>
      </w:r>
      <w:r>
        <w:rPr>
          <w:rFonts w:ascii="Times New Roman" w:hAnsi="Times New Roman"/>
          <w:sz w:val="24"/>
          <w:szCs w:val="24"/>
        </w:rPr>
        <w:t xml:space="preserve"> A Empresa Júnior poderá cobrar pela elaboração de produtos e pela prestação de serviços independentemente de autorização do conselho profissional regulamentador de sua área de atuação profissional, ainda que esse seja regido por legislação específica, desde que essas atividades sejam acompanhadas por professores orientadores da instituição de ensino superior ou supervisionadas por profissionais habilitados.</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center"/>
        <w:rPr>
          <w:rFonts w:ascii="Times New Roman" w:hAnsi="Times New Roman"/>
          <w:sz w:val="24"/>
          <w:szCs w:val="24"/>
        </w:rPr>
      </w:pPr>
      <w:r>
        <w:rPr>
          <w:rFonts w:ascii="Times New Roman" w:hAnsi="Times New Roman"/>
          <w:b/>
          <w:sz w:val="24"/>
          <w:szCs w:val="24"/>
        </w:rPr>
        <w:t>CAPÍTULO III</w:t>
      </w:r>
    </w:p>
    <w:p>
      <w:pPr>
        <w:pStyle w:val="Normal"/>
        <w:spacing w:lineRule="auto" w:line="360" w:before="0" w:after="0"/>
        <w:ind w:left="0" w:right="0" w:hanging="0"/>
        <w:jc w:val="center"/>
        <w:rPr>
          <w:rFonts w:ascii="Times New Roman" w:hAnsi="Times New Roman"/>
          <w:sz w:val="24"/>
          <w:szCs w:val="24"/>
        </w:rPr>
      </w:pPr>
      <w:r>
        <w:rPr>
          <w:rFonts w:ascii="Times New Roman" w:hAnsi="Times New Roman"/>
          <w:b/>
          <w:sz w:val="24"/>
          <w:szCs w:val="24"/>
        </w:rPr>
        <w:t>DOS OBJETIVOS E RESTRIÇÕES</w:t>
      </w:r>
    </w:p>
    <w:p>
      <w:pPr>
        <w:pStyle w:val="Normal"/>
        <w:spacing w:lineRule="auto" w:line="360" w:before="0" w:after="0"/>
        <w:ind w:left="0" w:right="0" w:hanging="0"/>
        <w:jc w:val="center"/>
        <w:rPr>
          <w:b/>
          <w:b/>
        </w:rPr>
      </w:pPr>
      <w:r>
        <w:rPr>
          <w:b/>
        </w:rPr>
      </w:r>
    </w:p>
    <w:p>
      <w:pPr>
        <w:pStyle w:val="Normal"/>
        <w:spacing w:lineRule="auto" w:line="360" w:before="0" w:after="0"/>
        <w:ind w:left="0" w:right="0" w:hanging="0"/>
        <w:jc w:val="both"/>
        <w:rPr/>
      </w:pPr>
      <w:r>
        <w:rPr>
          <w:rFonts w:ascii="Times New Roman" w:hAnsi="Times New Roman"/>
          <w:b/>
          <w:bCs/>
          <w:sz w:val="24"/>
          <w:szCs w:val="24"/>
        </w:rPr>
        <w:tab/>
        <w:t>Art. 4º</w:t>
      </w:r>
      <w:r>
        <w:rPr>
          <w:rFonts w:ascii="Times New Roman" w:hAnsi="Times New Roman"/>
          <w:sz w:val="24"/>
          <w:szCs w:val="24"/>
        </w:rPr>
        <w:t xml:space="preserve"> A Empresa Júnior, cujos fins são educacionais e não lucrativos, terá, além de outros específicos, os seguintes objetivos:</w:t>
      </w:r>
    </w:p>
    <w:p>
      <w:pPr>
        <w:pStyle w:val="Normal"/>
        <w:spacing w:lineRule="auto" w:line="360" w:before="0" w:after="0"/>
        <w:ind w:left="0" w:right="0" w:hanging="0"/>
        <w:jc w:val="both"/>
        <w:rPr>
          <w:rFonts w:ascii="Times New Roman" w:hAnsi="Times New Roman"/>
          <w:sz w:val="24"/>
          <w:szCs w:val="24"/>
        </w:rPr>
      </w:pPr>
      <w:r>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I – proporcionar a seus membros as condições necessárias para a aplicação prática dos conhecimentos teóricos referentes à respectiva área de formação profissional, dando-lhes oportunidade de vivenciar o mercado de trabalho em caráter de formação para o exercício da futura profissão e aguçando-lhes o espírito crítico, analítico e empreendedor;</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II – aperfeiçoar o processo de formação dos profissionais em nível superior;</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III – estimular o espírito empreendedor e promover o desenvolvimento técnico, acadêmico, pessoal e profissional de seus membros associados por meio de contato direto com a realidade do mercado de trabalho, desenvolvendo atividades de consultoria e de assessoria a empresários e empreendedores, com a orientação de professores e profissionais especializados;</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IV – melhorar as condições de aprendizado em nível superior, mediante a aplicação da teoria dada em sala de aula na prática do mercado de trabalho no âmbito dessa atividade de extensão;</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V – proporcionar aos estudantes a preparação e a valorização profissionais por meio da adequada assistência de professores e especialistas;</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VI – intensificar o relacionamento entre as instituições de ensino superior e o meio empresarial;</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VII – promover o desenvolvimento econômico e social da comunidade ao mesmo tempo em que fomenta o empreendedorismo de seus associados.</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pPr>
      <w:r>
        <w:rPr>
          <w:rFonts w:ascii="Times New Roman" w:hAnsi="Times New Roman"/>
          <w:b/>
          <w:bCs/>
          <w:sz w:val="24"/>
          <w:szCs w:val="24"/>
        </w:rPr>
        <w:tab/>
        <w:t>Art. 5º</w:t>
      </w:r>
      <w:r>
        <w:rPr>
          <w:rFonts w:ascii="Times New Roman" w:hAnsi="Times New Roman"/>
          <w:sz w:val="24"/>
          <w:szCs w:val="24"/>
        </w:rPr>
        <w:t xml:space="preserve"> Para atingir seus objetivos, caberá à Empresa Júnior:</w:t>
      </w:r>
    </w:p>
    <w:p>
      <w:pPr>
        <w:pStyle w:val="Normal"/>
        <w:spacing w:lineRule="auto" w:line="360" w:before="0" w:after="0"/>
        <w:ind w:left="0" w:right="0" w:hanging="0"/>
        <w:jc w:val="both"/>
        <w:rPr>
          <w:rFonts w:ascii="Times New Roman" w:hAnsi="Times New Roman"/>
          <w:sz w:val="24"/>
          <w:szCs w:val="24"/>
        </w:rPr>
      </w:pPr>
      <w:r>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I – promover o recrutamento, a seleção e o aperfeiçoamento de seu pessoal com base em critérios técnicos;</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II – realizar estudos e elaborar diagnósticos e relatórios sobre assuntos específicos inseridos em sua área de atuação;</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III – assessorar a implantação das soluções indicadas para os problemas diagnosticados;</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IV – promover o treinamento, a capacitação e o aprimoramento de graduandos em suas áreas de atuação;</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 xml:space="preserve">V – buscar a capacitação contínua nas atividades de gerenciamento e desenvolvimento de projetos; </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VI – desenvolver projetos, pesquisas e estudos, em nível de consultoria, assessoramento, planejamento e desenvolvimento, elevando o grau de qualificação dos futuros profissionais e colaborando, assim, para aproximar o ensino superior da realidade do mercado de trabalho;</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VII – fomentar, na instituição a que seja vinculada, cultura voltada para o estímulo ao surgimento de empreendedores, com base em política de desenvolvimento econômico sustentável;</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VIII – promover e difundir o conhecimento por meio de intercâmbio com outras associações, no Brasil e no exterior.</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pPr>
      <w:r>
        <w:rPr>
          <w:rFonts w:ascii="Times New Roman" w:hAnsi="Times New Roman"/>
          <w:b/>
          <w:bCs/>
          <w:sz w:val="24"/>
          <w:szCs w:val="24"/>
        </w:rPr>
        <w:tab/>
        <w:t>Art. 6º</w:t>
      </w:r>
      <w:r>
        <w:rPr>
          <w:rFonts w:ascii="Times New Roman" w:hAnsi="Times New Roman"/>
          <w:sz w:val="24"/>
          <w:szCs w:val="24"/>
        </w:rPr>
        <w:t xml:space="preserve"> É vedado à Empresa Júnior:</w:t>
      </w:r>
    </w:p>
    <w:p>
      <w:pPr>
        <w:pStyle w:val="Normal"/>
        <w:spacing w:lineRule="auto" w:line="360" w:before="0" w:after="0"/>
        <w:ind w:left="0" w:right="0" w:hanging="0"/>
        <w:jc w:val="both"/>
        <w:rPr>
          <w:rFonts w:ascii="Times New Roman" w:hAnsi="Times New Roman"/>
          <w:sz w:val="24"/>
          <w:szCs w:val="24"/>
        </w:rPr>
      </w:pPr>
      <w:r>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I – captar recursos financeiros para seus integrantes por intermédio da realização de seus projetos ou de qualquer outra atividade;</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II – propagar qualquer forma de ideologia ou pensamento político-partidário.</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bCs/>
          <w:sz w:val="24"/>
          <w:szCs w:val="24"/>
        </w:rPr>
        <w:tab/>
        <w:t>§ 1º</w:t>
      </w:r>
      <w:r>
        <w:rPr>
          <w:rFonts w:ascii="Times New Roman" w:hAnsi="Times New Roman"/>
          <w:sz w:val="24"/>
          <w:szCs w:val="24"/>
        </w:rPr>
        <w:t xml:space="preserve"> A renda obtida com os projetos e serviços prestados pela Empresa Júnior deverá ser revertida exclusivamente para o incremento das atividades-fim da empresa.</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bCs/>
          <w:sz w:val="24"/>
          <w:szCs w:val="24"/>
        </w:rPr>
        <w:tab/>
        <w:t>§ 2º</w:t>
      </w:r>
      <w:r>
        <w:rPr>
          <w:rFonts w:ascii="Times New Roman" w:hAnsi="Times New Roman"/>
          <w:sz w:val="24"/>
          <w:szCs w:val="24"/>
        </w:rPr>
        <w:t xml:space="preserve"> É permitida a contratação de Empresa Júnior por partidos políticos para a prestação de serviços de consultoria e de publicidade.</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pPr>
      <w:r>
        <w:rPr>
          <w:rFonts w:ascii="Times New Roman" w:hAnsi="Times New Roman"/>
          <w:b/>
          <w:bCs/>
          <w:sz w:val="24"/>
          <w:szCs w:val="24"/>
        </w:rPr>
        <w:tab/>
        <w:t>Art. 7º</w:t>
      </w:r>
      <w:r>
        <w:rPr>
          <w:rFonts w:ascii="Times New Roman" w:hAnsi="Times New Roman"/>
          <w:sz w:val="24"/>
          <w:szCs w:val="24"/>
        </w:rPr>
        <w:t xml:space="preserve"> A Empresa Júnior deverá comprometer-se a:</w:t>
      </w:r>
    </w:p>
    <w:p>
      <w:pPr>
        <w:pStyle w:val="Normal"/>
        <w:spacing w:lineRule="auto" w:line="360" w:before="0" w:after="0"/>
        <w:ind w:left="0" w:right="0" w:hanging="0"/>
        <w:jc w:val="both"/>
        <w:rPr>
          <w:rFonts w:ascii="Times New Roman" w:hAnsi="Times New Roman"/>
          <w:sz w:val="24"/>
          <w:szCs w:val="24"/>
        </w:rPr>
      </w:pPr>
      <w:r>
        <w:rPr/>
      </w:r>
    </w:p>
    <w:p>
      <w:pPr>
        <w:pStyle w:val="Normal"/>
        <w:spacing w:lineRule="auto" w:line="360" w:before="0" w:after="0"/>
        <w:ind w:left="0" w:right="0" w:hanging="0"/>
        <w:jc w:val="both"/>
        <w:rPr/>
      </w:pPr>
      <w:r>
        <w:rPr>
          <w:rFonts w:ascii="Times New Roman" w:hAnsi="Times New Roman"/>
          <w:sz w:val="24"/>
          <w:szCs w:val="24"/>
        </w:rPr>
        <w:tab/>
        <w:t xml:space="preserve">I – </w:t>
      </w:r>
      <w:r>
        <w:rPr>
          <w:rFonts w:ascii="Times New Roman" w:hAnsi="Times New Roman"/>
          <w:sz w:val="24"/>
          <w:szCs w:val="24"/>
        </w:rPr>
        <w:t>e</w:t>
      </w:r>
      <w:r>
        <w:rPr>
          <w:rFonts w:ascii="Times New Roman" w:hAnsi="Times New Roman"/>
          <w:sz w:val="24"/>
          <w:szCs w:val="24"/>
        </w:rPr>
        <w:t>xercer suas atividades em regime de livre e leal concorrência;</w:t>
      </w:r>
    </w:p>
    <w:p>
      <w:pPr>
        <w:pStyle w:val="Normal"/>
        <w:spacing w:lineRule="auto" w:line="360" w:before="0" w:after="0"/>
        <w:ind w:left="0" w:right="0" w:hanging="0"/>
        <w:jc w:val="both"/>
        <w:rPr/>
      </w:pPr>
      <w:r>
        <w:rPr>
          <w:rFonts w:ascii="Times New Roman" w:hAnsi="Times New Roman"/>
          <w:sz w:val="24"/>
          <w:szCs w:val="24"/>
        </w:rPr>
        <w:tab/>
        <w:t xml:space="preserve">II – </w:t>
      </w:r>
      <w:r>
        <w:rPr>
          <w:rFonts w:ascii="Times New Roman" w:hAnsi="Times New Roman"/>
          <w:sz w:val="24"/>
          <w:szCs w:val="24"/>
        </w:rPr>
        <w:t>e</w:t>
      </w:r>
      <w:r>
        <w:rPr>
          <w:rFonts w:ascii="Times New Roman" w:hAnsi="Times New Roman"/>
          <w:sz w:val="24"/>
          <w:szCs w:val="24"/>
        </w:rPr>
        <w:t>xercer suas atividades segundo a legislação específica aplicável a sua área de atuação e segundo os acordos e as convenções da categoria profissional correspondente;</w:t>
      </w:r>
    </w:p>
    <w:p>
      <w:pPr>
        <w:pStyle w:val="Normal"/>
        <w:spacing w:lineRule="auto" w:line="360" w:before="0" w:after="0"/>
        <w:ind w:left="0" w:right="0" w:hanging="0"/>
        <w:jc w:val="both"/>
        <w:rPr/>
      </w:pPr>
      <w:r>
        <w:rPr>
          <w:rFonts w:ascii="Times New Roman" w:hAnsi="Times New Roman"/>
          <w:sz w:val="24"/>
          <w:szCs w:val="24"/>
        </w:rPr>
        <w:tab/>
        <w:t xml:space="preserve">III – </w:t>
      </w:r>
      <w:r>
        <w:rPr>
          <w:rFonts w:ascii="Times New Roman" w:hAnsi="Times New Roman"/>
          <w:sz w:val="24"/>
          <w:szCs w:val="24"/>
        </w:rPr>
        <w:t>p</w:t>
      </w:r>
      <w:r>
        <w:rPr>
          <w:rFonts w:ascii="Times New Roman" w:hAnsi="Times New Roman"/>
          <w:sz w:val="24"/>
          <w:szCs w:val="24"/>
        </w:rPr>
        <w:t>romover, com outras empresas juniores, o intercâmbio de informações de natureza comercial, profissional e técnica sobre estrutura e projetos;</w:t>
      </w:r>
    </w:p>
    <w:p>
      <w:pPr>
        <w:pStyle w:val="Normal"/>
        <w:spacing w:lineRule="auto" w:line="360" w:before="0" w:after="0"/>
        <w:ind w:left="0" w:right="0" w:hanging="0"/>
        <w:jc w:val="both"/>
        <w:rPr/>
      </w:pPr>
      <w:r>
        <w:rPr>
          <w:rFonts w:ascii="Times New Roman" w:hAnsi="Times New Roman"/>
          <w:sz w:val="24"/>
          <w:szCs w:val="24"/>
        </w:rPr>
        <w:tab/>
        <w:t xml:space="preserve">IV – </w:t>
      </w:r>
      <w:r>
        <w:rPr>
          <w:rFonts w:ascii="Times New Roman" w:hAnsi="Times New Roman"/>
          <w:sz w:val="24"/>
          <w:szCs w:val="24"/>
        </w:rPr>
        <w:t>c</w:t>
      </w:r>
      <w:r>
        <w:rPr>
          <w:rFonts w:ascii="Times New Roman" w:hAnsi="Times New Roman"/>
          <w:sz w:val="24"/>
          <w:szCs w:val="24"/>
        </w:rPr>
        <w:t>uidar para que não se faça publicidade ou propaganda comparativa, por qualquer meio de divulgação, que deprecie, desabone ou desacredite a concorrência;</w:t>
      </w:r>
    </w:p>
    <w:p>
      <w:pPr>
        <w:pStyle w:val="Normal"/>
        <w:spacing w:lineRule="auto" w:line="360" w:before="0" w:after="0"/>
        <w:ind w:left="0" w:right="0" w:hanging="0"/>
        <w:jc w:val="both"/>
        <w:rPr/>
      </w:pPr>
      <w:r>
        <w:rPr>
          <w:rFonts w:ascii="Times New Roman" w:hAnsi="Times New Roman"/>
          <w:sz w:val="24"/>
          <w:szCs w:val="24"/>
        </w:rPr>
        <w:tab/>
        <w:t xml:space="preserve">V – </w:t>
      </w:r>
      <w:r>
        <w:rPr>
          <w:rFonts w:ascii="Times New Roman" w:hAnsi="Times New Roman"/>
          <w:sz w:val="24"/>
          <w:szCs w:val="24"/>
        </w:rPr>
        <w:t>i</w:t>
      </w:r>
      <w:r>
        <w:rPr>
          <w:rFonts w:ascii="Times New Roman" w:hAnsi="Times New Roman"/>
          <w:sz w:val="24"/>
          <w:szCs w:val="24"/>
        </w:rPr>
        <w:t>ntegrar os novos membros por meio de política previamente definida, com períodos destinados à qualificação e à avaliação;</w:t>
      </w:r>
    </w:p>
    <w:p>
      <w:pPr>
        <w:pStyle w:val="Normal"/>
        <w:spacing w:lineRule="auto" w:line="360" w:before="0" w:after="0"/>
        <w:ind w:left="0" w:right="0" w:hanging="0"/>
        <w:jc w:val="both"/>
        <w:rPr/>
      </w:pPr>
      <w:r>
        <w:rPr>
          <w:rFonts w:ascii="Times New Roman" w:hAnsi="Times New Roman"/>
          <w:sz w:val="24"/>
          <w:szCs w:val="24"/>
        </w:rPr>
        <w:tab/>
        <w:t xml:space="preserve">VI – </w:t>
      </w:r>
      <w:r>
        <w:rPr>
          <w:rFonts w:ascii="Times New Roman" w:hAnsi="Times New Roman"/>
          <w:sz w:val="24"/>
          <w:szCs w:val="24"/>
        </w:rPr>
        <w:t>c</w:t>
      </w:r>
      <w:r>
        <w:rPr>
          <w:rFonts w:ascii="Times New Roman" w:hAnsi="Times New Roman"/>
          <w:sz w:val="24"/>
          <w:szCs w:val="24"/>
        </w:rPr>
        <w:t>aptar clientela com base na qualidade dos serviços e na competitividade dos preços, vedado o aliciamento ou o desvio desleal de clientes da concorrência, bem como o pagamento de comissões e outras benesses a quem os promova.</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center"/>
        <w:rPr>
          <w:rFonts w:ascii="Times New Roman" w:hAnsi="Times New Roman"/>
          <w:sz w:val="24"/>
          <w:szCs w:val="24"/>
        </w:rPr>
      </w:pPr>
      <w:r>
        <w:rPr>
          <w:rFonts w:ascii="Times New Roman" w:hAnsi="Times New Roman"/>
          <w:b/>
          <w:bCs/>
          <w:sz w:val="24"/>
          <w:szCs w:val="24"/>
        </w:rPr>
        <w:t>CAPÍTULO IV</w:t>
      </w:r>
    </w:p>
    <w:p>
      <w:pPr>
        <w:pStyle w:val="Normal"/>
        <w:spacing w:lineRule="auto" w:line="360" w:before="0" w:after="0"/>
        <w:ind w:left="0" w:right="0" w:hanging="0"/>
        <w:jc w:val="center"/>
        <w:rPr>
          <w:rFonts w:ascii="Times New Roman" w:hAnsi="Times New Roman"/>
          <w:sz w:val="24"/>
          <w:szCs w:val="24"/>
        </w:rPr>
      </w:pPr>
      <w:r>
        <w:rPr>
          <w:rFonts w:ascii="Times New Roman" w:hAnsi="Times New Roman"/>
          <w:b/>
          <w:bCs/>
          <w:sz w:val="24"/>
          <w:szCs w:val="24"/>
        </w:rPr>
        <w:t>DO RECONHECIMENTO INSTITUCIONAL</w:t>
      </w:r>
    </w:p>
    <w:p>
      <w:pPr>
        <w:pStyle w:val="Normal"/>
        <w:spacing w:lineRule="auto" w:line="360" w:before="0" w:after="0"/>
        <w:ind w:left="0" w:right="0" w:hanging="0"/>
        <w:jc w:val="center"/>
        <w:rPr>
          <w:b/>
          <w:b/>
          <w:bCs/>
        </w:rPr>
      </w:pPr>
      <w:r>
        <w:rPr>
          <w:b/>
          <w:bCs/>
        </w:rPr>
      </w:r>
    </w:p>
    <w:p>
      <w:pPr>
        <w:pStyle w:val="Normal"/>
        <w:spacing w:lineRule="auto" w:line="360" w:before="0" w:after="0"/>
        <w:ind w:left="0" w:right="0" w:hanging="0"/>
        <w:jc w:val="both"/>
        <w:rPr/>
      </w:pPr>
      <w:r>
        <w:rPr>
          <w:rFonts w:ascii="Times New Roman" w:hAnsi="Times New Roman"/>
          <w:b/>
          <w:bCs/>
          <w:sz w:val="24"/>
          <w:szCs w:val="24"/>
        </w:rPr>
        <w:tab/>
        <w:t>Art. 8º</w:t>
      </w:r>
      <w:r>
        <w:rPr>
          <w:rFonts w:ascii="Times New Roman" w:hAnsi="Times New Roman"/>
          <w:sz w:val="24"/>
          <w:szCs w:val="24"/>
        </w:rPr>
        <w:t xml:space="preserve"> O reconhecimento de Empresa Júnior pela UFVJM dar-se-á conforme esta resolução e por normas específicas das Unidades Acadêmicas, considerando:</w:t>
      </w:r>
    </w:p>
    <w:p>
      <w:pPr>
        <w:pStyle w:val="Normal"/>
        <w:spacing w:lineRule="auto" w:line="360" w:before="0" w:after="0"/>
        <w:ind w:left="0" w:right="0" w:hanging="0"/>
        <w:jc w:val="both"/>
        <w:rPr>
          <w:rFonts w:ascii="Times New Roman" w:hAnsi="Times New Roman"/>
          <w:sz w:val="24"/>
          <w:szCs w:val="24"/>
        </w:rPr>
      </w:pPr>
      <w:r>
        <w:rPr/>
      </w:r>
    </w:p>
    <w:p>
      <w:pPr>
        <w:pStyle w:val="Normal"/>
        <w:spacing w:lineRule="auto" w:line="360" w:before="0" w:after="0"/>
        <w:ind w:left="0" w:right="0" w:hanging="0"/>
        <w:jc w:val="both"/>
        <w:rPr/>
      </w:pPr>
      <w:r>
        <w:rPr>
          <w:rFonts w:ascii="Times New Roman" w:hAnsi="Times New Roman"/>
          <w:sz w:val="24"/>
          <w:szCs w:val="24"/>
        </w:rPr>
        <w:tab/>
        <w:t xml:space="preserve">I – </w:t>
      </w:r>
      <w:r>
        <w:rPr>
          <w:rFonts w:ascii="Times New Roman" w:hAnsi="Times New Roman"/>
          <w:sz w:val="24"/>
          <w:szCs w:val="24"/>
        </w:rPr>
        <w:t>c</w:t>
      </w:r>
      <w:r>
        <w:rPr>
          <w:rFonts w:ascii="Times New Roman" w:hAnsi="Times New Roman"/>
          <w:sz w:val="24"/>
          <w:szCs w:val="24"/>
        </w:rPr>
        <w:t>ompetirá ao órgão colegiado das Unidades Acadêmicas a aprovação do plano acadêmico da Empresa Júnior, cuja elaboração deverá contar com a participação do professor-orientador e dos estudantes envolvidos na iniciativa júnior;</w:t>
      </w:r>
    </w:p>
    <w:p>
      <w:pPr>
        <w:pStyle w:val="Normal"/>
        <w:spacing w:lineRule="auto" w:line="360" w:before="0" w:after="0"/>
        <w:ind w:left="0" w:right="0" w:hanging="0"/>
        <w:jc w:val="both"/>
        <w:rPr/>
      </w:pPr>
      <w:r>
        <w:rPr>
          <w:rFonts w:ascii="Times New Roman" w:hAnsi="Times New Roman"/>
          <w:sz w:val="24"/>
          <w:szCs w:val="24"/>
        </w:rPr>
        <w:tab/>
        <w:t xml:space="preserve">II – </w:t>
      </w:r>
      <w:r>
        <w:rPr>
          <w:rFonts w:ascii="Times New Roman" w:hAnsi="Times New Roman"/>
          <w:sz w:val="24"/>
          <w:szCs w:val="24"/>
        </w:rPr>
        <w:t>o</w:t>
      </w:r>
      <w:r>
        <w:rPr>
          <w:rFonts w:ascii="Times New Roman" w:hAnsi="Times New Roman"/>
          <w:sz w:val="24"/>
          <w:szCs w:val="24"/>
        </w:rPr>
        <w:t xml:space="preserve"> plano acadêmico indicará, entre outros, os seguintes aspectos educacionais e estruturais da Empresa Júnior e da instituição de ensino superior:</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sz w:val="24"/>
          <w:szCs w:val="24"/>
        </w:rPr>
        <w:tab/>
        <w:t>a)</w:t>
      </w:r>
      <w:r>
        <w:rPr>
          <w:rFonts w:ascii="Times New Roman" w:hAnsi="Times New Roman"/>
          <w:sz w:val="24"/>
          <w:szCs w:val="24"/>
        </w:rPr>
        <w:t xml:space="preserve"> Reconhecimento da carga horária dedicada pelo professor orientador;</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tab/>
        <w:t>b) Suporte institucional, técnico e material necessário ao início das atividades da Empresa Júnior.</w:t>
      </w:r>
    </w:p>
    <w:p>
      <w:pPr>
        <w:pStyle w:val="Normal"/>
        <w:spacing w:lineRule="auto" w:line="360" w:before="0" w:after="0"/>
        <w:ind w:left="0" w:right="0" w:hanging="0"/>
        <w:jc w:val="both"/>
        <w:rPr/>
      </w:pPr>
      <w:r>
        <w:rPr>
          <w:rFonts w:ascii="Times New Roman" w:hAnsi="Times New Roman"/>
          <w:sz w:val="24"/>
          <w:szCs w:val="24"/>
        </w:rPr>
        <w:tab/>
        <w:t xml:space="preserve">III – </w:t>
      </w:r>
      <w:r>
        <w:rPr>
          <w:rFonts w:ascii="Times New Roman" w:hAnsi="Times New Roman"/>
          <w:sz w:val="24"/>
          <w:szCs w:val="24"/>
        </w:rPr>
        <w:t>a</w:t>
      </w:r>
      <w:r>
        <w:rPr>
          <w:rFonts w:ascii="Times New Roman" w:hAnsi="Times New Roman"/>
          <w:sz w:val="24"/>
          <w:szCs w:val="24"/>
        </w:rPr>
        <w:t xml:space="preserve"> instituição de ensino superior é autorizada a ceder espaço físico a título gratuito, dentro da própria instituição, que servirá de sede para as atividades de assessoria e consultoria geridas pelos estudantes empresários juniores;</w:t>
      </w:r>
    </w:p>
    <w:p>
      <w:pPr>
        <w:pStyle w:val="Normal"/>
        <w:spacing w:lineRule="auto" w:line="360" w:before="0" w:after="0"/>
        <w:ind w:left="0" w:right="0" w:hanging="0"/>
        <w:jc w:val="both"/>
        <w:rPr/>
      </w:pPr>
      <w:r>
        <w:rPr>
          <w:rFonts w:ascii="Times New Roman" w:hAnsi="Times New Roman"/>
          <w:sz w:val="24"/>
          <w:szCs w:val="24"/>
        </w:rPr>
        <w:tab/>
        <w:t xml:space="preserve">IV – </w:t>
      </w:r>
      <w:r>
        <w:rPr>
          <w:rFonts w:ascii="Times New Roman" w:hAnsi="Times New Roman"/>
          <w:sz w:val="24"/>
          <w:szCs w:val="24"/>
        </w:rPr>
        <w:t>a</w:t>
      </w:r>
      <w:r>
        <w:rPr>
          <w:rFonts w:ascii="Times New Roman" w:hAnsi="Times New Roman"/>
          <w:sz w:val="24"/>
          <w:szCs w:val="24"/>
        </w:rPr>
        <w:t>s atividades da Empresa Júnior serão inseridas no conteúdo acadêmico da instituição de ensino superior preferencialmente como atividade de extensão.</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pPr>
      <w:r>
        <w:rPr>
          <w:rFonts w:ascii="Times New Roman" w:hAnsi="Times New Roman"/>
          <w:b/>
          <w:bCs/>
          <w:sz w:val="24"/>
          <w:szCs w:val="24"/>
        </w:rPr>
        <w:tab/>
        <w:t>Art. 9º</w:t>
      </w:r>
      <w:r>
        <w:rPr>
          <w:rFonts w:ascii="Times New Roman" w:hAnsi="Times New Roman"/>
          <w:sz w:val="24"/>
          <w:szCs w:val="24"/>
        </w:rPr>
        <w:t xml:space="preserve"> Toda Empresa Júnior criada na UFVJM e reconhecida pela Unidade acadêmica deverá ser, no prazo de 60 dias, cadastrada junto à </w:t>
      </w:r>
      <w:bookmarkStart w:id="0" w:name="__DdeLink__4752_679717491"/>
      <w:r>
        <w:rPr>
          <w:rFonts w:ascii="Times New Roman" w:hAnsi="Times New Roman"/>
          <w:sz w:val="24"/>
          <w:szCs w:val="24"/>
        </w:rPr>
        <w:t>Central de Empresas Juniores da UFVJM</w:t>
      </w:r>
      <w:bookmarkEnd w:id="0"/>
      <w:r>
        <w:rPr>
          <w:rFonts w:ascii="Times New Roman" w:hAnsi="Times New Roman"/>
          <w:sz w:val="24"/>
          <w:szCs w:val="24"/>
        </w:rPr>
        <w:t>, que ratificará sua criação e será responsável em registrar e manter o cadastro de todas as Empresa Júniores como ação de extensão junto à PROEXC, respeitada a regulamentação em vigor.</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bCs/>
          <w:sz w:val="24"/>
          <w:szCs w:val="24"/>
        </w:rPr>
        <w:tab/>
        <w:t>Parágrafo único.</w:t>
      </w:r>
      <w:r>
        <w:rPr>
          <w:rFonts w:ascii="Times New Roman" w:hAnsi="Times New Roman"/>
          <w:sz w:val="24"/>
          <w:szCs w:val="24"/>
        </w:rPr>
        <w:t xml:space="preserve"> A Central de Empresas Juniores da UFVJM será vinculada ao Centro de Inovação Tecnológica da UFVJM e será responsável em assessorar as Empresas Juniores da UFVJM, acompanhar suas atividades e fiscalizar seu funcionamento, conforme regulamentação e instrumentos descritos em regulamentação específica.</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center"/>
        <w:rPr>
          <w:rFonts w:ascii="Times New Roman" w:hAnsi="Times New Roman"/>
          <w:sz w:val="24"/>
          <w:szCs w:val="24"/>
        </w:rPr>
      </w:pPr>
      <w:r>
        <w:rPr>
          <w:rFonts w:ascii="Times New Roman" w:hAnsi="Times New Roman"/>
          <w:b/>
          <w:bCs/>
          <w:sz w:val="24"/>
          <w:szCs w:val="24"/>
        </w:rPr>
        <w:t>CAPÍTULO V</w:t>
      </w:r>
    </w:p>
    <w:p>
      <w:pPr>
        <w:pStyle w:val="Normal"/>
        <w:spacing w:lineRule="auto" w:line="360" w:before="0" w:after="0"/>
        <w:ind w:left="0" w:right="0" w:hanging="0"/>
        <w:jc w:val="center"/>
        <w:rPr>
          <w:rFonts w:ascii="Times New Roman" w:hAnsi="Times New Roman"/>
          <w:sz w:val="24"/>
          <w:szCs w:val="24"/>
        </w:rPr>
      </w:pPr>
      <w:r>
        <w:rPr>
          <w:rFonts w:ascii="Times New Roman" w:hAnsi="Times New Roman"/>
          <w:b/>
          <w:bCs/>
          <w:sz w:val="24"/>
          <w:szCs w:val="24"/>
        </w:rPr>
        <w:t>DAS DISPOSIÇÕES FINAIS E TRANSITÓRIAS</w:t>
      </w:r>
    </w:p>
    <w:p>
      <w:pPr>
        <w:pStyle w:val="Normal"/>
        <w:spacing w:lineRule="auto" w:line="360" w:before="0" w:after="0"/>
        <w:ind w:left="0" w:right="0" w:hanging="0"/>
        <w:jc w:val="center"/>
        <w:rPr>
          <w:b/>
          <w:b/>
          <w:bCs/>
        </w:rPr>
      </w:pPr>
      <w:r>
        <w:rPr>
          <w:b/>
          <w:bCs/>
        </w:rPr>
      </w:r>
    </w:p>
    <w:p>
      <w:pPr>
        <w:pStyle w:val="Normal"/>
        <w:spacing w:lineRule="auto" w:line="360" w:before="0" w:after="0"/>
        <w:ind w:left="0" w:right="0" w:hanging="0"/>
        <w:jc w:val="both"/>
        <w:rPr/>
      </w:pPr>
      <w:r>
        <w:rPr>
          <w:rFonts w:ascii="Times New Roman" w:hAnsi="Times New Roman"/>
          <w:sz w:val="24"/>
          <w:szCs w:val="24"/>
        </w:rPr>
        <w:tab/>
      </w:r>
      <w:r>
        <w:rPr>
          <w:rFonts w:ascii="Times New Roman" w:hAnsi="Times New Roman"/>
          <w:b/>
          <w:bCs/>
          <w:sz w:val="24"/>
          <w:szCs w:val="24"/>
        </w:rPr>
        <w:t>Art. 10º</w:t>
      </w:r>
      <w:r>
        <w:rPr>
          <w:rFonts w:ascii="Times New Roman" w:hAnsi="Times New Roman"/>
          <w:b/>
          <w:sz w:val="24"/>
          <w:szCs w:val="24"/>
        </w:rPr>
        <w:t xml:space="preserve"> </w:t>
      </w:r>
      <w:r>
        <w:rPr>
          <w:rFonts w:ascii="Times New Roman" w:hAnsi="Times New Roman"/>
          <w:sz w:val="24"/>
          <w:szCs w:val="24"/>
        </w:rPr>
        <w:t xml:space="preserve">As </w:t>
      </w:r>
      <w:r>
        <w:rPr>
          <w:rFonts w:ascii="Times New Roman" w:hAnsi="Times New Roman"/>
          <w:sz w:val="24"/>
          <w:szCs w:val="24"/>
        </w:rPr>
        <w:t>E</w:t>
      </w:r>
      <w:r>
        <w:rPr>
          <w:rFonts w:ascii="Times New Roman" w:hAnsi="Times New Roman"/>
          <w:sz w:val="24"/>
          <w:szCs w:val="24"/>
        </w:rPr>
        <w:t>mpresas Juniores já existentes na UFVJM deverão adequar a esta regulamentação no prazo de 90 dias a partir da data de aprovação desta resolução observando as normas até então vigentes e os preceitos legais para sua formalização.</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pPr>
      <w:r>
        <w:rPr>
          <w:rFonts w:ascii="Times New Roman" w:hAnsi="Times New Roman"/>
          <w:sz w:val="24"/>
          <w:szCs w:val="24"/>
        </w:rPr>
        <w:tab/>
      </w:r>
      <w:r>
        <w:rPr>
          <w:rFonts w:ascii="Times New Roman" w:hAnsi="Times New Roman"/>
          <w:b/>
          <w:bCs/>
          <w:sz w:val="24"/>
          <w:szCs w:val="24"/>
        </w:rPr>
        <w:t>Art. 11</w:t>
      </w:r>
      <w:r>
        <w:rPr>
          <w:rFonts w:ascii="Times New Roman" w:hAnsi="Times New Roman"/>
          <w:sz w:val="24"/>
          <w:szCs w:val="24"/>
        </w:rPr>
        <w:t xml:space="preserve"> As Unidades acadêmicas poderão criar regulamentação específica que disciplinará o funcionamento das empresas juniores vinculadas.</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0"/>
        <w:ind w:left="0" w:right="0" w:hanging="0"/>
        <w:jc w:val="both"/>
        <w:rPr/>
      </w:pPr>
      <w:r>
        <w:rPr>
          <w:rFonts w:ascii="Times New Roman" w:hAnsi="Times New Roman"/>
          <w:sz w:val="24"/>
          <w:szCs w:val="24"/>
        </w:rPr>
        <w:tab/>
      </w:r>
      <w:r>
        <w:rPr>
          <w:rFonts w:ascii="Times New Roman" w:hAnsi="Times New Roman"/>
          <w:b/>
          <w:bCs/>
          <w:sz w:val="24"/>
          <w:szCs w:val="24"/>
        </w:rPr>
        <w:t>Art. 12</w:t>
      </w:r>
      <w:r>
        <w:rPr>
          <w:rFonts w:ascii="Times New Roman" w:hAnsi="Times New Roman"/>
          <w:b/>
          <w:sz w:val="24"/>
          <w:szCs w:val="24"/>
        </w:rPr>
        <w:t xml:space="preserve"> </w:t>
      </w:r>
      <w:r>
        <w:rPr>
          <w:rFonts w:ascii="Times New Roman" w:hAnsi="Times New Roman"/>
          <w:sz w:val="24"/>
          <w:szCs w:val="24"/>
        </w:rPr>
        <w:t>Os casos omissos serão resolvidos pelo Conselho Universitário da UFVJM</w:t>
      </w:r>
      <w:r>
        <w:rPr>
          <w:rFonts w:ascii="Times New Roman" w:hAnsi="Times New Roman"/>
          <w:b/>
          <w:sz w:val="24"/>
          <w:szCs w:val="24"/>
        </w:rPr>
        <w:t>.</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sz w:val="24"/>
          <w:szCs w:val="24"/>
        </w:rPr>
      </w:r>
    </w:p>
    <w:p>
      <w:pPr>
        <w:pStyle w:val="Normal"/>
        <w:suppressAutoHyphens w:val="true"/>
        <w:spacing w:lineRule="auto" w:line="360" w:before="0" w:after="0"/>
        <w:ind w:left="0" w:right="0" w:hanging="0"/>
        <w:jc w:val="both"/>
        <w:rPr>
          <w:rFonts w:ascii="Times New Roman" w:hAnsi="Times New Roman"/>
          <w:sz w:val="24"/>
          <w:szCs w:val="24"/>
        </w:rPr>
      </w:pPr>
      <w:r>
        <w:rPr>
          <w:rFonts w:eastAsia="Times New Roman" w:cs="Times New Roman" w:ascii="Times New Roman" w:hAnsi="Times New Roman"/>
          <w:b/>
          <w:bCs/>
          <w:color w:val="000000"/>
          <w:sz w:val="24"/>
          <w:szCs w:val="24"/>
        </w:rPr>
        <w:tab/>
        <w:t>Art. 13</w:t>
      </w:r>
      <w:r>
        <w:rPr>
          <w:rFonts w:eastAsia="Times New Roman" w:cs="Times New Roman" w:ascii="Times New Roman" w:hAnsi="Times New Roman"/>
          <w:b w:val="false"/>
          <w:bCs w:val="false"/>
          <w:color w:val="000000"/>
          <w:sz w:val="24"/>
          <w:szCs w:val="24"/>
        </w:rPr>
        <w:t xml:space="preserve"> Este regulamento entrará em vigor na data de sua publicação, revogando-se as disposições em contrário.</w:t>
      </w:r>
    </w:p>
    <w:p>
      <w:pPr>
        <w:pStyle w:val="Normal1"/>
        <w:spacing w:lineRule="auto" w:line="360" w:before="0" w:after="0"/>
        <w:ind w:left="0" w:right="0" w:hanging="0"/>
        <w:jc w:val="center"/>
        <w:rPr>
          <w:rFonts w:ascii="Times New Roman" w:hAnsi="Times New Roman" w:cs="Times New Roman"/>
          <w:b/>
          <w:b/>
          <w:color w:val="000000"/>
          <w:sz w:val="24"/>
          <w:szCs w:val="24"/>
        </w:rPr>
      </w:pPr>
      <w:r>
        <w:rPr>
          <w:rFonts w:cs="Times New Roman" w:ascii="Times New Roman" w:hAnsi="Times New Roman"/>
          <w:b/>
          <w:color w:val="000000"/>
          <w:sz w:val="24"/>
          <w:szCs w:val="24"/>
        </w:rPr>
      </w:r>
    </w:p>
    <w:p>
      <w:pPr>
        <w:pStyle w:val="Normal1"/>
        <w:spacing w:lineRule="auto" w:line="360" w:before="0" w:after="0"/>
        <w:ind w:left="0" w:right="0" w:hanging="0"/>
        <w:jc w:val="center"/>
        <w:rPr>
          <w:rFonts w:ascii="Times New Roman" w:hAnsi="Times New Roman" w:cs="Times New Roman"/>
          <w:b/>
          <w:b/>
          <w:color w:val="000000"/>
          <w:sz w:val="24"/>
          <w:szCs w:val="24"/>
        </w:rPr>
      </w:pPr>
      <w:r>
        <w:rPr>
          <w:rFonts w:cs="Times New Roman" w:ascii="Times New Roman" w:hAnsi="Times New Roman"/>
          <w:b/>
          <w:color w:val="000000"/>
          <w:sz w:val="24"/>
          <w:szCs w:val="24"/>
        </w:rPr>
      </w:r>
    </w:p>
    <w:p>
      <w:pPr>
        <w:pStyle w:val="Normal1"/>
        <w:spacing w:lineRule="auto" w:line="360" w:before="0" w:after="0"/>
        <w:ind w:left="0" w:right="0" w:hanging="0"/>
        <w:jc w:val="center"/>
        <w:rPr/>
      </w:pPr>
      <w:r>
        <w:rPr>
          <w:rFonts w:cs="Times New Roman" w:ascii="Times New Roman" w:hAnsi="Times New Roman"/>
          <w:b/>
          <w:bCs/>
          <w:i/>
          <w:iCs/>
          <w:color w:val="000000"/>
          <w:sz w:val="24"/>
          <w:szCs w:val="24"/>
        </w:rPr>
        <w:t>GILCIANO SARAIVA NOGUEIRA</w:t>
      </w:r>
    </w:p>
    <w:sectPr>
      <w:type w:val="nextPage"/>
      <w:pgSz w:w="11906" w:h="16838"/>
      <w:pgMar w:left="1246" w:right="1141" w:header="0" w:top="851" w:footer="0" w:bottom="851"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Segoe UI">
    <w:charset w:val="00"/>
    <w:family w:val="roman"/>
    <w:pitch w:val="variable"/>
  </w:font>
  <w:font w:name="Liberation Sans">
    <w:altName w:val="Arial"/>
    <w:charset w:val="00"/>
    <w:family w:val="roman"/>
    <w:pitch w:val="variable"/>
  </w:font>
  <w:font w:name="Bookman Old Style">
    <w:charset w:val="00"/>
    <w:family w:val="roman"/>
    <w:pitch w:val="variable"/>
  </w:font>
</w:fonts>
</file>

<file path=word/settings.xml><?xml version="1.0" encoding="utf-8"?>
<w:settings xmlns:w="http://schemas.openxmlformats.org/wordprocessingml/2006/main">
  <w:zoom w:percent="14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2"/>
      <w:jc w:val="left"/>
    </w:pPr>
    <w:rPr>
      <w:rFonts w:ascii="Calibri" w:hAnsi="Calibri" w:eastAsia="" w:cs=""/>
      <w:color w:val="00000A"/>
      <w:sz w:val="22"/>
      <w:szCs w:val="22"/>
      <w:lang w:val="pt-BR" w:eastAsia="pt-BR" w:bidi="ar-SA"/>
    </w:rPr>
  </w:style>
  <w:style w:type="paragraph" w:styleId="Ttulo1">
    <w:name w:val="Heading 1"/>
    <w:basedOn w:val="Ttulo"/>
    <w:qFormat/>
    <w:pPr>
      <w:widowControl w:val="false"/>
      <w:bidi w:val="0"/>
      <w:jc w:val="left"/>
      <w:outlineLvl w:val="0"/>
    </w:pPr>
    <w:rPr>
      <w:rFonts w:ascii="Calibri" w:hAnsi="Calibri" w:eastAsia="" w:cs="" w:asciiTheme="minorHAnsi" w:cstheme="minorBidi" w:eastAsiaTheme="minorEastAsia" w:hAnsiTheme="minorHAnsi"/>
      <w:color w:val="00000A"/>
      <w:sz w:val="22"/>
      <w:szCs w:val="22"/>
      <w:lang w:val="pt-BR" w:eastAsia="pt-BR" w:bidi="ar-SA"/>
    </w:rPr>
  </w:style>
  <w:style w:type="paragraph" w:styleId="Ttulo2">
    <w:name w:val="Heading 2"/>
    <w:basedOn w:val="Ttulo"/>
    <w:qFormat/>
    <w:pPr>
      <w:widowControl w:val="false"/>
      <w:bidi w:val="0"/>
      <w:jc w:val="left"/>
      <w:outlineLvl w:val="1"/>
    </w:pPr>
    <w:rPr>
      <w:rFonts w:ascii="Calibri" w:hAnsi="Calibri" w:eastAsia="" w:cs="" w:asciiTheme="minorHAnsi" w:cstheme="minorBidi" w:eastAsiaTheme="minorEastAsia" w:hAnsiTheme="minorHAnsi"/>
      <w:color w:val="00000A"/>
      <w:sz w:val="22"/>
      <w:szCs w:val="22"/>
      <w:lang w:val="pt-BR" w:eastAsia="pt-BR" w:bidi="ar-SA"/>
    </w:rPr>
  </w:style>
  <w:style w:type="paragraph" w:styleId="Ttulo3">
    <w:name w:val="Heading 3"/>
    <w:basedOn w:val="Ttulo"/>
    <w:qFormat/>
    <w:pPr>
      <w:widowControl w:val="false"/>
      <w:bidi w:val="0"/>
      <w:jc w:val="left"/>
      <w:outlineLvl w:val="2"/>
    </w:pPr>
    <w:rPr>
      <w:rFonts w:ascii="Calibri" w:hAnsi="Calibri" w:eastAsia="" w:cs="" w:asciiTheme="minorHAnsi" w:cstheme="minorBidi" w:eastAsiaTheme="minorEastAsia" w:hAnsiTheme="minorHAnsi"/>
      <w:color w:val="00000A"/>
      <w:sz w:val="22"/>
      <w:szCs w:val="22"/>
      <w:lang w:val="pt-BR" w:eastAsia="pt-BR" w:bidi="ar-SA"/>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4c4351"/>
    <w:rPr>
      <w:rFonts w:ascii="Segoe UI" w:hAnsi="Segoe UI" w:cs="Segoe UI"/>
      <w:sz w:val="18"/>
      <w:szCs w:val="18"/>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widowControl w:val="false"/>
      <w:spacing w:lineRule="auto" w:line="252"/>
    </w:pPr>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widowControl w:val="false"/>
      <w:suppressLineNumbers/>
    </w:pPr>
    <w:rPr/>
  </w:style>
  <w:style w:type="paragraph" w:styleId="Ttulododocumento">
    <w:name w:val="Title"/>
    <w:basedOn w:val="Normal"/>
    <w:qFormat/>
    <w:pPr>
      <w:keepNext/>
      <w:spacing w:before="240" w:after="120"/>
    </w:pPr>
    <w:rPr>
      <w:rFonts w:ascii="Liberation Sans" w:hAnsi="Liberation Sans" w:eastAsia="Microsoft YaHei" w:cs="Mangal"/>
      <w:sz w:val="28"/>
      <w:szCs w:val="28"/>
    </w:rPr>
  </w:style>
  <w:style w:type="paragraph" w:styleId="Caption">
    <w:name w:val="caption"/>
    <w:qFormat/>
    <w:pPr>
      <w:widowControl w:val="false"/>
      <w:suppressLineNumbers/>
      <w:bidi w:val="0"/>
      <w:spacing w:before="120" w:after="120"/>
      <w:jc w:val="left"/>
    </w:pPr>
    <w:rPr>
      <w:rFonts w:ascii="Calibri" w:hAnsi="Calibri" w:eastAsia="" w:cs="" w:asciiTheme="minorHAnsi" w:cstheme="minorBidi" w:eastAsiaTheme="minorEastAsia" w:hAnsiTheme="minorHAnsi"/>
      <w:i/>
      <w:iCs/>
      <w:color w:val="00000A"/>
      <w:sz w:val="22"/>
      <w:szCs w:val="22"/>
      <w:lang w:val="pt-BR" w:eastAsia="pt-BR" w:bidi="ar-SA"/>
    </w:rPr>
  </w:style>
  <w:style w:type="paragraph" w:styleId="Ttulo11" w:customStyle="1">
    <w:name w:val="Título1"/>
    <w:basedOn w:val="Ttulododocumento"/>
    <w:qFormat/>
    <w:pPr>
      <w:widowControl w:val="false"/>
    </w:pPr>
    <w:rPr>
      <w:rFonts w:cs="" w:cstheme="minorBidi"/>
    </w:rPr>
  </w:style>
  <w:style w:type="paragraph" w:styleId="Normal1" w:customStyle="1">
    <w:name w:val="Normal1"/>
    <w:qFormat/>
    <w:pPr>
      <w:widowControl/>
      <w:suppressAutoHyphens w:val="true"/>
      <w:bidi w:val="0"/>
      <w:spacing w:lineRule="auto" w:line="252" w:before="0" w:after="160"/>
      <w:jc w:val="left"/>
    </w:pPr>
    <w:rPr>
      <w:rFonts w:ascii="Liberation Serif" w:hAnsi="Liberation Serif" w:eastAsia="SimSun" w:cs="Mangal"/>
      <w:color w:val="00000A"/>
      <w:sz w:val="24"/>
      <w:szCs w:val="24"/>
      <w:lang w:val="pt-BR" w:eastAsia="zh-CN" w:bidi="hi-IN"/>
    </w:rPr>
  </w:style>
  <w:style w:type="paragraph" w:styleId="Corpodotexto" w:customStyle="1">
    <w:name w:val="Corpo do texto"/>
    <w:basedOn w:val="Normal1"/>
    <w:qFormat/>
    <w:pPr>
      <w:spacing w:lineRule="auto" w:line="288" w:before="0" w:after="140"/>
    </w:pPr>
    <w:rPr/>
  </w:style>
  <w:style w:type="paragraph" w:styleId="Annotationtext">
    <w:name w:val="annotation text"/>
    <w:basedOn w:val="Normal1"/>
    <w:link w:val="TextodecomentrioChar"/>
    <w:uiPriority w:val="99"/>
    <w:semiHidden/>
    <w:unhideWhenUsed/>
    <w:qFormat/>
    <w:pPr>
      <w:spacing w:lineRule="auto" w:line="240"/>
    </w:pPr>
    <w:rPr>
      <w:sz w:val="20"/>
      <w:szCs w:val="20"/>
    </w:rPr>
  </w:style>
  <w:style w:type="paragraph" w:styleId="BalloonText">
    <w:name w:val="Balloon Text"/>
    <w:basedOn w:val="Normal1"/>
    <w:link w:val="TextodebaloChar"/>
    <w:uiPriority w:val="99"/>
    <w:semiHidden/>
    <w:unhideWhenUsed/>
    <w:qFormat/>
    <w:rsid w:val="004c4351"/>
    <w:pPr>
      <w:spacing w:lineRule="auto" w:line="240" w:before="0" w:after="0"/>
    </w:pPr>
    <w:rPr>
      <w:rFonts w:ascii="Segoe UI" w:hAnsi="Segoe UI" w:cs="Segoe UI"/>
      <w:sz w:val="18"/>
      <w:szCs w:val="18"/>
    </w:rPr>
  </w:style>
  <w:style w:type="paragraph" w:styleId="Cabealho">
    <w:name w:val="Header"/>
    <w:basedOn w:val="Normal1"/>
    <w:pPr>
      <w:tabs>
        <w:tab w:val="center" w:pos="4252" w:leader="none"/>
        <w:tab w:val="right" w:pos="8504" w:leader="none"/>
      </w:tabs>
    </w:pPr>
    <w:rPr/>
  </w:style>
  <w:style w:type="paragraph" w:styleId="Citaes" w:customStyle="1">
    <w:name w:val="Citações"/>
    <w:basedOn w:val="Normal1"/>
    <w:qFormat/>
    <w:pPr/>
    <w:rPr/>
  </w:style>
  <w:style w:type="paragraph" w:styleId="Subttulo">
    <w:name w:val="Subtitle"/>
    <w:basedOn w:val="Ttulo11"/>
    <w:qFormat/>
    <w:pPr/>
    <w:rPr/>
  </w:style>
  <w:style w:type="paragraph" w:styleId="Default" w:customStyle="1">
    <w:name w:val="Default"/>
    <w:qFormat/>
    <w:pPr>
      <w:widowControl w:val="false"/>
      <w:bidi w:val="0"/>
      <w:ind w:firstLine="357"/>
      <w:jc w:val="both"/>
    </w:pPr>
    <w:rPr>
      <w:rFonts w:ascii="Bookman Old Style" w:hAnsi="Bookman Old Style" w:eastAsia="Times New Roman" w:cs="Bookman Old Style"/>
      <w:color w:val="000000"/>
      <w:sz w:val="24"/>
      <w:szCs w:val="24"/>
      <w:lang w:val="pt-BR" w:eastAsia="pt-BR" w:bidi="ar-SA"/>
    </w:rPr>
  </w:style>
  <w:style w:type="paragraph" w:styleId="CM9" w:customStyle="1">
    <w:name w:val="CM9"/>
    <w:basedOn w:val="Default"/>
    <w:next w:val="Default"/>
    <w:qFormat/>
    <w:pPr>
      <w:spacing w:before="0" w:after="125"/>
    </w:pPr>
    <w:rPr>
      <w:color w:val="00000A"/>
    </w:rPr>
  </w:style>
  <w:style w:type="paragraph" w:styleId="CM10" w:customStyle="1">
    <w:name w:val="CM10"/>
    <w:basedOn w:val="Default"/>
    <w:next w:val="Default"/>
    <w:qFormat/>
    <w:pPr>
      <w:spacing w:before="0" w:after="343"/>
    </w:pPr>
    <w:rPr>
      <w:color w:val="00000A"/>
    </w:rPr>
  </w:style>
  <w:style w:type="paragraph" w:styleId="CM11" w:customStyle="1">
    <w:name w:val="CM11"/>
    <w:basedOn w:val="Default"/>
    <w:next w:val="Default"/>
    <w:qFormat/>
    <w:pPr>
      <w:spacing w:before="0" w:after="648"/>
    </w:pPr>
    <w:rPr>
      <w:color w:val="00000A"/>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Application>LibreOffice/5.1.5.2$Windows_x86 LibreOffice_project/7a864d8825610a8c07cfc3bc01dd4fce6a9447e5</Application>
  <Pages>6</Pages>
  <Words>1416</Words>
  <Characters>8287</Characters>
  <CharactersWithSpaces>9721</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2018-03-16T17:38:00Z</dcterms:created>
  <dc:creator>DANIELA</dc:creator>
  <dc:description/>
  <dc:language>pt</dc:language>
  <cp:lastModifiedBy/>
  <cp:lastPrinted>2018-03-21T10:56:45Z</cp:lastPrinted>
  <dcterms:modified xsi:type="dcterms:W3CDTF">2018-07-04T13:40:25Z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