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02, DE 24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Consepe nº 41, de 21 de junho de 2017, modificando ementa e incluindo Unidade Curricular no Projeto Pedagógico do Curso de Graduação em Engenharia de Materiais, do Instituto de Engenharia, Ciência e Tecnologia – IECT, da Universidade Federal dos Vales do Jequitinhonha e Mucuri, e dá outras providências.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124ª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alteração textual no Projeto Pedagógico do Curso de Graduação em Engenharia de Materiais, do Instituto de Engenharia, Ciência e Tecnologia – IECT da UFVJM, conforme Anexo I.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 inclusão da Unidade Curricular “EFIS020 – Saúde e Segurança do Trabalho” no projeto pedagógico do curso de Engenharia de Materiais, modificando a carga horária total do curso de 3.600 para 3.645 horas.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alteração na ementa da Unidade Curricular “Caracterização dos Materiais – EMAT009”, do Curso de Graduação em Engenharia de Materiais, do Instituto de Engenharia, Ciência e Tecnologia – IECT da UFVJM, conforme Anexo II.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bookmarkStart w:id="0" w:name="__DdeLink__390_1651206471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4º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 em vigor na data da sua aprovação pelo CONSEPE.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24 de janeiro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  <w:r>
        <w:br w:type="page"/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ANEXO 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strike w:val="false"/>
          <w:dstrike w:val="false"/>
          <w:u w:val="none"/>
        </w:rPr>
      </w:pPr>
      <w:r>
        <w:rPr>
          <w:strike w:val="false"/>
          <w:dstrike w:val="false"/>
          <w:u w:val="none"/>
        </w:rPr>
      </w:r>
    </w:p>
    <w:tbl>
      <w:tblPr>
        <w:tblStyle w:val="Tabelacomgrade"/>
        <w:tblW w:w="9490" w:type="dxa"/>
        <w:jc w:val="left"/>
        <w:tblInd w:w="1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00"/>
        <w:gridCol w:w="4689"/>
      </w:tblGrid>
      <w:tr>
        <w:trPr/>
        <w:tc>
          <w:tcPr>
            <w:tcW w:w="4800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Documento original – Onde se lê:</w:t>
            </w:r>
          </w:p>
        </w:tc>
        <w:tc>
          <w:tcPr>
            <w:tcW w:w="4689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Leia-se</w:t>
            </w:r>
          </w:p>
        </w:tc>
      </w:tr>
      <w:tr>
        <w:trPr/>
        <w:tc>
          <w:tcPr>
            <w:tcW w:w="4800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Tópico 5.2 Objetivos específicos</w:t>
            </w:r>
          </w:p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Implantar uma empresa Júnior (linha 9, pág.18).</w:t>
            </w:r>
          </w:p>
        </w:tc>
        <w:tc>
          <w:tcPr>
            <w:tcW w:w="4689" w:type="dxa"/>
            <w:tcBorders/>
            <w:shd w:fill="auto" w:val="clear"/>
          </w:tcPr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Tópico 5.2 Objetivos específicos</w:t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Incentivar a criação de uma empresa Júnior.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ANEXO II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22" w:type="dxa"/>
        <w:jc w:val="left"/>
        <w:tblInd w:w="1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20"/>
        <w:gridCol w:w="4701"/>
      </w:tblGrid>
      <w:tr>
        <w:trPr/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Ementa Antiga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Ementa Nova</w:t>
            </w:r>
          </w:p>
        </w:tc>
      </w:tr>
      <w:tr>
        <w:trPr/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Caracterização dos Materiais – EMAT009</w:t>
            </w:r>
          </w:p>
          <w:p>
            <w:pPr>
              <w:pStyle w:val="Normal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1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Microestruturas dos materiais metálicos, cerâmicos e poliméricos. Sistemas e reticulados cristalinos, grupos espaciais e simetria, tipos mais comuns de estruturas cristalinas. Projeção estereográfica. Métodos de difração de raios-X. Direção e intensidade do feixe difratado. Lei de Bragg. Figuras de pole direta e inversa. Função de distribuição de orientação cristalina.</w:t>
            </w:r>
          </w:p>
        </w:tc>
        <w:tc>
          <w:tcPr>
            <w:tcW w:w="4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Caracterização dos Materiais – EMAT009</w:t>
            </w:r>
          </w:p>
          <w:p>
            <w:pPr>
              <w:pStyle w:val="Default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3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Análise e caracterização de materiais, interfaces e recobrimentos. Métodos de caracterização e análise, tais como métodos de imagem, microscopia óptica e eletrônica, microscopia de força atômica, caracterização por difração de raio-X, análises térmicas, métodos espectroscópicos, espectroscopia eletrônica, vibracional e rotacional. Técnicas de análise de superfícies. Aplicações das técnicas de análise de superfícies e interfaces. Análise de falha e defeitos envolvendo técnicas de caracterização.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Application>LibreOffice/5.1.5.2$Windows_x86 LibreOffice_project/7a864d8825610a8c07cfc3bc01dd4fce6a9447e5</Application>
  <Pages>4</Pages>
  <Words>390</Words>
  <Characters>2294</Characters>
  <CharactersWithSpaces>2672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2019-01-29T10:35:01Z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