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0" w:line="100" w:lineRule="atLeast"/>
        <w:jc w:val="center"/>
      </w:pPr>
      <w:r>
        <w:rPr>
          <w:rFonts w:ascii="Times New Roman" w:cs="Times New Roman" w:hAnsi="Times New Roman"/>
          <w:b/>
          <w:bCs/>
          <w:sz w:val="24"/>
          <w:szCs w:val="24"/>
        </w:rPr>
        <w:t>EDITAL 02/2014 DE SELEÇÃO DO PROGRAMA DE MONITORIA  VOLUNTÁRIA DA UNIVERSIDADE FEDERAL DOS VALES DO JEQUITINHONHA E MUCURI</w:t>
      </w:r>
    </w:p>
    <w:p>
      <w:pPr>
        <w:pStyle w:val="style0"/>
        <w:spacing w:after="0" w:before="0" w:line="100" w:lineRule="atLeast"/>
        <w:jc w:val="both"/>
      </w:pPr>
      <w:r>
        <w:rPr/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ab/>
        <w:t xml:space="preserve">O Departamento de Agronomia da Faculdade de Ciências Agrárias, atendo ao disposto na RESOLUÇÃO Nº. 09 – CONSEPE, DE 19 DE ABRIL DE 2013,  torna público o processo de seleção para bolsistas no Programa de Monitoria da UFVJM visando o preenchimento de 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vagas de monitores  voluntários para atender as disciplinas:</w:t>
      </w:r>
    </w:p>
    <w:p>
      <w:pPr>
        <w:pStyle w:val="style0"/>
        <w:spacing w:after="0" w:before="0" w:line="100" w:lineRule="atLeast"/>
        <w:jc w:val="both"/>
      </w:pPr>
      <w:r>
        <w:rPr/>
      </w:r>
    </w:p>
    <w:tbl>
      <w:tblPr>
        <w:jc w:val="center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</w:tblBorders>
      </w:tblPr>
      <w:tblGrid>
        <w:gridCol w:w="2161"/>
        <w:gridCol w:w="2161"/>
        <w:gridCol w:w="2161"/>
      </w:tblGrid>
      <w:tr>
        <w:trPr>
          <w:cantSplit w:val="false"/>
        </w:trPr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cs="Calibri"/>
              </w:rPr>
              <w:t>Disciplina</w:t>
            </w:r>
          </w:p>
        </w:tc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cs="Calibri"/>
              </w:rPr>
              <w:t>Vagas</w:t>
            </w:r>
          </w:p>
        </w:tc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cs="Calibri"/>
              </w:rPr>
              <w:t xml:space="preserve">Categoria </w:t>
            </w:r>
          </w:p>
        </w:tc>
      </w:tr>
      <w:tr>
        <w:trPr>
          <w:cantSplit w:val="false"/>
        </w:trPr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cs="Calibri"/>
              </w:rPr>
              <w:t>Floricultura e Jardinagem</w:t>
            </w:r>
          </w:p>
        </w:tc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cs="Calibri"/>
              </w:rPr>
              <w:t>1</w:t>
            </w:r>
          </w:p>
        </w:tc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bookmarkStart w:id="0" w:name="__DdeLink__299_2022902531"/>
            <w:bookmarkEnd w:id="0"/>
            <w:r>
              <w:rPr>
                <w:rFonts w:cs="Calibri"/>
              </w:rPr>
              <w:t>Voluntária</w:t>
            </w:r>
          </w:p>
        </w:tc>
      </w:tr>
      <w:tr>
        <w:trPr>
          <w:cantSplit w:val="false"/>
        </w:trPr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cs="Calibri"/>
              </w:rPr>
              <w:t>Plantas medicinais e Aromáticas</w:t>
            </w:r>
          </w:p>
        </w:tc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cs="Calibri"/>
              </w:rPr>
              <w:t>1</w:t>
            </w:r>
          </w:p>
        </w:tc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cs="Calibri"/>
              </w:rPr>
              <w:t>Voluntária</w:t>
            </w:r>
          </w:p>
        </w:tc>
      </w:tr>
      <w:tr>
        <w:trPr>
          <w:cantSplit w:val="false"/>
        </w:trPr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cs="Calibri"/>
              </w:rPr>
              <w:t>Estatística experimental</w:t>
            </w:r>
          </w:p>
        </w:tc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cs="Calibri"/>
              </w:rPr>
              <w:t>1</w:t>
            </w:r>
          </w:p>
        </w:tc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cs="Calibri"/>
              </w:rPr>
              <w:t>Voluntária</w:t>
            </w:r>
          </w:p>
        </w:tc>
      </w:tr>
      <w:tr>
        <w:trPr>
          <w:cantSplit w:val="false"/>
        </w:trPr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cs="Calibri"/>
              </w:rPr>
              <w:t>Construções Rurais</w:t>
            </w:r>
          </w:p>
        </w:tc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center"/>
            </w:pPr>
            <w:r>
              <w:rPr>
                <w:rFonts w:cs="Calibri"/>
              </w:rPr>
              <w:t>1</w:t>
            </w:r>
          </w:p>
        </w:tc>
        <w:tc>
          <w:tcPr>
            <w:tcW w:type="dxa" w:w="21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cs="Calibri"/>
              </w:rPr>
              <w:t>Voluntária</w:t>
            </w:r>
          </w:p>
        </w:tc>
      </w:tr>
    </w:tbl>
    <w:p>
      <w:pPr>
        <w:pStyle w:val="style0"/>
        <w:numPr>
          <w:ilvl w:val="0"/>
          <w:numId w:val="1"/>
        </w:numPr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1 - Das condições de inscrição e seleção:</w:t>
      </w:r>
    </w:p>
    <w:p>
      <w:pPr>
        <w:pStyle w:val="style0"/>
        <w:spacing w:after="0" w:before="0" w:line="100" w:lineRule="atLeast"/>
        <w:jc w:val="both"/>
      </w:pPr>
      <w:r>
        <w:rPr/>
      </w:r>
    </w:p>
    <w:p>
      <w:pPr>
        <w:pStyle w:val="style0"/>
        <w:numPr>
          <w:ilvl w:val="0"/>
          <w:numId w:val="1"/>
        </w:numPr>
        <w:tabs>
          <w:tab w:leader="none" w:pos="0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Poderão inscrever-se para o exame de seleção os discentes:</w:t>
      </w:r>
    </w:p>
    <w:p>
      <w:pPr>
        <w:pStyle w:val="style0"/>
        <w:spacing w:after="0" w:before="0" w:line="100" w:lineRule="atLeast"/>
        <w:ind w:firstLine="708" w:left="0" w:right="0"/>
        <w:jc w:val="both"/>
      </w:pPr>
      <w:r>
        <w:rPr>
          <w:rFonts w:ascii="Times New Roman" w:cs="Times New Roman" w:hAnsi="Times New Roman"/>
          <w:sz w:val="24"/>
          <w:szCs w:val="24"/>
        </w:rPr>
        <w:t>a) regularmente matriculados em um dos cursos de graduação da UFVJM;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ab/>
        <w:t>b) que comprovem já ter obtido aprovação na disciplina objeto da seleção, ou disciplina(s) equivalente(s), com média igual ou superior a 70,0 (setenta);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            </w:t>
      </w:r>
      <w:r>
        <w:rPr>
          <w:rFonts w:ascii="Times New Roman" w:cs="Times New Roman" w:hAnsi="Times New Roman"/>
          <w:sz w:val="24"/>
          <w:szCs w:val="24"/>
        </w:rPr>
        <w:t>c) Coeficiente de Rendimento Acadêmico (CRA) igual ou superior a 60,0(sessenta).</w:t>
      </w:r>
    </w:p>
    <w:p>
      <w:pPr>
        <w:pStyle w:val="style0"/>
        <w:spacing w:after="0" w:before="0" w:line="100" w:lineRule="atLeast"/>
        <w:jc w:val="both"/>
      </w:pPr>
      <w:r>
        <w:rPr/>
      </w:r>
    </w:p>
    <w:p>
      <w:pPr>
        <w:pStyle w:val="style0"/>
        <w:numPr>
          <w:ilvl w:val="0"/>
          <w:numId w:val="1"/>
        </w:numPr>
        <w:tabs>
          <w:tab w:leader="none" w:pos="0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No caso da inscrição de candidatos que tiverem integralizado disciplina(s) equivalente(s) àquela, objeto da seleção, o candidato deverá anexar aos documentos uma declaração do professor responsável pela disciplina informando que o conteúdo programático é equivalente.</w:t>
      </w:r>
    </w:p>
    <w:p>
      <w:pPr>
        <w:pStyle w:val="style0"/>
        <w:spacing w:after="0" w:before="0" w:line="100" w:lineRule="atLeast"/>
        <w:jc w:val="both"/>
      </w:pPr>
      <w:r>
        <w:rPr/>
      </w:r>
    </w:p>
    <w:p>
      <w:pPr>
        <w:pStyle w:val="style0"/>
        <w:numPr>
          <w:ilvl w:val="0"/>
          <w:numId w:val="1"/>
        </w:numPr>
        <w:tabs>
          <w:tab w:leader="none" w:pos="0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Não se inscrevendo nenhum candidato que apresente aproveitamento compatível com o previsto na alínea “b” deste artigo, poderão candidatar-se, a critério do Professor responsável pela disciplina, alunos que apresentem rendimento igual ou superior a 60,0(sessenta), mantidas as demais exigências.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1.4. A seleção dos candidatos deverá ser feita obedecendo, obrigatoriamente, a dois critérios:</w:t>
      </w:r>
    </w:p>
    <w:p>
      <w:pPr>
        <w:pStyle w:val="style0"/>
        <w:tabs>
          <w:tab w:leader="none" w:pos="513" w:val="left"/>
          <w:tab w:leader="none" w:pos="708" w:val="left"/>
          <w:tab w:leader="none" w:pos="709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ab/>
        <w:t xml:space="preserve">   I) avaliação específica sobre o conteúdo programático da disciplina;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ab/>
        <w:t xml:space="preserve">   II) avaliação do coeficiente de rendimento acadêmico, obtido no SIGA-Ensino;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1.5. As avaliações pertinentes aos incisos I e II terão pesos iguais. E a nota final será a média das duas avaliações. </w:t>
        <w:tab/>
        <w:tab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1.6. Será considerado aprovado no exame de seleção, o candidato que obtiver nota final igual ou superior a 60% (sessenta por cento).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1.7. Ocorrendo empate no resultado de seleção serão observados, para efeito de desempate, pela ordem, os seguintes critérios:</w:t>
      </w:r>
    </w:p>
    <w:p>
      <w:pPr>
        <w:pStyle w:val="style0"/>
        <w:tabs>
          <w:tab w:leader="none" w:pos="513" w:val="left"/>
          <w:tab w:leader="none" w:pos="708" w:val="left"/>
          <w:tab w:leader="none" w:pos="709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ab/>
        <w:t xml:space="preserve">   a) maior nota na disciplina objeto de seleção;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ab/>
        <w:t xml:space="preserve">   b) maior Coeficiente de Rendimento Acadêmico (CRA);</w:t>
      </w:r>
    </w:p>
    <w:p>
      <w:pPr>
        <w:pStyle w:val="style0"/>
        <w:tabs>
          <w:tab w:leader="none" w:pos="513" w:val="left"/>
          <w:tab w:leader="none" w:pos="708" w:val="left"/>
          <w:tab w:leader="none" w:pos="709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ab/>
        <w:t xml:space="preserve">   c) candidato com maior idade.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2 – Da Admissão, Exercício e Controle da Monitoria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2.1. A admissão obedecerá à ordem de classificação dos candidatos, de acordo com as vagas existentes.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2.2. O discente selecionado deverá entregar até dia 13/05/2014 à Faculdade de Ciências Agrárias os seguintes documentos: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  <w:tab w:leader="none" w:pos="709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ab/>
        <w:t xml:space="preserve">  a) termo de Compromisso devidamente assinado pelo discente e pelo docente responsável pela disciplina;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       </w:t>
      </w:r>
      <w:r>
        <w:rPr>
          <w:rFonts w:ascii="Times New Roman" w:cs="Times New Roman" w:hAnsi="Times New Roman"/>
          <w:sz w:val="24"/>
          <w:szCs w:val="24"/>
        </w:rPr>
        <w:tab/>
        <w:t xml:space="preserve">     b) cópia do CPF e Carteira de Identidade;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ab/>
        <w:t xml:space="preserve">     c) declaração informando endereço, telefone, e-mail 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2.4. Cada monitor exercerá suas atividades sob orientação de um professor-supervisor.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2.5. As atividades de monitoria não poderão, em nenhuma hipótese, prejudicar as atividades acadêmicas do monitor.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2.6. As atividades do monitor obedecerão, em cada semestre letivo, a um plano elaborado pelo professor-supervisor, respeitado o disposto no item 2.5.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2.7. A monitoria será exercida em regime de 48 (quarenta e oito) horas mensais.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2.8. Cabe ao professor-supervisor elaborar e controlar o horário do monitor e a execução do plano de trabalho.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2.9. </w:t>
      </w:r>
      <w:r>
        <w:rPr>
          <w:rFonts w:ascii="Times New Roman', 'Times New Ro" w:cs="Times New Roman', 'Times New Ro" w:hAnsi="Times New Roman', 'Times New Ro"/>
          <w:color w:val="000000"/>
          <w:sz w:val="23"/>
          <w:szCs w:val="23"/>
        </w:rPr>
        <w:t>Ao final do exercício da monitoria a PROGRAD irá emitir, a requerimento da Faculdade de Ciências Agrárias, os certificados para os discentes e docentes, contendo este, nome da disciplina, período do exercício e carga horária.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3 – Do Local e Período de Inscrição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3.1. A inscrição será realizada em formulário próprio (Anexo I), na Secretaria do Departamento de Agronomia situada no Prédio de Agronomia, </w:t>
      </w:r>
      <w:r>
        <w:rPr>
          <w:rFonts w:ascii="Times New Roman" w:cs="Times New Roman" w:hAnsi="Times New Roman"/>
          <w:b/>
          <w:bCs/>
          <w:sz w:val="24"/>
          <w:szCs w:val="24"/>
        </w:rPr>
        <w:t>Campus JK, de</w:t>
      </w:r>
      <w:r>
        <w:rPr>
          <w:rFonts w:ascii="Times New Roman" w:cs="Times New Roman" w:hAnsi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</w:rPr>
        <w:t>08h00 às 12:00 e de 14h00 às 16h00, no período de  09/05/2014 a  13/05/2014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3.2. No ato da inscrição o candidato deverá apresentar Formulário de Inscrição (anexo I) devidamente preenchido, cópia do Comprovante de Matrícula e do Histórico Escolar (constando CRA e nota na disciplina objeto de seleção).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3.3. A assinatura do Formulário de Inscrição assegura a concordância do candidato com as condições expostas neste Edital.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3.4. Serão indeferidas as inscrições dos candidatos que não satisfazerem a todas as condições especificadas neste Edital.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3.5. O professor-supervisor é responsável pela aplicação e correção da avaliação, e deverá encaminhar o(s) nome(s) do(s) discente(s) selecionado(s) no processo seletivo à Secretaria do Departamento de Agronomia</w:t>
      </w:r>
      <w:r>
        <w:rPr>
          <w:rFonts w:ascii="Arial" w:cs="Arial" w:hAnsi="Arial"/>
          <w:sz w:val="24"/>
          <w:szCs w:val="24"/>
        </w:rPr>
        <w:t>.</w:t>
      </w:r>
    </w:p>
    <w:p>
      <w:pPr>
        <w:pStyle w:val="style0"/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4- </w:t>
      </w:r>
      <w:r>
        <w:rPr>
          <w:rFonts w:ascii="Times New Roman" w:cs="Times New Roman" w:hAnsi="Times New Roman"/>
          <w:b/>
          <w:bCs/>
          <w:sz w:val="24"/>
          <w:szCs w:val="24"/>
          <w:u w:val="single"/>
        </w:rPr>
        <w:t xml:space="preserve">Da Avaliação Específica </w:t>
      </w:r>
      <w:r>
        <w:rPr>
          <w:rFonts w:ascii="Times New Roman" w:cs="Times New Roman" w:hAnsi="Times New Roman"/>
          <w:b/>
          <w:bCs/>
          <w:sz w:val="24"/>
          <w:szCs w:val="24"/>
        </w:rPr>
        <w:t>: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4.1. A forma da avaliação específica ficará a critério do Professor(a) responsável pela disciplina objeto de seleção. Podendo ser prova escrita e/ou prova prática e/ou entrevista.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4.2. O dia, horário e local serão informados pelo Professor(a) responsável pela disciplina.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4.3. A avaliação deverá ocorrer no período de 14/05/2014 a 16/05/2014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4.4. O Docente deverá divulgar o resultado até dia 19/05/2014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5 – Das Disposições Gerais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 xml:space="preserve">5.1. </w:t>
      </w:r>
      <w:r>
        <w:rPr>
          <w:rFonts w:ascii="Times New Roman', 'Times New Ro" w:cs="Times New Roman', 'Times New Ro" w:hAnsi="Times New Roman', 'Times New Ro"/>
          <w:color w:val="000000"/>
          <w:sz w:val="24"/>
          <w:szCs w:val="24"/>
        </w:rPr>
        <w:t xml:space="preserve">Compete ao professor-supervisor encaminhar, em formulário próprio, o atestado de frequência dos monitores à Faculdade de Ciências Agrárias até o último dia útil de cada mês. 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5.4. O monitor selecionado deverá assinar termo de compromisso com a UFVJM, junto a Faculdade de Ciências Agrárias.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5.5. O Processo de seleção regula-se pelo presente Edital, cabendo à Congregação da Faculdade de Ciências Agrárias decidir sobre os casos omissos ou situações não previstas.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>
          <w:rFonts w:ascii="Times New Roman" w:cs="Times New Roman" w:hAnsi="Times New Roman"/>
          <w:sz w:val="24"/>
          <w:szCs w:val="24"/>
        </w:rPr>
        <w:t>Diamantina – MG, 07 de maio de 2014.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spacing w:after="0" w:before="0" w:line="100" w:lineRule="atLeast"/>
        <w:jc w:val="center"/>
      </w:pPr>
      <w:r>
        <w:rPr>
          <w:rFonts w:ascii="Times New Roman" w:cs="Times New Roman" w:hAnsi="Times New Roman"/>
          <w:sz w:val="24"/>
          <w:szCs w:val="24"/>
        </w:rPr>
        <w:t>Prof. Wellington Willian Rocha</w:t>
      </w:r>
    </w:p>
    <w:p>
      <w:pPr>
        <w:pStyle w:val="style0"/>
        <w:spacing w:after="0" w:before="0" w:line="100" w:lineRule="atLeast"/>
        <w:jc w:val="center"/>
      </w:pPr>
      <w:r>
        <w:rPr>
          <w:rFonts w:ascii="Times New Roman" w:cs="Times New Roman" w:hAnsi="Times New Roman"/>
          <w:sz w:val="24"/>
          <w:szCs w:val="24"/>
        </w:rPr>
        <w:t>Chefe do Departamento de Agronomia</w:t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tabs>
          <w:tab w:leader="none" w:pos="513" w:val="left"/>
          <w:tab w:leader="none" w:pos="708" w:val="left"/>
        </w:tabs>
        <w:spacing w:after="0" w:before="0" w:line="100" w:lineRule="atLeast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ab/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ab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b/>
          <w:bCs/>
          <w:sz w:val="24"/>
          <w:szCs w:val="24"/>
        </w:rPr>
        <w:t>ANEXO I</w:t>
      </w:r>
    </w:p>
    <w:p>
      <w:pPr>
        <w:pStyle w:val="style0"/>
        <w:spacing w:after="0" w:before="0" w:line="360" w:lineRule="auto"/>
        <w:jc w:val="both"/>
      </w:pPr>
      <w:r>
        <w:rPr/>
      </w:r>
    </w:p>
    <w:tbl>
      <w:tblPr>
        <w:jc w:val="left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</w:tblBorders>
        <w:tblInd w:type="dxa" w:w="-108"/>
      </w:tblPr>
      <w:tblGrid>
        <w:gridCol w:w="159"/>
      </w:tblGrid>
      <w:tr>
        <w:trPr>
          <w:trHeight w:hRule="atLeast" w:val="1"/>
          <w:cantSplit w:val="false"/>
        </w:trPr>
        <w:tc>
          <w:tcPr>
            <w:tcW w:type="dxa" w:w="159"/>
            <w:gridSpan w:val="4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  <w:shd w:fill="C0C0C0" w:val="clear"/>
              </w:rPr>
              <w:t>DEPARTAMENTO DE AGRONOMIA – DAG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  <w:shd w:fill="C0C0C0" w:val="clear"/>
              </w:rPr>
              <w:t>FORMULÁRIO DE INSCRIÇÃO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  <w:shd w:fill="C0C0C0" w:val="clear"/>
              </w:rPr>
              <w:t xml:space="preserve">SELEÇÃO DE BOLSISTAS PARA PROGRAMA DE MONITORIA  DA UFVJM 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</w:tc>
      </w:tr>
      <w:tr>
        <w:trPr>
          <w:trHeight w:hRule="atLeast" w:val="1"/>
          <w:cantSplit w:val="false"/>
        </w:trPr>
        <w:tc>
          <w:tcPr>
            <w:tcW w:type="dxa" w:w="1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NOME COMPLETO: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</w:tc>
        <w:tc>
          <w:tcPr>
            <w:tcW w:type="dxa" w:w="16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PERÍODO:</w:t>
            </w:r>
          </w:p>
        </w:tc>
        <w:tc>
          <w:tcPr>
            <w:tcW w:type="dxa" w:w="160"/>
            <w:gridSpan w:val="2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N.° MATRÍCULA</w:t>
            </w:r>
          </w:p>
        </w:tc>
      </w:tr>
      <w:tr>
        <w:trPr>
          <w:trHeight w:hRule="atLeast" w:val="1"/>
          <w:cantSplit w:val="false"/>
        </w:trPr>
        <w:tc>
          <w:tcPr>
            <w:tcW w:type="dxa" w:w="1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CPF: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</w:tc>
        <w:tc>
          <w:tcPr>
            <w:tcW w:type="dxa" w:w="16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IDENTIDADE:</w:t>
            </w:r>
          </w:p>
        </w:tc>
        <w:tc>
          <w:tcPr>
            <w:tcW w:type="dxa" w:w="16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OŔGÃO EMISSOR:</w:t>
            </w:r>
          </w:p>
        </w:tc>
        <w:tc>
          <w:tcPr>
            <w:tcW w:type="dxa" w:w="1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UF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:</w:t>
            </w:r>
          </w:p>
        </w:tc>
      </w:tr>
      <w:tr>
        <w:trPr>
          <w:trHeight w:hRule="atLeast" w:val="811"/>
          <w:cantSplit w:val="false"/>
        </w:trPr>
        <w:tc>
          <w:tcPr>
            <w:tcW w:type="dxa" w:w="1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DATA DE NASCIMENTO: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</w:tc>
        <w:tc>
          <w:tcPr>
            <w:tcW w:type="dxa" w:w="16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NACIONALIDADE:</w:t>
            </w:r>
          </w:p>
        </w:tc>
        <w:tc>
          <w:tcPr>
            <w:tcW w:type="dxa" w:w="160"/>
            <w:gridSpan w:val="2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SEXO:     (    ) MASCULINO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 xml:space="preserve">             </w:t>
            </w: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(    ) FEMININO</w:t>
            </w:r>
          </w:p>
        </w:tc>
      </w:tr>
      <w:tr>
        <w:trPr>
          <w:trHeight w:hRule="atLeast" w:val="1"/>
          <w:cantSplit w:val="false"/>
        </w:trPr>
        <w:tc>
          <w:tcPr>
            <w:tcW w:type="dxa" w:w="159"/>
            <w:gridSpan w:val="4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ENDEREÇO RESIDENCIAL: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</w:tc>
      </w:tr>
      <w:tr>
        <w:trPr>
          <w:trHeight w:hRule="atLeast" w:val="1"/>
          <w:cantSplit w:val="false"/>
        </w:trPr>
        <w:tc>
          <w:tcPr>
            <w:tcW w:type="dxa" w:w="1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BAIRRO: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</w:tc>
        <w:tc>
          <w:tcPr>
            <w:tcW w:type="dxa" w:w="16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CEP:</w:t>
            </w:r>
          </w:p>
        </w:tc>
        <w:tc>
          <w:tcPr>
            <w:tcW w:type="dxa" w:w="16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CIDADE:</w:t>
            </w:r>
          </w:p>
        </w:tc>
        <w:tc>
          <w:tcPr>
            <w:tcW w:type="dxa" w:w="1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UF:</w:t>
            </w:r>
          </w:p>
        </w:tc>
      </w:tr>
      <w:tr>
        <w:trPr>
          <w:trHeight w:hRule="atLeast" w:val="1"/>
          <w:cantSplit w:val="false"/>
        </w:trPr>
        <w:tc>
          <w:tcPr>
            <w:tcW w:type="dxa" w:w="15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E-MAIL: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</w:tc>
        <w:tc>
          <w:tcPr>
            <w:tcW w:type="dxa" w:w="160"/>
            <w:gridSpan w:val="3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TELEFONE(S):</w:t>
            </w:r>
          </w:p>
        </w:tc>
      </w:tr>
      <w:tr>
        <w:trPr>
          <w:trHeight w:hRule="atLeast" w:val="1"/>
          <w:cantSplit w:val="false"/>
        </w:trPr>
        <w:tc>
          <w:tcPr>
            <w:tcW w:type="dxa" w:w="159"/>
            <w:gridSpan w:val="4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DISCIPLINA:              (    ) REMUNERADA       (    ) VOLUNTÁRIA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</w:rPr>
              <w:t>_______________________________________________________________________________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</w:tc>
      </w:tr>
      <w:tr>
        <w:trPr>
          <w:trHeight w:hRule="atLeast" w:val="1"/>
          <w:cantSplit w:val="false"/>
        </w:trPr>
        <w:tc>
          <w:tcPr>
            <w:tcW w:type="dxa" w:w="159"/>
            <w:gridSpan w:val="4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b/>
                <w:bCs/>
                <w:sz w:val="20"/>
                <w:szCs w:val="20"/>
                <w:shd w:fill="C0C0C0" w:val="clear"/>
              </w:rPr>
              <w:t>DECLARAÇÃO</w:t>
            </w:r>
          </w:p>
        </w:tc>
      </w:tr>
      <w:tr>
        <w:trPr>
          <w:trHeight w:hRule="atLeast" w:val="1"/>
          <w:cantSplit w:val="false"/>
        </w:trPr>
        <w:tc>
          <w:tcPr>
            <w:tcW w:type="dxa" w:w="159"/>
            <w:gridSpan w:val="4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Declaro que este formulário de inscrição contém informações completas e exatas e, que aceito o sistema e os critérios adotados no presente Edital.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Diamantina, ___/___/____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__________________________________________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Assinatura do Candidato</w:t>
            </w:r>
          </w:p>
          <w:p>
            <w:pPr>
              <w:pStyle w:val="style0"/>
              <w:spacing w:after="0" w:before="0" w:line="100" w:lineRule="atLeast"/>
              <w:jc w:val="both"/>
            </w:pPr>
            <w:r>
              <w:rPr/>
            </w:r>
          </w:p>
        </w:tc>
      </w:tr>
    </w:tbl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200" w:before="0"/>
        <w:jc w:val="both"/>
      </w:pPr>
      <w:r>
        <w:rPr/>
      </w:r>
    </w:p>
    <w:sectPr>
      <w:type w:val="nextPage"/>
      <w:pgSz w:h="15840" w:w="12240"/>
      <w:pgMar w:bottom="1417" w:footer="0" w:gutter="0" w:header="0" w:left="1701" w:right="1701" w:top="1417"/>
      <w:pgNumType w:fmt="decimal"/>
      <w:formProt w:val="false"/>
      <w:textDirection w:val="lrTb"/>
      <w:docGrid w:charSpace="-2049" w:linePitch="24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OpenSymbol">
    <w:altName w:val="Arial Unicode MS"/>
    <w:charset w:val="80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bullet"/>
      <w:lvlText w:val="*"/>
      <w:lvlJc w:val="left"/>
      <w:pPr>
        <w:ind w:hanging="360" w:left="720"/>
      </w:pPr>
      <w:rPr>
        <w:rFonts w:ascii="OpenSymbol" w:cs="OpenSymbol" w:hAnsi="OpenSymbol" w:hint="default"/>
      </w:r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2.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2.%3.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2.%3.%4.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2.%3.%4.%5.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2.%3.%4.%5.%6.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2.%3.%4.%5.%6.%7.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2.%3.%4.%5.%6.%7.%8.%9."/>
      <w:lvlJc w:val="left"/>
      <w:pPr>
        <w:tabs>
          <w:tab w:pos="3600" w:val="num"/>
        </w:tabs>
        <w:ind w:hanging="360" w:left="36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Padrão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" w:eastAsia="SimSun" w:hAnsi="Calibri"/>
      <w:color w:val="00000A"/>
      <w:sz w:val="22"/>
      <w:szCs w:val="22"/>
      <w:lang w:bidi="ar-SA" w:eastAsia="en-US" w:val="pt-BR"/>
    </w:rPr>
  </w:style>
  <w:style w:styleId="style15" w:type="character">
    <w:name w:val="Default Paragraph Font"/>
    <w:next w:val="style15"/>
    <w:rPr/>
  </w:style>
  <w:style w:styleId="style16" w:type="character">
    <w:name w:val="ListLabel 1"/>
    <w:next w:val="style16"/>
    <w:rPr>
      <w:rFonts w:cs="OpenSymbol"/>
    </w:rPr>
  </w:style>
  <w:style w:styleId="style17" w:type="character">
    <w:name w:val="ListLabel 2"/>
    <w:next w:val="style17"/>
    <w:rPr>
      <w:rFonts w:cs="OpenSymbol"/>
    </w:rPr>
  </w:style>
  <w:style w:styleId="style18" w:type="character">
    <w:name w:val="Símbolos de numeração"/>
    <w:next w:val="style18"/>
    <w:rPr/>
  </w:style>
  <w:style w:styleId="style19" w:type="paragraph">
    <w:name w:val="Título"/>
    <w:basedOn w:val="style0"/>
    <w:next w:val="style20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20" w:type="paragraph">
    <w:name w:val="Corpo de texto"/>
    <w:basedOn w:val="style0"/>
    <w:next w:val="style20"/>
    <w:pPr>
      <w:spacing w:after="120" w:before="0"/>
    </w:pPr>
    <w:rPr/>
  </w:style>
  <w:style w:styleId="style21" w:type="paragraph">
    <w:name w:val="Lista"/>
    <w:basedOn w:val="style20"/>
    <w:next w:val="style21"/>
    <w:pPr/>
    <w:rPr>
      <w:rFonts w:cs="Mangal"/>
    </w:rPr>
  </w:style>
  <w:style w:styleId="style22" w:type="paragraph">
    <w:name w:val="Legenda"/>
    <w:basedOn w:val="style0"/>
    <w:next w:val="style22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3" w:type="paragraph">
    <w:name w:val="Índice"/>
    <w:basedOn w:val="style0"/>
    <w:next w:val="style23"/>
    <w:pPr>
      <w:suppressLineNumbers/>
    </w:pPr>
    <w:rPr>
      <w:rFonts w:cs="Mangal"/>
    </w:rPr>
  </w:style>
  <w:style w:styleId="style24" w:type="paragraph">
    <w:name w:val="Conteúdo da tabela"/>
    <w:basedOn w:val="style0"/>
    <w:next w:val="style24"/>
    <w:pPr>
      <w:suppressLineNumbers/>
    </w:pPr>
    <w:rPr/>
  </w:style>
  <w:style w:styleId="style25" w:type="paragraph">
    <w:name w:val="Título de tabela"/>
    <w:basedOn w:val="style24"/>
    <w:next w:val="style25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LibreOffice/3.4$Win32 LibreOffice_project/340m1$Build-402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2014-05-02T09:21:00.00Z</dcterms:created>
  <dc:creator>PC</dc:creator>
  <cp:lastModifiedBy>PC</cp:lastModifiedBy>
  <cp:lastPrinted>2014-05-05T10:53:16.17Z</cp:lastPrinted>
  <dcterms:modified xsi:type="dcterms:W3CDTF">2014-05-02T10:00:00.00Z</dcterms:modified>
  <cp:revision>2</cp:revision>
</cp:coreProperties>
</file>