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538" w:type="dxa"/>
        <w:jc w:val="left"/>
        <w:tblInd w:w="-71" w:type="dxa"/>
        <w:tblBorders>
          <w:bottom w:val="single" w:sz="8" w:space="0" w:color="000001"/>
          <w:insideH w:val="single" w:sz="8" w:space="0" w:color="000001"/>
        </w:tblBorders>
        <w:tblCellMar>
          <w:top w:w="0" w:type="dxa"/>
          <w:left w:w="71" w:type="dxa"/>
          <w:bottom w:w="0" w:type="dxa"/>
          <w:right w:w="71" w:type="dxa"/>
        </w:tblCellMar>
        <w:tblLook w:val="0000"/>
      </w:tblPr>
      <w:tblGrid>
        <w:gridCol w:w="23"/>
        <w:gridCol w:w="1395"/>
        <w:gridCol w:w="6662"/>
        <w:gridCol w:w="1418"/>
        <w:gridCol w:w="39"/>
      </w:tblGrid>
      <w:tr>
        <w:trPr>
          <w:trHeight w:val="140" w:hRule="atLeast"/>
        </w:trPr>
        <w:tc>
          <w:tcPr>
            <w:tcW w:w="1418" w:type="dxa"/>
            <w:gridSpan w:val="2"/>
            <w:tcBorders>
              <w:bottom w:val="single" w:sz="8" w:space="0" w:color="000001"/>
              <w:insideH w:val="single" w:sz="8" w:space="0" w:color="000001"/>
            </w:tcBorders>
            <w:shd w:fill="auto" w:val="clear"/>
          </w:tcPr>
          <w:p>
            <w:pPr>
              <w:pStyle w:val="Normal"/>
              <w:tabs>
                <w:tab w:val="left" w:pos="269" w:leader="none"/>
              </w:tabs>
              <w:snapToGrid w:val="false"/>
              <w:rPr/>
            </w:pPr>
            <w:r>
              <w:rPr>
                <w:rFonts w:eastAsia="Arial" w:cs="Arial" w:ascii="Arial" w:hAnsi="Arial"/>
              </w:rPr>
              <w:t xml:space="preserve">                                                                                                                                                                                                                                                                                                                                                                                                                                                                                                                                                                       </w:t>
            </w:r>
          </w:p>
          <w:p>
            <w:pPr>
              <w:pStyle w:val="Normal"/>
              <w:rPr>
                <w:rFonts w:ascii="Arial" w:hAnsi="Arial" w:cs="Arial"/>
                <w:b/>
                <w:b/>
                <w:sz w:val="19"/>
                <w:szCs w:val="19"/>
              </w:rPr>
            </w:pPr>
            <w:r>
              <w:rPr/>
              <w:drawing>
                <wp:inline distT="0" distB="0" distL="19050" distR="9525">
                  <wp:extent cx="904875" cy="89535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904875" cy="895350"/>
                          </a:xfrm>
                          <a:prstGeom prst="rect">
                            <a:avLst/>
                          </a:prstGeom>
                        </pic:spPr>
                      </pic:pic>
                    </a:graphicData>
                  </a:graphic>
                </wp:inline>
              </w:drawing>
            </w:r>
          </w:p>
        </w:tc>
        <w:tc>
          <w:tcPr>
            <w:tcW w:w="6662" w:type="dxa"/>
            <w:tcBorders>
              <w:bottom w:val="single" w:sz="8" w:space="0" w:color="000001"/>
              <w:insideH w:val="single" w:sz="8" w:space="0" w:color="000001"/>
            </w:tcBorders>
            <w:shd w:fill="auto" w:val="clear"/>
          </w:tcPr>
          <w:p>
            <w:pPr>
              <w:pStyle w:val="Normal"/>
              <w:snapToGrid w:val="false"/>
              <w:jc w:val="center"/>
              <w:rPr>
                <w:rFonts w:ascii="Arial" w:hAnsi="Arial" w:cs="Arial"/>
                <w:b/>
                <w:b/>
                <w:sz w:val="19"/>
                <w:szCs w:val="19"/>
              </w:rPr>
            </w:pPr>
            <w:r>
              <w:rPr>
                <w:rFonts w:cs="Arial" w:ascii="Arial" w:hAnsi="Arial"/>
                <w:b/>
                <w:sz w:val="19"/>
                <w:szCs w:val="19"/>
              </w:rPr>
            </w:r>
          </w:p>
          <w:p>
            <w:pPr>
              <w:pStyle w:val="Normal"/>
              <w:snapToGrid w:val="false"/>
              <w:jc w:val="center"/>
              <w:rPr>
                <w:rFonts w:ascii="Arial" w:hAnsi="Arial" w:cs="Arial"/>
                <w:b/>
                <w:b/>
                <w:sz w:val="19"/>
                <w:szCs w:val="19"/>
              </w:rPr>
            </w:pPr>
            <w:r>
              <w:rPr>
                <w:rFonts w:cs="Arial" w:ascii="Arial" w:hAnsi="Arial"/>
                <w:b/>
                <w:sz w:val="19"/>
                <w:szCs w:val="19"/>
              </w:rPr>
              <w:t>MINISTÉRIO DA EDUCAÇÃO</w:t>
            </w:r>
          </w:p>
          <w:p>
            <w:pPr>
              <w:pStyle w:val="Normal"/>
              <w:rPr>
                <w:rFonts w:ascii="Arial" w:hAnsi="Arial" w:cs="Arial"/>
                <w:b/>
                <w:b/>
                <w:sz w:val="18"/>
                <w:szCs w:val="18"/>
              </w:rPr>
            </w:pPr>
            <w:r>
              <w:rPr>
                <w:rFonts w:cs="Arial" w:ascii="Arial" w:hAnsi="Arial"/>
                <w:b/>
                <w:sz w:val="19"/>
                <w:szCs w:val="19"/>
              </w:rPr>
              <w:t>UNIVERSIDADE FEDERAL DOS VALES DO JEQUITINHONHA E MUCURI</w:t>
            </w:r>
          </w:p>
          <w:p>
            <w:pPr>
              <w:pStyle w:val="Normal"/>
              <w:jc w:val="center"/>
              <w:rPr>
                <w:rFonts w:ascii="Arial" w:hAnsi="Arial" w:cs="Arial"/>
                <w:b/>
                <w:b/>
                <w:sz w:val="18"/>
                <w:szCs w:val="18"/>
              </w:rPr>
            </w:pPr>
            <w:r>
              <w:rPr>
                <w:rFonts w:cs="Arial" w:ascii="Arial" w:hAnsi="Arial"/>
                <w:b/>
                <w:sz w:val="18"/>
                <w:szCs w:val="18"/>
              </w:rPr>
            </w:r>
          </w:p>
          <w:p>
            <w:pPr>
              <w:pStyle w:val="Normal"/>
              <w:jc w:val="center"/>
              <w:rPr>
                <w:rFonts w:ascii="Arial" w:hAnsi="Arial" w:cs="Arial"/>
                <w:b/>
                <w:b/>
                <w:sz w:val="19"/>
                <w:szCs w:val="19"/>
              </w:rPr>
            </w:pPr>
            <w:r>
              <w:rPr>
                <w:rFonts w:cs="Arial" w:ascii="Arial" w:hAnsi="Arial"/>
                <w:b/>
                <w:sz w:val="19"/>
                <w:szCs w:val="19"/>
              </w:rPr>
              <w:t xml:space="preserve">Diretoria de Logística </w:t>
            </w:r>
          </w:p>
          <w:p>
            <w:pPr>
              <w:pStyle w:val="Normal"/>
              <w:jc w:val="center"/>
              <w:rPr>
                <w:rFonts w:ascii="Arial" w:hAnsi="Arial" w:cs="Arial"/>
                <w:b/>
                <w:b/>
                <w:sz w:val="19"/>
                <w:szCs w:val="19"/>
              </w:rPr>
            </w:pPr>
            <w:r>
              <w:rPr>
                <w:rFonts w:cs="Arial" w:ascii="Arial" w:hAnsi="Arial"/>
                <w:b/>
                <w:sz w:val="19"/>
                <w:szCs w:val="19"/>
              </w:rPr>
              <w:t>Divisão de Licitações e Divisão de Compras</w:t>
            </w:r>
          </w:p>
          <w:p>
            <w:pPr>
              <w:pStyle w:val="Normal"/>
              <w:jc w:val="center"/>
              <w:rPr>
                <w:rFonts w:ascii="Arial" w:hAnsi="Arial" w:cs="Arial"/>
                <w:b/>
                <w:b/>
                <w:sz w:val="19"/>
                <w:szCs w:val="19"/>
              </w:rPr>
            </w:pPr>
            <w:r>
              <w:rPr>
                <w:rFonts w:cs="Arial" w:ascii="Arial" w:hAnsi="Arial"/>
                <w:b/>
                <w:sz w:val="19"/>
                <w:szCs w:val="19"/>
              </w:rPr>
              <w:t>Campus JK - Rodovia MGT 367, KM 583, Nº 5000, Alto da Jacuba</w:t>
            </w:r>
          </w:p>
          <w:p>
            <w:pPr>
              <w:pStyle w:val="Normal"/>
              <w:jc w:val="center"/>
              <w:rPr>
                <w:rFonts w:ascii="Arial" w:hAnsi="Arial" w:cs="Arial"/>
                <w:b/>
                <w:b/>
                <w:sz w:val="19"/>
                <w:szCs w:val="19"/>
              </w:rPr>
            </w:pPr>
            <w:r>
              <w:rPr>
                <w:rFonts w:cs="Arial" w:ascii="Arial" w:hAnsi="Arial"/>
                <w:b/>
                <w:sz w:val="19"/>
                <w:szCs w:val="19"/>
              </w:rPr>
              <w:t>Diamantina - Minas Gerais - 39100-000</w:t>
              <w:br/>
              <w:t>Fone: 038-3532 1260</w:t>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jc w:val="center"/>
              <w:rPr>
                <w:rFonts w:ascii="Arial" w:hAnsi="Arial" w:cs="Arial"/>
                <w:b/>
                <w:b/>
                <w:sz w:val="19"/>
                <w:szCs w:val="19"/>
              </w:rPr>
            </w:pPr>
            <w:r>
              <w:rPr>
                <w:rFonts w:cs="Arial" w:ascii="Arial" w:hAnsi="Arial"/>
                <w:b/>
                <w:sz w:val="19"/>
                <w:szCs w:val="19"/>
              </w:rPr>
            </w:r>
          </w:p>
          <w:p>
            <w:pPr>
              <w:pStyle w:val="Normal"/>
              <w:pBdr>
                <w:top w:val="single" w:sz="4" w:space="1" w:color="000001"/>
                <w:left w:val="single" w:sz="4" w:space="4" w:color="000001"/>
                <w:bottom w:val="single" w:sz="4" w:space="1" w:color="000001"/>
                <w:right w:val="single" w:sz="4" w:space="4" w:color="000001"/>
              </w:pBdr>
              <w:jc w:val="center"/>
              <w:rPr>
                <w:rFonts w:ascii="Verdana" w:hAnsi="Verdana" w:cs="Verdana"/>
                <w:color w:val="FF0000"/>
                <w:sz w:val="48"/>
                <w:szCs w:val="48"/>
              </w:rPr>
            </w:pPr>
            <w:r>
              <w:rPr>
                <w:rFonts w:cs="Verdana" w:ascii="Verdana" w:hAnsi="Verdana"/>
                <w:color w:val="FF0000"/>
                <w:sz w:val="48"/>
                <w:szCs w:val="48"/>
              </w:rPr>
              <w:t xml:space="preserve">Esta licitação é composta por 22 itens. </w:t>
            </w:r>
          </w:p>
          <w:p>
            <w:pPr>
              <w:pStyle w:val="Normal"/>
              <w:pBdr>
                <w:top w:val="single" w:sz="4" w:space="1" w:color="000001"/>
                <w:left w:val="single" w:sz="4" w:space="4" w:color="000001"/>
                <w:bottom w:val="single" w:sz="4" w:space="1" w:color="000001"/>
                <w:right w:val="single" w:sz="4" w:space="4" w:color="000001"/>
              </w:pBdr>
              <w:jc w:val="center"/>
              <w:rPr>
                <w:rFonts w:ascii="Verdana" w:hAnsi="Verdana" w:cs="Verdana"/>
                <w:color w:val="FF0000"/>
                <w:sz w:val="48"/>
                <w:szCs w:val="48"/>
              </w:rPr>
            </w:pPr>
            <w:r>
              <w:rPr>
                <w:rFonts w:cs="Verdana" w:ascii="Verdana" w:hAnsi="Verdana"/>
                <w:color w:val="FF0000"/>
                <w:sz w:val="48"/>
                <w:szCs w:val="48"/>
              </w:rPr>
            </w:r>
          </w:p>
          <w:p>
            <w:pPr>
              <w:pStyle w:val="Normal"/>
              <w:pBdr>
                <w:top w:val="single" w:sz="4" w:space="1" w:color="000001"/>
                <w:left w:val="single" w:sz="4" w:space="4" w:color="000001"/>
                <w:bottom w:val="single" w:sz="4" w:space="1" w:color="000001"/>
                <w:right w:val="single" w:sz="4" w:space="4" w:color="000001"/>
              </w:pBdr>
              <w:jc w:val="center"/>
              <w:rPr>
                <w:rFonts w:ascii="Verdana" w:hAnsi="Verdana" w:cs="Verdana"/>
                <w:color w:val="FF0000"/>
                <w:sz w:val="48"/>
                <w:szCs w:val="48"/>
              </w:rPr>
            </w:pPr>
            <w:r>
              <w:rPr>
                <w:rFonts w:cs="Verdana" w:ascii="Verdana" w:hAnsi="Verdana"/>
                <w:color w:val="FF0000"/>
                <w:sz w:val="48"/>
                <w:szCs w:val="48"/>
              </w:rPr>
              <w:t>Havendo divergência entre as especificações constantes no sistema Compras Governamentais e as constantes no Edital, prevalecerão sempre as deste edital.</w:t>
            </w:r>
          </w:p>
          <w:p>
            <w:pPr>
              <w:pStyle w:val="Normal"/>
              <w:jc w:val="center"/>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rPr>
                <w:rFonts w:ascii="Arial" w:hAnsi="Arial" w:cs="Arial"/>
                <w:b/>
                <w:b/>
                <w:sz w:val="19"/>
                <w:szCs w:val="19"/>
              </w:rPr>
            </w:pPr>
            <w:r>
              <w:rPr>
                <w:rFonts w:cs="Arial" w:ascii="Arial" w:hAnsi="Arial"/>
                <w:b/>
                <w:sz w:val="19"/>
                <w:szCs w:val="19"/>
              </w:rPr>
            </w:r>
          </w:p>
          <w:p>
            <w:pPr>
              <w:pStyle w:val="Normal"/>
              <w:jc w:val="center"/>
              <w:rPr/>
            </w:pPr>
            <w:r>
              <w:rPr/>
            </w:r>
          </w:p>
        </w:tc>
        <w:tc>
          <w:tcPr>
            <w:tcW w:w="1418" w:type="dxa"/>
            <w:tcBorders>
              <w:bottom w:val="single" w:sz="8" w:space="0" w:color="000001"/>
              <w:insideH w:val="single" w:sz="8" w:space="0" w:color="000001"/>
            </w:tcBorders>
            <w:shd w:fill="auto" w:val="clear"/>
          </w:tcPr>
          <w:p>
            <w:pPr>
              <w:pStyle w:val="Normal"/>
              <w:snapToGrid w:val="false"/>
              <w:jc w:val="right"/>
              <w:rPr>
                <w:rFonts w:ascii="Arial" w:hAnsi="Arial" w:cs="Arial"/>
                <w:lang w:eastAsia="pt-BR"/>
              </w:rPr>
            </w:pPr>
            <w:r>
              <w:rPr>
                <w:rFonts w:cs="Arial" w:ascii="Arial" w:hAnsi="Arial"/>
                <w:lang w:eastAsia="pt-BR"/>
              </w:rPr>
            </w:r>
          </w:p>
          <w:p>
            <w:pPr>
              <w:pStyle w:val="Normal"/>
              <w:snapToGrid w:val="false"/>
              <w:jc w:val="right"/>
              <w:rPr/>
            </w:pPr>
            <w:r>
              <w:rPr/>
              <w:drawing>
                <wp:inline distT="0" distB="0" distL="19050" distR="9525">
                  <wp:extent cx="809625" cy="102870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3"/>
                          <a:stretch>
                            <a:fillRect/>
                          </a:stretch>
                        </pic:blipFill>
                        <pic:spPr bwMode="auto">
                          <a:xfrm>
                            <a:off x="0" y="0"/>
                            <a:ext cx="809625" cy="1028700"/>
                          </a:xfrm>
                          <a:prstGeom prst="rect">
                            <a:avLst/>
                          </a:prstGeom>
                        </pic:spPr>
                      </pic:pic>
                    </a:graphicData>
                  </a:graphic>
                </wp:inline>
              </w:drawing>
            </w:r>
          </w:p>
        </w:tc>
        <w:tc>
          <w:tcPr>
            <w:tcW w:w="39" w:type="dxa"/>
            <w:tcBorders/>
            <w:shd w:fill="auto" w:val="clear"/>
          </w:tcPr>
          <w:p>
            <w:pPr>
              <w:pStyle w:val="Normal"/>
              <w:rPr/>
            </w:pPr>
            <w:r>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OBJETO:</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120" w:after="0"/>
              <w:jc w:val="both"/>
              <w:rPr>
                <w:rFonts w:ascii="Verdana" w:hAnsi="Verdana" w:cs="Verdana"/>
                <w:b w:val="false"/>
                <w:b w:val="false"/>
                <w:sz w:val="18"/>
                <w:szCs w:val="18"/>
              </w:rPr>
            </w:pPr>
            <w:r>
              <w:rPr>
                <w:rFonts w:cs="Verdana" w:ascii="Verdana" w:hAnsi="Verdana"/>
                <w:b w:val="false"/>
                <w:sz w:val="18"/>
                <w:szCs w:val="18"/>
              </w:rPr>
              <w:t>SISTEMA DE REGISTRO DE PREÇOS PARA FUTURA E EVENTUAL AQUISIÇÃO DE INSUMOS AGRÍCOLAS PARA ATENDER A DEMANDA DAS FAZENDAS DA UFVJM</w:t>
            </w:r>
          </w:p>
          <w:p>
            <w:pPr>
              <w:pStyle w:val="Ttulo21"/>
              <w:jc w:val="left"/>
              <w:rPr>
                <w:rFonts w:ascii="Verdana" w:hAnsi="Verdana" w:cs="Verdana"/>
                <w:sz w:val="18"/>
                <w:szCs w:val="18"/>
              </w:rPr>
            </w:pPr>
            <w:r>
              <w:rPr>
                <w:rFonts w:cs="Verdana" w:ascii="Verdana" w:hAnsi="Verdana"/>
                <w:b w:val="false"/>
                <w:sz w:val="18"/>
                <w:szCs w:val="18"/>
              </w:rPr>
              <w:t>AQUISIÇÃO DE MATERIAL DE CONSUMO</w:t>
            </w:r>
          </w:p>
          <w:p>
            <w:pPr>
              <w:pStyle w:val="Corpodetexto"/>
              <w:spacing w:before="0" w:after="120"/>
              <w:rPr>
                <w:rFonts w:ascii="Verdana" w:hAnsi="Verdana" w:cs="Verdana"/>
                <w:b/>
                <w:b/>
                <w:sz w:val="18"/>
                <w:szCs w:val="18"/>
              </w:rPr>
            </w:pPr>
            <w:r>
              <w:rPr>
                <w:rFonts w:cs="Verdana" w:ascii="Verdana" w:hAnsi="Verdana"/>
                <w:b/>
                <w:sz w:val="18"/>
                <w:szCs w:val="18"/>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Nº DA LICITAÇÃO:</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120" w:after="0"/>
              <w:jc w:val="left"/>
              <w:rPr>
                <w:rFonts w:ascii="Verdana" w:hAnsi="Verdana" w:cs="Verdana"/>
                <w:b w:val="false"/>
                <w:b w:val="false"/>
                <w:sz w:val="18"/>
                <w:szCs w:val="18"/>
              </w:rPr>
            </w:pPr>
            <w:r>
              <w:rPr>
                <w:rFonts w:cs="Verdana" w:ascii="Verdana" w:hAnsi="Verdana"/>
                <w:b w:val="false"/>
                <w:sz w:val="18"/>
                <w:szCs w:val="18"/>
              </w:rPr>
              <w:t xml:space="preserve">PREGÃO ELETRÔNICO SRP 034/2018 </w:t>
            </w:r>
          </w:p>
          <w:p>
            <w:pPr>
              <w:pStyle w:val="Normal"/>
              <w:ind w:left="567" w:right="-285" w:hanging="567"/>
              <w:jc w:val="both"/>
              <w:rPr>
                <w:rFonts w:ascii="Verdana" w:hAnsi="Verdana" w:cs="Verdana"/>
                <w:sz w:val="18"/>
                <w:szCs w:val="18"/>
              </w:rPr>
            </w:pPr>
            <w:r>
              <w:rPr>
                <w:rFonts w:cs="Verdana" w:ascii="Verdana" w:hAnsi="Verdana"/>
                <w:sz w:val="18"/>
                <w:szCs w:val="18"/>
              </w:rPr>
            </w:r>
          </w:p>
          <w:p>
            <w:pPr>
              <w:pStyle w:val="Normal"/>
              <w:ind w:left="567" w:right="-285" w:hanging="567"/>
              <w:jc w:val="both"/>
              <w:rPr/>
            </w:pPr>
            <w:r>
              <w:rPr>
                <w:rFonts w:cs="Verdana" w:ascii="Verdana" w:hAnsi="Verdana"/>
                <w:sz w:val="18"/>
                <w:szCs w:val="18"/>
              </w:rPr>
              <w:t>LANÇAMENTO DAS PROPOSTAS:</w:t>
            </w:r>
            <w:r>
              <w:rPr>
                <w:rFonts w:cs="Arial" w:ascii="Verdana" w:hAnsi="Verdana"/>
                <w:b/>
                <w:sz w:val="18"/>
                <w:szCs w:val="18"/>
              </w:rPr>
              <w:t xml:space="preserve"> </w:t>
            </w:r>
            <w:hyperlink r:id="rId4">
              <w:r>
                <w:rPr>
                  <w:rStyle w:val="LinkdaInternet"/>
                  <w:rFonts w:cs="Arial" w:ascii="Verdana" w:hAnsi="Verdana"/>
                  <w:sz w:val="18"/>
                  <w:szCs w:val="18"/>
                </w:rPr>
                <w:t>www.comprasgovernamentais.gov.br</w:t>
              </w:r>
            </w:hyperlink>
          </w:p>
          <w:p>
            <w:pPr>
              <w:pStyle w:val="Normal"/>
              <w:ind w:left="567" w:right="-285" w:hanging="567"/>
              <w:jc w:val="both"/>
              <w:rPr/>
            </w:pPr>
            <w:r>
              <w:rPr>
                <w:rFonts w:cs="Verdana" w:ascii="Verdana" w:hAnsi="Verdana"/>
                <w:sz w:val="18"/>
                <w:szCs w:val="18"/>
              </w:rPr>
              <w:t>RETIRADA DO EDITAL E ANEXOS:</w:t>
            </w:r>
            <w:r>
              <w:rPr>
                <w:rFonts w:cs="Arial" w:ascii="Verdana" w:hAnsi="Verdana"/>
                <w:b/>
                <w:sz w:val="18"/>
                <w:szCs w:val="18"/>
              </w:rPr>
              <w:t xml:space="preserve"> </w:t>
            </w:r>
            <w:hyperlink r:id="rId5">
              <w:r>
                <w:rPr>
                  <w:rStyle w:val="LinkdaInternet"/>
                  <w:rFonts w:cs="Arial" w:ascii="Verdana" w:hAnsi="Verdana"/>
                  <w:sz w:val="18"/>
                  <w:szCs w:val="18"/>
                </w:rPr>
                <w:t>www.comprasgovernamentais.gov.br</w:t>
              </w:r>
            </w:hyperlink>
            <w:r>
              <w:rPr>
                <w:rFonts w:ascii="Verdana" w:hAnsi="Verdana"/>
                <w:sz w:val="18"/>
                <w:szCs w:val="18"/>
              </w:rPr>
              <w:t xml:space="preserve"> </w:t>
            </w:r>
            <w:r>
              <w:rPr>
                <w:rFonts w:cs="Arial" w:ascii="Verdana" w:hAnsi="Verdana"/>
                <w:sz w:val="18"/>
                <w:szCs w:val="18"/>
              </w:rPr>
              <w:t>e</w:t>
            </w:r>
            <w:r>
              <w:rPr>
                <w:rFonts w:ascii="Verdana" w:hAnsi="Verdana"/>
                <w:sz w:val="18"/>
                <w:szCs w:val="18"/>
              </w:rPr>
              <w:t xml:space="preserve"> </w:t>
            </w:r>
            <w:hyperlink r:id="rId6">
              <w:r>
                <w:rPr>
                  <w:rStyle w:val="LinkdaInternet"/>
                  <w:rFonts w:cs="Arial" w:ascii="Verdana" w:hAnsi="Verdana"/>
                  <w:sz w:val="18"/>
                  <w:szCs w:val="18"/>
                </w:rPr>
                <w:t>www.ufvjm.edu.br</w:t>
              </w:r>
            </w:hyperlink>
            <w:r>
              <w:rPr/>
              <w:t xml:space="preserve"> </w:t>
            </w:r>
          </w:p>
          <w:p>
            <w:pPr>
              <w:pStyle w:val="Normal"/>
              <w:ind w:left="567" w:right="-285" w:hanging="567"/>
              <w:jc w:val="both"/>
              <w:rPr>
                <w:rFonts w:ascii="Arial" w:hAnsi="Arial" w:cs="Arial"/>
              </w:rPr>
            </w:pPr>
            <w:r>
              <w:rPr>
                <w:rFonts w:cs="Arial" w:ascii="Arial" w:hAnsi="Arial"/>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UASG/CNPJ:</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0" w:after="120"/>
              <w:jc w:val="left"/>
              <w:rPr>
                <w:rFonts w:ascii="Verdana" w:hAnsi="Verdana" w:cs="Verdana"/>
                <w:b w:val="false"/>
                <w:b w:val="false"/>
                <w:sz w:val="18"/>
                <w:szCs w:val="18"/>
              </w:rPr>
            </w:pPr>
            <w:r>
              <w:rPr>
                <w:rFonts w:cs="Verdana" w:ascii="Verdana" w:hAnsi="Verdana"/>
                <w:b w:val="false"/>
                <w:sz w:val="18"/>
                <w:szCs w:val="18"/>
              </w:rPr>
            </w:r>
          </w:p>
          <w:p>
            <w:pPr>
              <w:pStyle w:val="Ttulo21"/>
              <w:spacing w:before="0" w:after="120"/>
              <w:jc w:val="left"/>
              <w:rPr>
                <w:rFonts w:ascii="Verdana" w:hAnsi="Verdana" w:cs="Verdana"/>
                <w:sz w:val="18"/>
                <w:szCs w:val="18"/>
              </w:rPr>
            </w:pPr>
            <w:r>
              <w:rPr>
                <w:rFonts w:cs="Verdana" w:ascii="Verdana" w:hAnsi="Verdana"/>
                <w:b w:val="false"/>
                <w:sz w:val="18"/>
                <w:szCs w:val="18"/>
              </w:rPr>
              <w:t>153036 - UNIVERSIDADE FEDERAL DOS VALES DO JEQUITINHONHA E MUCURI</w:t>
            </w:r>
          </w:p>
          <w:p>
            <w:pPr>
              <w:pStyle w:val="Corpodetexto"/>
              <w:spacing w:before="0" w:after="120"/>
              <w:rPr/>
            </w:pPr>
            <w:r>
              <w:rPr>
                <w:rFonts w:cs="Verdana" w:ascii="Verdana" w:hAnsi="Verdana"/>
                <w:sz w:val="18"/>
                <w:szCs w:val="18"/>
              </w:rPr>
              <w:t>CNPJ 16.888.315/0001-57 – CAMPUS JK – BR 367, KM 583, Nº 5000, ALTO DA JACUBA, DIAMANTINA (MG) 39100-000</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PREGOEIRO RESPONSÁVEL PELA CONDUÇÃO DO PROCESSO:</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120" w:after="0"/>
              <w:jc w:val="left"/>
              <w:rPr/>
            </w:pPr>
            <w:r>
              <w:rPr>
                <w:rFonts w:cs="Verdana" w:ascii="Verdana" w:hAnsi="Verdana"/>
                <w:b w:val="false"/>
                <w:sz w:val="18"/>
                <w:szCs w:val="18"/>
              </w:rPr>
              <w:t xml:space="preserve">ANDERSEN MATEUS NASCIMENTO – </w:t>
            </w:r>
            <w:hyperlink r:id="rId7">
              <w:r>
                <w:rPr>
                  <w:rStyle w:val="LinkdaInternet"/>
                  <w:rFonts w:cs="Verdana" w:ascii="Verdana" w:hAnsi="Verdana"/>
                  <w:sz w:val="18"/>
                  <w:szCs w:val="18"/>
                </w:rPr>
                <w:t>andersen.nascimento@ufvjm.edu.br</w:t>
              </w:r>
            </w:hyperlink>
            <w:r>
              <w:rPr>
                <w:rFonts w:cs="Verdana" w:ascii="Verdana" w:hAnsi="Verdana"/>
                <w:b w:val="false"/>
                <w:sz w:val="18"/>
                <w:szCs w:val="18"/>
              </w:rPr>
              <w:t xml:space="preserve"> – (38) 3532 1258</w:t>
            </w:r>
          </w:p>
          <w:p>
            <w:pPr>
              <w:pStyle w:val="Corpodetexto"/>
              <w:spacing w:before="0" w:after="0"/>
              <w:rPr>
                <w:rFonts w:ascii="Verdana" w:hAnsi="Verdana" w:cs="Verdana"/>
                <w:b/>
                <w:b/>
                <w:sz w:val="18"/>
                <w:szCs w:val="18"/>
              </w:rPr>
            </w:pPr>
            <w:r>
              <w:rPr>
                <w:rFonts w:cs="Verdana" w:ascii="Verdana" w:hAnsi="Verdana"/>
                <w:b/>
                <w:sz w:val="18"/>
                <w:szCs w:val="18"/>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ANEXOS:</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tabs>
                <w:tab w:val="left" w:pos="3600" w:leader="none"/>
              </w:tabs>
              <w:spacing w:before="0" w:after="0"/>
              <w:jc w:val="left"/>
              <w:rPr>
                <w:rFonts w:ascii="Verdana" w:hAnsi="Verdana" w:cs="Verdana"/>
                <w:b w:val="false"/>
                <w:b w:val="false"/>
                <w:sz w:val="18"/>
                <w:szCs w:val="18"/>
              </w:rPr>
            </w:pPr>
            <w:r>
              <w:rPr>
                <w:rFonts w:cs="Verdana" w:ascii="Verdana" w:hAnsi="Verdana"/>
                <w:b w:val="false"/>
                <w:sz w:val="18"/>
                <w:szCs w:val="18"/>
              </w:rPr>
            </w:r>
          </w:p>
          <w:p>
            <w:pPr>
              <w:pStyle w:val="Ttulo21"/>
              <w:tabs>
                <w:tab w:val="left" w:pos="3600" w:leader="none"/>
              </w:tabs>
              <w:spacing w:before="0" w:after="0"/>
              <w:jc w:val="left"/>
              <w:rPr>
                <w:rFonts w:ascii="Verdana" w:hAnsi="Verdana" w:cs="Verdana"/>
                <w:sz w:val="18"/>
                <w:szCs w:val="18"/>
              </w:rPr>
            </w:pPr>
            <w:r>
              <w:rPr>
                <w:rFonts w:cs="Verdana" w:ascii="Verdana" w:hAnsi="Verdana"/>
                <w:b w:val="false"/>
                <w:sz w:val="18"/>
                <w:szCs w:val="18"/>
              </w:rPr>
              <w:t>ANEXO I – TERMO DE REFERÊNCIA</w:t>
              <w:tab/>
            </w:r>
          </w:p>
          <w:p>
            <w:pPr>
              <w:pStyle w:val="Corpodetexto"/>
              <w:spacing w:before="0" w:after="0"/>
              <w:rPr>
                <w:rFonts w:ascii="Verdana" w:hAnsi="Verdana" w:cs="Verdana"/>
                <w:sz w:val="18"/>
                <w:szCs w:val="18"/>
              </w:rPr>
            </w:pPr>
            <w:r>
              <w:rPr>
                <w:rFonts w:cs="Verdana" w:ascii="Verdana" w:hAnsi="Verdana"/>
                <w:sz w:val="18"/>
                <w:szCs w:val="18"/>
              </w:rPr>
              <w:t>ANEXO II – MODELO PROPOSTA DE PREÇOS</w:t>
            </w:r>
          </w:p>
          <w:p>
            <w:pPr>
              <w:pStyle w:val="Corpodetexto"/>
              <w:spacing w:before="0" w:after="0"/>
              <w:rPr>
                <w:rFonts w:ascii="Verdana" w:hAnsi="Verdana" w:cs="Verdana"/>
                <w:sz w:val="18"/>
                <w:szCs w:val="18"/>
              </w:rPr>
            </w:pPr>
            <w:r>
              <w:rPr>
                <w:rFonts w:cs="Verdana" w:ascii="Verdana" w:hAnsi="Verdana"/>
                <w:sz w:val="18"/>
                <w:szCs w:val="18"/>
              </w:rPr>
              <w:t>ANEXO III – MINUTA ATA REGISTRO PREÇOS</w:t>
            </w:r>
          </w:p>
          <w:p>
            <w:pPr>
              <w:pStyle w:val="Corpodetexto"/>
              <w:spacing w:before="0" w:after="0"/>
              <w:rPr/>
            </w:pPr>
            <w:r>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ESCLARECIMENTOS:</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120" w:after="0"/>
              <w:jc w:val="both"/>
              <w:rPr/>
            </w:pPr>
            <w:r>
              <w:rPr>
                <w:rFonts w:cs="Verdana" w:ascii="Verdana" w:hAnsi="Verdana"/>
                <w:b w:val="false"/>
                <w:sz w:val="18"/>
                <w:szCs w:val="18"/>
              </w:rPr>
              <w:t xml:space="preserve">ATÉ 3 (TRÊS) DIAS ÚTEIS ANTERIORES À DATA FIXADA PARA ABERTURA DA SESSÃO PÚBLICA DE LANCES, PODERÃO SER SOLICITADOS ESCLARECIMENTOS REFERENTES AO PROCESSO LICITATÓRIO ATRAVÉS DO E-MAIL: </w:t>
            </w:r>
            <w:hyperlink r:id="rId8">
              <w:r>
                <w:rPr>
                  <w:rStyle w:val="LinkdaInternet"/>
                  <w:rFonts w:cs="Verdana" w:ascii="Verdana" w:hAnsi="Verdana"/>
                  <w:sz w:val="18"/>
                  <w:szCs w:val="18"/>
                </w:rPr>
                <w:t>andersen.nascimento@ufvjm.edu.br</w:t>
              </w:r>
            </w:hyperlink>
            <w:r>
              <w:rPr>
                <w:rFonts w:cs="Verdana" w:ascii="Verdana" w:hAnsi="Verdana"/>
                <w:b w:val="false"/>
                <w:sz w:val="18"/>
                <w:szCs w:val="18"/>
              </w:rPr>
              <w:t xml:space="preserve"> E </w:t>
            </w:r>
            <w:hyperlink r:id="rId9">
              <w:r>
                <w:rPr>
                  <w:rStyle w:val="LinkdaInternet"/>
                  <w:rFonts w:cs="Verdana" w:ascii="Verdana" w:hAnsi="Verdana"/>
                  <w:sz w:val="18"/>
                  <w:szCs w:val="18"/>
                </w:rPr>
                <w:t>pregao@ufvjm.edu.br</w:t>
              </w:r>
            </w:hyperlink>
            <w:r>
              <w:rPr>
                <w:rFonts w:cs="Verdana" w:ascii="Verdana" w:hAnsi="Verdana"/>
                <w:b w:val="false"/>
                <w:sz w:val="18"/>
                <w:szCs w:val="18"/>
              </w:rPr>
              <w:t xml:space="preserve">. </w:t>
            </w:r>
          </w:p>
          <w:p>
            <w:pPr>
              <w:pStyle w:val="Ttulo21"/>
              <w:spacing w:before="0" w:after="0"/>
              <w:jc w:val="left"/>
              <w:rPr>
                <w:rFonts w:ascii="Verdana" w:hAnsi="Verdana" w:cs="Verdana"/>
                <w:b w:val="false"/>
                <w:b w:val="false"/>
                <w:sz w:val="18"/>
                <w:szCs w:val="18"/>
              </w:rPr>
            </w:pPr>
            <w:r>
              <w:rPr>
                <w:rFonts w:cs="Verdana" w:ascii="Verdana" w:hAnsi="Verdana"/>
                <w:b w:val="false"/>
                <w:sz w:val="18"/>
                <w:szCs w:val="18"/>
              </w:rPr>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66" w:type="dxa"/>
            </w:tcMar>
          </w:tcPr>
          <w:p>
            <w:pPr>
              <w:pStyle w:val="Ttulo21"/>
              <w:spacing w:before="120" w:after="0"/>
              <w:jc w:val="left"/>
              <w:rPr/>
            </w:pPr>
            <w:r>
              <w:rPr>
                <w:rFonts w:cs="Verdana" w:ascii="Verdana" w:hAnsi="Verdana"/>
                <w:i/>
                <w:sz w:val="18"/>
                <w:szCs w:val="18"/>
              </w:rPr>
              <w:t>IMPUGNAÇÕES:</w:t>
            </w:r>
          </w:p>
        </w:tc>
      </w:tr>
      <w:tr>
        <w:trPr/>
        <w:tc>
          <w:tcPr>
            <w:tcW w:w="23" w:type="dxa"/>
            <w:tcBorders/>
            <w:shd w:fill="auto" w:val="clear"/>
          </w:tcPr>
          <w:p>
            <w:pPr>
              <w:pStyle w:val="Normal"/>
              <w:rPr/>
            </w:pPr>
            <w:r>
              <w:rPr/>
            </w:r>
          </w:p>
        </w:tc>
        <w:tc>
          <w:tcPr>
            <w:tcW w:w="9514"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6" w:type="dxa"/>
            </w:tcMar>
          </w:tcPr>
          <w:p>
            <w:pPr>
              <w:pStyle w:val="Ttulo21"/>
              <w:spacing w:before="120" w:after="0"/>
              <w:jc w:val="both"/>
              <w:rPr/>
            </w:pPr>
            <w:r>
              <w:rPr>
                <w:rFonts w:cs="Verdana" w:ascii="Verdana" w:hAnsi="Verdana"/>
                <w:b w:val="false"/>
                <w:sz w:val="18"/>
                <w:szCs w:val="18"/>
              </w:rPr>
              <w:t xml:space="preserve">ATÉ 02 (DOIS) DIAS ÚTEIS ANTES DA DATA FIXADA PARA A SESSÃO PÚBLICA DE LANCES, QUALQUER PESSOA PODERÁ IMPUGNAR O ATO CONVOCATÓRIO DO PREGÃO, ATRAVÉS DO E-MAIL: </w:t>
            </w:r>
            <w:hyperlink r:id="rId10">
              <w:r>
                <w:rPr>
                  <w:rStyle w:val="LinkdaInternet"/>
                  <w:rFonts w:cs="Verdana" w:ascii="Verdana" w:hAnsi="Verdana"/>
                  <w:sz w:val="18"/>
                  <w:szCs w:val="18"/>
                </w:rPr>
                <w:t>andersen.nascimento@ufvjm.edu.br</w:t>
              </w:r>
            </w:hyperlink>
            <w:r>
              <w:rPr>
                <w:rFonts w:cs="Verdana" w:ascii="Verdana" w:hAnsi="Verdana"/>
                <w:b w:val="false"/>
                <w:sz w:val="18"/>
                <w:szCs w:val="18"/>
              </w:rPr>
              <w:t xml:space="preserve"> E </w:t>
            </w:r>
            <w:hyperlink r:id="rId11">
              <w:r>
                <w:rPr>
                  <w:rStyle w:val="LinkdaInternet"/>
                  <w:rFonts w:cs="Verdana" w:ascii="Verdana" w:hAnsi="Verdana"/>
                  <w:sz w:val="18"/>
                  <w:szCs w:val="18"/>
                </w:rPr>
                <w:t>pregao@ufvjm.edu.br</w:t>
              </w:r>
            </w:hyperlink>
            <w:r>
              <w:rPr>
                <w:rFonts w:cs="Verdana" w:ascii="Verdana" w:hAnsi="Verdana"/>
                <w:b w:val="false"/>
                <w:sz w:val="18"/>
                <w:szCs w:val="18"/>
              </w:rPr>
              <w:t>.</w:t>
            </w:r>
          </w:p>
          <w:p>
            <w:pPr>
              <w:pStyle w:val="Ttulo21"/>
              <w:jc w:val="left"/>
              <w:rPr>
                <w:rFonts w:ascii="Verdana" w:hAnsi="Verdana" w:cs="Verdana"/>
                <w:b w:val="false"/>
                <w:b w:val="false"/>
                <w:sz w:val="18"/>
                <w:szCs w:val="18"/>
              </w:rPr>
            </w:pPr>
            <w:r>
              <w:rPr>
                <w:rFonts w:cs="Verdana" w:ascii="Verdana" w:hAnsi="Verdana"/>
                <w:b w:val="false"/>
                <w:sz w:val="18"/>
                <w:szCs w:val="18"/>
              </w:rPr>
            </w:r>
          </w:p>
        </w:tc>
      </w:tr>
    </w:tbl>
    <w:p>
      <w:pPr>
        <w:pStyle w:val="Corpodetexto"/>
        <w:rPr/>
      </w:pPr>
      <w:r>
        <w:rPr/>
      </w:r>
    </w:p>
    <w:p>
      <w:pPr>
        <w:pStyle w:val="Corpodetexto"/>
        <w:rPr/>
      </w:pPr>
      <w:r>
        <w:rPr/>
      </w:r>
    </w:p>
    <w:p>
      <w:pPr>
        <w:pStyle w:val="Corpodetexto"/>
        <w:rPr/>
      </w:pPr>
      <w:r>
        <w:rPr/>
      </w:r>
    </w:p>
    <w:p>
      <w:pPr>
        <w:pStyle w:val="Ttulo11"/>
        <w:rPr>
          <w:rFonts w:ascii="Verdana" w:hAnsi="Verdana" w:cs="Verdana"/>
          <w:i/>
          <w:i/>
          <w:sz w:val="18"/>
          <w:szCs w:val="18"/>
        </w:rPr>
      </w:pPr>
      <w:r>
        <w:rPr>
          <w:rFonts w:cs="Verdana" w:ascii="Verdana" w:hAnsi="Verdana"/>
          <w:i/>
          <w:sz w:val="18"/>
          <w:szCs w:val="18"/>
        </w:rPr>
        <w:t>EDITAL DE PREGÃO ELETRÔNICO Nº 019/2018</w:t>
      </w:r>
    </w:p>
    <w:p>
      <w:pPr>
        <w:pStyle w:val="Ttulo7"/>
        <w:rPr>
          <w:rFonts w:ascii="Verdana" w:hAnsi="Verdana"/>
          <w:i/>
          <w:i/>
          <w:sz w:val="18"/>
          <w:szCs w:val="18"/>
        </w:rPr>
      </w:pPr>
      <w:r>
        <w:rPr>
          <w:rFonts w:cs="Verdana" w:ascii="Verdana" w:hAnsi="Verdana"/>
          <w:i/>
          <w:sz w:val="18"/>
          <w:szCs w:val="18"/>
        </w:rPr>
        <w:t>SISTEMA DE REGISTRO DE PREÇOS</w:t>
      </w:r>
    </w:p>
    <w:p>
      <w:pPr>
        <w:pStyle w:val="Ttulo8"/>
        <w:keepLines/>
        <w:spacing w:before="120" w:after="0"/>
        <w:rPr>
          <w:rFonts w:ascii="Verdana" w:hAnsi="Verdana" w:cs="Arial"/>
          <w:sz w:val="18"/>
          <w:szCs w:val="18"/>
        </w:rPr>
      </w:pPr>
      <w:r>
        <w:rPr>
          <w:rFonts w:cs="Arial" w:ascii="Verdana" w:hAnsi="Verdana"/>
          <w:i/>
          <w:sz w:val="18"/>
          <w:szCs w:val="18"/>
        </w:rPr>
        <w:t>PROCESSO Nº 23086.003501/2018-88</w:t>
      </w:r>
    </w:p>
    <w:p>
      <w:pPr>
        <w:pStyle w:val="NormalWeb"/>
        <w:spacing w:before="0" w:after="0"/>
        <w:rPr>
          <w:rFonts w:ascii="Verdana" w:hAnsi="Verdana" w:cs="Arial"/>
          <w:sz w:val="18"/>
          <w:szCs w:val="18"/>
          <w:lang w:val="pt-PT"/>
        </w:rPr>
      </w:pPr>
      <w:r>
        <w:rPr>
          <w:rFonts w:cs="Arial" w:ascii="Verdana" w:hAnsi="Verdana"/>
          <w:sz w:val="18"/>
          <w:szCs w:val="18"/>
          <w:lang w:val="pt-PT"/>
        </w:rPr>
      </w:r>
    </w:p>
    <w:p>
      <w:pPr>
        <w:pStyle w:val="Normal"/>
        <w:numPr>
          <w:ilvl w:val="0"/>
          <w:numId w:val="3"/>
        </w:numPr>
        <w:jc w:val="both"/>
        <w:rPr>
          <w:rFonts w:ascii="Verdana" w:hAnsi="Verdana" w:cs="Arial"/>
          <w:sz w:val="18"/>
          <w:szCs w:val="18"/>
        </w:rPr>
      </w:pPr>
      <w:r>
        <w:rPr>
          <w:rFonts w:cs="Arial" w:ascii="Verdana" w:hAnsi="Verdana"/>
          <w:b/>
          <w:sz w:val="18"/>
          <w:szCs w:val="18"/>
        </w:rPr>
        <w:t>PREÂMBULO</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sz w:val="18"/>
          <w:szCs w:val="18"/>
        </w:rPr>
        <w:t xml:space="preserve">A Universidade Federal dos Vales do Jequitinhonha e Mucuri, Autarquia Federal, com sede no Campus JK, Rodovia MGT 367, KM 583, Nº 5000, Alto da Jacuba, Diamantina/MG, através de seu Pregoeiro e Equipe de Apoio, torna público, para conhecimento dos interessados, que se encontra aberta a Licitação por </w:t>
      </w:r>
      <w:r>
        <w:rPr>
          <w:rFonts w:cs="Arial" w:ascii="Verdana" w:hAnsi="Verdana"/>
          <w:b/>
          <w:sz w:val="18"/>
          <w:szCs w:val="18"/>
        </w:rPr>
        <w:t>PREGÃO</w:t>
      </w:r>
      <w:r>
        <w:rPr>
          <w:rFonts w:cs="Arial" w:ascii="Verdana" w:hAnsi="Verdana"/>
          <w:sz w:val="18"/>
          <w:szCs w:val="18"/>
        </w:rPr>
        <w:t xml:space="preserve"> </w:t>
      </w:r>
      <w:r>
        <w:rPr>
          <w:rFonts w:cs="Arial" w:ascii="Verdana" w:hAnsi="Verdana"/>
          <w:b/>
          <w:sz w:val="18"/>
          <w:szCs w:val="18"/>
        </w:rPr>
        <w:t xml:space="preserve">ELETRÔNICO n° 034/2018, NO SISTEMA DE REGISTRO DE PREÇOS, do tipo MENOR PREÇO POR ITEM, </w:t>
      </w:r>
      <w:r>
        <w:rPr>
          <w:rFonts w:cs="Arial" w:ascii="Verdana" w:hAnsi="Verdana"/>
          <w:sz w:val="18"/>
          <w:szCs w:val="18"/>
        </w:rPr>
        <w:t>observadas as disposições do Decreto n° 7.892/2013, Decreto n° 4.342/2002, Decreto n° 5.450/2005, da Lei n° 10.520/2002, Lei Complementar 123 de 14 de dezembro de 2006, Decreto 8.538/2015, Lei Complementar 147/2014 e Lei 8.078/1990, aplicando-se subsidiariamente a Lei n° 8.666/1993 e, ainda as condições estipuladas neste Edital;</w:t>
      </w:r>
    </w:p>
    <w:p>
      <w:pPr>
        <w:pStyle w:val="Normal"/>
        <w:numPr>
          <w:ilvl w:val="1"/>
          <w:numId w:val="3"/>
        </w:numPr>
        <w:tabs>
          <w:tab w:val="left" w:pos="900" w:leader="none"/>
        </w:tabs>
        <w:spacing w:before="120" w:after="0"/>
        <w:ind w:left="896" w:hanging="539"/>
        <w:jc w:val="both"/>
        <w:rPr>
          <w:rFonts w:ascii="Verdana" w:hAnsi="Verdana" w:cs="Arial"/>
          <w:b/>
          <w:b/>
          <w:sz w:val="18"/>
          <w:szCs w:val="18"/>
        </w:rPr>
      </w:pPr>
      <w:r>
        <w:rPr>
          <w:rFonts w:cs="Arial" w:ascii="Verdana" w:hAnsi="Verdana"/>
          <w:sz w:val="18"/>
          <w:szCs w:val="18"/>
        </w:rPr>
        <w:t>Sistema de registro de preços é um conjunto de procedimentos para registro formal de preços relativos à prestação de serviços e aquisição de bens, para contratações futuras e de forma parcelada não sendo permitida a exigência de faturamento mínimo.</w:t>
      </w:r>
    </w:p>
    <w:p>
      <w:pPr>
        <w:pStyle w:val="Normal"/>
        <w:ind w:left="360" w:hanging="0"/>
        <w:jc w:val="both"/>
        <w:rPr>
          <w:rFonts w:ascii="Verdana" w:hAnsi="Verdana" w:cs="Arial"/>
          <w:b/>
          <w:b/>
          <w:sz w:val="18"/>
          <w:szCs w:val="18"/>
        </w:rPr>
      </w:pPr>
      <w:r>
        <w:rPr>
          <w:rFonts w:cs="Arial" w:ascii="Verdana" w:hAnsi="Verdana"/>
          <w:b/>
          <w:sz w:val="18"/>
          <w:szCs w:val="18"/>
        </w:rPr>
      </w:r>
    </w:p>
    <w:p>
      <w:pPr>
        <w:pStyle w:val="Normal"/>
        <w:numPr>
          <w:ilvl w:val="0"/>
          <w:numId w:val="3"/>
        </w:numPr>
        <w:jc w:val="both"/>
        <w:rPr>
          <w:rFonts w:ascii="Verdana" w:hAnsi="Verdana" w:cs="Arial"/>
          <w:sz w:val="18"/>
          <w:szCs w:val="18"/>
        </w:rPr>
      </w:pPr>
      <w:r>
        <w:rPr>
          <w:rFonts w:cs="Arial" w:ascii="Verdana" w:hAnsi="Verdana"/>
          <w:b/>
          <w:sz w:val="18"/>
          <w:szCs w:val="18"/>
        </w:rPr>
        <w:t>OBJETO</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sz w:val="18"/>
          <w:szCs w:val="18"/>
        </w:rPr>
        <w:t xml:space="preserve">Implantação do Sistema de Registro de Preços para futura e eventual </w:t>
      </w:r>
      <w:r>
        <w:rPr>
          <w:rFonts w:cs="Verdana" w:ascii="Verdana" w:hAnsi="Verdana"/>
          <w:b/>
          <w:sz w:val="18"/>
          <w:szCs w:val="18"/>
        </w:rPr>
        <w:t>AQUISIÇÃO DE INSUMOS AGRÍCOLAS PARA ATENDER A DEMANDA DAS FAZENDAS DA UFVJM</w:t>
      </w:r>
      <w:r>
        <w:rPr>
          <w:rFonts w:cs="Arial" w:ascii="Verdana" w:hAnsi="Verdana"/>
          <w:sz w:val="18"/>
          <w:szCs w:val="18"/>
        </w:rPr>
        <w:t>, conforme especificações, estimativas de consumo e exigências constantes no Anexo I deste Edital;</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sz w:val="18"/>
          <w:szCs w:val="18"/>
        </w:rPr>
        <w:t>A Ata de Registro de Preços terá validade de 12 (doze) meses.</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sz w:val="18"/>
          <w:szCs w:val="18"/>
        </w:rPr>
        <w:t>A existência do Registro de preços não obriga a Administração a firmar as futuras contratações, sendo-lhe facultada a realização de procedimento específico para aquisição pretendida, sendo assegurada ao beneficiário desse registro a preferência de fornecimento, em igualdade de condições.</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sz w:val="18"/>
          <w:szCs w:val="18"/>
        </w:rPr>
        <w:t>A licitação será dividida em itens, conforme tabela anexa, facultando-se ao licitante a participação em quantos itens for de seu interesse.</w:t>
      </w:r>
    </w:p>
    <w:p>
      <w:pPr>
        <w:pStyle w:val="Normal"/>
        <w:tabs>
          <w:tab w:val="left" w:pos="900" w:leader="none"/>
        </w:tabs>
        <w:spacing w:before="120" w:after="0"/>
        <w:ind w:left="896" w:hanging="0"/>
        <w:jc w:val="both"/>
        <w:rPr>
          <w:rFonts w:ascii="Verdana" w:hAnsi="Verdana" w:cs="Arial"/>
          <w:sz w:val="18"/>
          <w:szCs w:val="18"/>
        </w:rPr>
      </w:pPr>
      <w:r>
        <w:rPr>
          <w:rFonts w:cs="Arial" w:ascii="Verdana" w:hAnsi="Verdana"/>
          <w:sz w:val="18"/>
          <w:szCs w:val="18"/>
        </w:rPr>
      </w:r>
    </w:p>
    <w:p>
      <w:pPr>
        <w:pStyle w:val="Normal"/>
        <w:numPr>
          <w:ilvl w:val="0"/>
          <w:numId w:val="3"/>
        </w:numPr>
        <w:jc w:val="both"/>
        <w:rPr>
          <w:rFonts w:ascii="Verdana" w:hAnsi="Verdana" w:cs="Arial"/>
          <w:sz w:val="18"/>
          <w:szCs w:val="18"/>
        </w:rPr>
      </w:pPr>
      <w:r>
        <w:rPr>
          <w:rFonts w:cs="Arial" w:ascii="Verdana" w:hAnsi="Verdana"/>
          <w:b/>
          <w:sz w:val="18"/>
          <w:szCs w:val="18"/>
        </w:rPr>
        <w:t>DO EDITAL</w:t>
      </w:r>
    </w:p>
    <w:p>
      <w:pPr>
        <w:pStyle w:val="Normal"/>
        <w:numPr>
          <w:ilvl w:val="1"/>
          <w:numId w:val="3"/>
        </w:numPr>
        <w:tabs>
          <w:tab w:val="left" w:pos="900" w:leader="none"/>
        </w:tabs>
        <w:spacing w:before="120" w:after="0"/>
        <w:ind w:left="896" w:hanging="539"/>
        <w:jc w:val="both"/>
        <w:rPr/>
      </w:pPr>
      <w:r>
        <w:rPr>
          <w:rFonts w:cs="Arial" w:ascii="Verdana" w:hAnsi="Verdana"/>
          <w:sz w:val="18"/>
          <w:szCs w:val="18"/>
        </w:rPr>
        <w:t xml:space="preserve">A Empresa interessada em participar desta Licitação terá que examinar o Edital e Anexos disponíveis no sítio da Universidade Federal dos Vales do Jequitinhonha e Mucuri – UFVJM, no endereço: </w:t>
      </w:r>
      <w:hyperlink r:id="rId12">
        <w:r>
          <w:rPr>
            <w:rStyle w:val="LinkdaInternet"/>
            <w:rFonts w:cs="Verdana" w:ascii="Verdana" w:hAnsi="Verdana"/>
            <w:sz w:val="18"/>
            <w:szCs w:val="18"/>
          </w:rPr>
          <w:t>www.ufvjm.edu.br</w:t>
        </w:r>
      </w:hyperlink>
      <w:r>
        <w:rPr>
          <w:rFonts w:cs="Arial" w:ascii="Verdana" w:hAnsi="Verdana"/>
          <w:sz w:val="18"/>
          <w:szCs w:val="18"/>
        </w:rPr>
        <w:t>;</w:t>
      </w:r>
    </w:p>
    <w:p>
      <w:pPr>
        <w:pStyle w:val="Normal"/>
        <w:numPr>
          <w:ilvl w:val="2"/>
          <w:numId w:val="3"/>
        </w:numPr>
        <w:spacing w:before="120" w:after="0"/>
        <w:jc w:val="both"/>
        <w:rPr>
          <w:rFonts w:ascii="Arial" w:hAnsi="Arial" w:cs="Arial"/>
          <w:b/>
          <w:b/>
          <w:sz w:val="20"/>
        </w:rPr>
      </w:pPr>
      <w:r>
        <w:rPr>
          <w:rFonts w:cs="Arial" w:ascii="Verdana" w:hAnsi="Verdana"/>
          <w:sz w:val="18"/>
          <w:szCs w:val="18"/>
        </w:rPr>
        <w:t xml:space="preserve">Alegações de desconhecimento das suas disposições não serão aceitas para justificar eventuais divergências ou erros existentes em seus Documentos de Habilitação ou na Proposta. </w:t>
      </w:r>
    </w:p>
    <w:p>
      <w:pPr>
        <w:pStyle w:val="Normal"/>
        <w:numPr>
          <w:ilvl w:val="2"/>
          <w:numId w:val="3"/>
        </w:numPr>
        <w:tabs>
          <w:tab w:val="left" w:pos="1276" w:leader="none"/>
        </w:tabs>
        <w:spacing w:before="120" w:after="0"/>
        <w:ind w:left="1276" w:hanging="567"/>
        <w:jc w:val="both"/>
        <w:rPr>
          <w:rFonts w:ascii="Arial" w:hAnsi="Arial" w:cs="Arial"/>
          <w:b/>
          <w:b/>
          <w:sz w:val="20"/>
        </w:rPr>
      </w:pPr>
      <w:r>
        <w:rPr>
          <w:rFonts w:cs="Arial" w:ascii="Arial" w:hAnsi="Arial"/>
          <w:b/>
          <w:sz w:val="20"/>
        </w:rPr>
        <w:t>Ficam os licitantes obrigados a consultarem, periodicamente/diariamente, o sítio da UFVJM e Comprasgovernamentais, para conhecimento de eventuais alterações, esclarecimentos e avisos referentes ao Edital.</w:t>
      </w:r>
    </w:p>
    <w:p>
      <w:pPr>
        <w:pStyle w:val="Normal"/>
        <w:ind w:left="1224" w:firstLine="52"/>
        <w:jc w:val="both"/>
        <w:rPr/>
      </w:pPr>
      <w:r>
        <w:rPr>
          <w:rFonts w:cs="Arial" w:ascii="Arial" w:hAnsi="Arial"/>
          <w:b/>
          <w:sz w:val="20"/>
        </w:rPr>
        <w:t xml:space="preserve">Sítio: </w:t>
      </w:r>
      <w:hyperlink r:id="rId13">
        <w:r>
          <w:rPr>
            <w:rStyle w:val="LinkdaInternet"/>
            <w:rFonts w:cs="Arial" w:ascii="Arial" w:hAnsi="Arial"/>
            <w:b/>
            <w:sz w:val="20"/>
          </w:rPr>
          <w:t>www.ufvjm.edu.br</w:t>
        </w:r>
      </w:hyperlink>
      <w:r>
        <w:rPr>
          <w:rFonts w:cs="Arial" w:ascii="Arial" w:hAnsi="Arial"/>
          <w:b/>
          <w:sz w:val="20"/>
        </w:rPr>
        <w:t>, link Licitações e Contratos</w:t>
      </w:r>
    </w:p>
    <w:p>
      <w:pPr>
        <w:pStyle w:val="Normal"/>
        <w:ind w:left="1224" w:firstLine="52"/>
        <w:jc w:val="both"/>
        <w:rPr/>
      </w:pPr>
      <w:r>
        <w:rPr>
          <w:rFonts w:cs="Arial" w:ascii="Arial" w:hAnsi="Arial"/>
          <w:b/>
          <w:sz w:val="20"/>
        </w:rPr>
        <w:t xml:space="preserve">Sítio: </w:t>
      </w:r>
      <w:hyperlink r:id="rId14">
        <w:r>
          <w:rPr>
            <w:rStyle w:val="LinkdaInternet"/>
            <w:rFonts w:cs="Arial" w:ascii="Arial" w:hAnsi="Arial"/>
            <w:b/>
            <w:sz w:val="20"/>
          </w:rPr>
          <w:t>www.comprasgovernamentais.gov.br</w:t>
        </w:r>
      </w:hyperlink>
    </w:p>
    <w:p>
      <w:pPr>
        <w:pStyle w:val="Corpodetexto"/>
        <w:ind w:left="709" w:right="-1" w:hanging="0"/>
        <w:jc w:val="both"/>
        <w:rPr>
          <w:rFonts w:ascii="Verdana" w:hAnsi="Verdana" w:cs="Arial"/>
          <w:b/>
          <w:b/>
          <w:sz w:val="18"/>
          <w:szCs w:val="18"/>
        </w:rPr>
      </w:pPr>
      <w:r>
        <w:rPr>
          <w:rFonts w:cs="Arial" w:ascii="Verdana" w:hAnsi="Verdana"/>
          <w:b/>
          <w:sz w:val="18"/>
          <w:szCs w:val="18"/>
        </w:rPr>
      </w:r>
    </w:p>
    <w:p>
      <w:pPr>
        <w:pStyle w:val="Corpodetexto"/>
        <w:ind w:left="709" w:right="-1" w:hanging="0"/>
        <w:jc w:val="both"/>
        <w:rPr>
          <w:rFonts w:ascii="Verdana" w:hAnsi="Verdana" w:cs="Arial"/>
          <w:b/>
          <w:b/>
          <w:sz w:val="18"/>
          <w:szCs w:val="18"/>
        </w:rPr>
      </w:pPr>
      <w:r>
        <w:rPr>
          <w:rFonts w:cs="Arial" w:ascii="Verdana" w:hAnsi="Verdana"/>
          <w:b/>
          <w:sz w:val="18"/>
          <w:szCs w:val="18"/>
        </w:rPr>
        <w:t xml:space="preserve">3.1.3 </w:t>
      </w:r>
      <w:r>
        <w:rPr>
          <w:rFonts w:cs="Arial" w:ascii="Verdana" w:hAnsi="Verdana"/>
          <w:sz w:val="18"/>
          <w:szCs w:val="18"/>
        </w:rPr>
        <w:t>Este Edital observará em todas as fases do procedimento licitatório as orientações e normas voltadas para a sustentabilidade ambiental, solicitamos, portanto, a apresentação de documentos físicos, copiados ou impressos, preferencialmente, através de papel reciclado nos termos da Lei 8.666/93 e Decreto 7.746/2012.</w:t>
      </w:r>
    </w:p>
    <w:p>
      <w:pPr>
        <w:pStyle w:val="Normal"/>
        <w:numPr>
          <w:ilvl w:val="1"/>
          <w:numId w:val="3"/>
        </w:numPr>
        <w:tabs>
          <w:tab w:val="left" w:pos="900" w:leader="none"/>
        </w:tabs>
        <w:spacing w:before="120" w:after="0"/>
        <w:ind w:left="896" w:hanging="539"/>
        <w:jc w:val="both"/>
        <w:rPr/>
      </w:pPr>
      <w:r>
        <w:rPr>
          <w:rFonts w:cs="Arial" w:ascii="Verdana" w:hAnsi="Verdana"/>
          <w:sz w:val="18"/>
          <w:szCs w:val="18"/>
        </w:rPr>
        <w:t xml:space="preserve">Só terá valor legal para efeito do Processo Licitatório o Edital e Anexos disponibilizados conforme item 3.1, valendo as demais versões, inclusive a do sitio: </w:t>
      </w:r>
      <w:hyperlink r:id="rId15">
        <w:r>
          <w:rPr>
            <w:rStyle w:val="LinkdaInternet"/>
            <w:rFonts w:cs="Verdana" w:ascii="Verdana" w:hAnsi="Verdana"/>
            <w:sz w:val="18"/>
            <w:szCs w:val="18"/>
          </w:rPr>
          <w:t>www.comprasgovernamentais.gov.br</w:t>
        </w:r>
      </w:hyperlink>
      <w:r>
        <w:rPr>
          <w:rFonts w:cs="Arial" w:ascii="Verdana" w:hAnsi="Verdana"/>
          <w:sz w:val="18"/>
          <w:szCs w:val="18"/>
        </w:rPr>
        <w:t>, apenas como divulgação;</w:t>
      </w:r>
    </w:p>
    <w:p>
      <w:pPr>
        <w:pStyle w:val="Normal"/>
        <w:numPr>
          <w:ilvl w:val="1"/>
          <w:numId w:val="3"/>
        </w:numPr>
        <w:tabs>
          <w:tab w:val="left" w:pos="900" w:leader="none"/>
        </w:tabs>
        <w:spacing w:before="120" w:after="0"/>
        <w:ind w:left="896" w:hanging="539"/>
        <w:jc w:val="both"/>
        <w:rPr>
          <w:rFonts w:ascii="Verdana" w:hAnsi="Verdana" w:cs="Arial"/>
          <w:sz w:val="18"/>
          <w:szCs w:val="18"/>
        </w:rPr>
      </w:pPr>
      <w:r>
        <w:rPr>
          <w:rFonts w:cs="Arial" w:ascii="Verdana" w:hAnsi="Verdana"/>
          <w:b/>
          <w:sz w:val="18"/>
          <w:szCs w:val="18"/>
        </w:rPr>
        <w:t>Impugnação do Edital:</w:t>
      </w:r>
    </w:p>
    <w:p>
      <w:pPr>
        <w:pStyle w:val="Normal"/>
        <w:numPr>
          <w:ilvl w:val="2"/>
          <w:numId w:val="3"/>
        </w:numPr>
        <w:spacing w:before="80" w:after="0"/>
        <w:ind w:left="1440" w:hanging="720"/>
        <w:jc w:val="both"/>
        <w:rPr>
          <w:rFonts w:ascii="Verdana" w:hAnsi="Verdana" w:cs="Arial"/>
          <w:sz w:val="18"/>
          <w:szCs w:val="18"/>
        </w:rPr>
      </w:pPr>
      <w:r>
        <w:rPr>
          <w:rFonts w:cs="Arial" w:ascii="Verdana" w:hAnsi="Verdana"/>
          <w:sz w:val="18"/>
          <w:szCs w:val="18"/>
        </w:rPr>
        <w:t>Qualquer pessoa, física ou jurídica, é parte legítima para impugnar este Edital, desde que, com antecedência de até 02 (dois) dias úteis antes da data fixada para abertura da sessão pública, artigo 18, Dec. 5.450/2005;</w:t>
      </w:r>
    </w:p>
    <w:p>
      <w:pPr>
        <w:pStyle w:val="Normal"/>
        <w:spacing w:before="80" w:after="0"/>
        <w:ind w:left="2127" w:hanging="0"/>
        <w:jc w:val="both"/>
        <w:rPr/>
      </w:pPr>
      <w:r>
        <w:rPr>
          <w:rFonts w:cs="Arial" w:ascii="Verdana" w:hAnsi="Verdana"/>
          <w:sz w:val="18"/>
          <w:szCs w:val="18"/>
        </w:rPr>
        <w:t xml:space="preserve">3.3.1.1. O envio deverá ser feito eletronicamente para o e-mail: </w:t>
      </w:r>
      <w:hyperlink r:id="rId16">
        <w:r>
          <w:rPr>
            <w:rStyle w:val="LinkdaInternet"/>
            <w:rFonts w:cs="Arial" w:ascii="Verdana" w:hAnsi="Verdana"/>
            <w:sz w:val="18"/>
            <w:szCs w:val="18"/>
          </w:rPr>
          <w:t>pregao@ufvjm.edu.br</w:t>
        </w:r>
      </w:hyperlink>
      <w:r>
        <w:rPr>
          <w:rFonts w:cs="Arial" w:ascii="Verdana" w:hAnsi="Verdana"/>
          <w:sz w:val="18"/>
          <w:szCs w:val="18"/>
        </w:rPr>
        <w:t xml:space="preserve"> e </w:t>
      </w:r>
      <w:hyperlink r:id="rId17">
        <w:r>
          <w:rPr>
            <w:rStyle w:val="LinkdaInternet"/>
            <w:rFonts w:cs="Arial" w:ascii="Verdana" w:hAnsi="Verdana"/>
            <w:sz w:val="18"/>
            <w:szCs w:val="18"/>
          </w:rPr>
          <w:t>andersen.nascimento@ufvjm.edu.br</w:t>
        </w:r>
      </w:hyperlink>
      <w:r>
        <w:rPr>
          <w:rFonts w:cs="Arial" w:ascii="Verdana" w:hAnsi="Verdana"/>
          <w:sz w:val="18"/>
          <w:szCs w:val="18"/>
        </w:rPr>
        <w:t>, dentro do prazo legal;</w:t>
      </w:r>
    </w:p>
    <w:p>
      <w:pPr>
        <w:pStyle w:val="Normal"/>
        <w:numPr>
          <w:ilvl w:val="2"/>
          <w:numId w:val="3"/>
        </w:numPr>
        <w:spacing w:before="80" w:after="0"/>
        <w:ind w:left="1440" w:hanging="720"/>
        <w:jc w:val="both"/>
        <w:rPr>
          <w:rFonts w:ascii="Verdana" w:hAnsi="Verdana" w:cs="Arial"/>
          <w:sz w:val="18"/>
          <w:szCs w:val="18"/>
        </w:rPr>
      </w:pPr>
      <w:r>
        <w:rPr>
          <w:rFonts w:cs="Arial" w:ascii="Verdana" w:hAnsi="Verdana"/>
          <w:sz w:val="18"/>
          <w:szCs w:val="18"/>
        </w:rPr>
        <w:t>Caberá ao Pregoeiro e sua Equipe de apoio decidir sobre a petição interposta, no prazo de 24 (vinte e quatro) horas, contadas da data do recebimento da petição, § 1º do artigo 18 do Decreto 5.450/2005;</w:t>
      </w:r>
    </w:p>
    <w:p>
      <w:pPr>
        <w:pStyle w:val="Normal"/>
        <w:numPr>
          <w:ilvl w:val="2"/>
          <w:numId w:val="3"/>
        </w:numPr>
        <w:spacing w:before="80" w:after="0"/>
        <w:ind w:left="1440" w:hanging="720"/>
        <w:jc w:val="both"/>
        <w:rPr>
          <w:rFonts w:ascii="Verdana" w:hAnsi="Verdana" w:cs="Arial"/>
          <w:sz w:val="18"/>
          <w:szCs w:val="18"/>
        </w:rPr>
      </w:pPr>
      <w:r>
        <w:rPr>
          <w:rFonts w:cs="Arial" w:ascii="Verdana" w:hAnsi="Verdana"/>
          <w:sz w:val="18"/>
          <w:szCs w:val="18"/>
        </w:rPr>
        <w:t>Quando acolhida a petição contra este Edital, será designada nova data para a realização deste certame;</w:t>
      </w:r>
    </w:p>
    <w:p>
      <w:pPr>
        <w:pStyle w:val="Normal"/>
        <w:numPr>
          <w:ilvl w:val="2"/>
          <w:numId w:val="3"/>
        </w:numPr>
        <w:spacing w:before="80" w:after="0"/>
        <w:ind w:left="1440" w:hanging="720"/>
        <w:jc w:val="both"/>
        <w:rPr/>
      </w:pPr>
      <w:r>
        <w:rPr>
          <w:rFonts w:cs="Arial" w:ascii="Verdana" w:hAnsi="Verdana"/>
          <w:sz w:val="18"/>
          <w:szCs w:val="18"/>
        </w:rPr>
        <w:t xml:space="preserve">Os pedidos de esclarecimentos referentes ao processo licitatório deverão ser enviados ao Pregoeiro, até 03 (três) dias úteis anteriores a data fixada para abertura da sessão pública, exclusivamente por meio eletrônico, através do e-mail: </w:t>
      </w:r>
      <w:hyperlink r:id="rId18">
        <w:r>
          <w:rPr>
            <w:rStyle w:val="LinkdaInternet"/>
            <w:rFonts w:cs="Arial" w:ascii="Verdana" w:hAnsi="Verdana"/>
            <w:sz w:val="18"/>
            <w:szCs w:val="18"/>
          </w:rPr>
          <w:t>pregao@ufvjm.edu.br</w:t>
        </w:r>
      </w:hyperlink>
      <w:r>
        <w:rPr>
          <w:rFonts w:cs="Arial" w:ascii="Verdana" w:hAnsi="Verdana"/>
          <w:sz w:val="18"/>
          <w:szCs w:val="18"/>
        </w:rPr>
        <w:t xml:space="preserve"> e  </w:t>
      </w:r>
      <w:hyperlink r:id="rId19">
        <w:r>
          <w:rPr>
            <w:rStyle w:val="LinkdaInternet"/>
            <w:rFonts w:cs="Arial" w:ascii="Verdana" w:hAnsi="Verdana"/>
            <w:sz w:val="18"/>
            <w:szCs w:val="18"/>
          </w:rPr>
          <w:t>andersen.nascimento@ufvjm.edu.br</w:t>
        </w:r>
      </w:hyperlink>
      <w:r>
        <w:rPr>
          <w:rFonts w:cs="Arial" w:ascii="Verdana" w:hAnsi="Verdana"/>
          <w:sz w:val="18"/>
          <w:szCs w:val="18"/>
        </w:rPr>
        <w:t>dentro do prazo legal (artigo 19 do Decreto 5.450/2005).</w:t>
      </w:r>
    </w:p>
    <w:p>
      <w:pPr>
        <w:pStyle w:val="Normal"/>
        <w:numPr>
          <w:ilvl w:val="2"/>
          <w:numId w:val="3"/>
        </w:numPr>
        <w:spacing w:before="80" w:after="0"/>
        <w:ind w:left="1440" w:hanging="720"/>
        <w:jc w:val="both"/>
        <w:rPr>
          <w:rFonts w:ascii="Verdana" w:hAnsi="Verdana" w:cs="Arial"/>
          <w:sz w:val="18"/>
          <w:szCs w:val="18"/>
        </w:rPr>
      </w:pPr>
      <w:r>
        <w:rPr>
          <w:rFonts w:cs="Arial" w:ascii="Verdana" w:hAnsi="Verdana"/>
          <w:sz w:val="18"/>
          <w:szCs w:val="18"/>
        </w:rPr>
        <w:t>As impugnações e pedidos de esclarecimento não suspendem os prazos previstos no certame.</w:t>
      </w:r>
    </w:p>
    <w:p>
      <w:pPr>
        <w:pStyle w:val="Normal"/>
        <w:numPr>
          <w:ilvl w:val="2"/>
          <w:numId w:val="3"/>
        </w:numPr>
        <w:spacing w:before="80" w:after="0"/>
        <w:ind w:left="1440" w:hanging="720"/>
        <w:jc w:val="both"/>
        <w:rPr>
          <w:rFonts w:ascii="Verdana" w:hAnsi="Verdana" w:cs="Arial"/>
          <w:b/>
          <w:b/>
          <w:sz w:val="18"/>
          <w:szCs w:val="18"/>
        </w:rPr>
      </w:pPr>
      <w:r>
        <w:rPr>
          <w:rFonts w:cs="Arial" w:ascii="Verdana" w:hAnsi="Verdana"/>
          <w:sz w:val="18"/>
          <w:szCs w:val="18"/>
        </w:rPr>
        <w:t>As respostas às impugnações e os esclarecimentos prestados pelo pregoeiro serão entranhados nos autos do processo licitatório e estarão disponíveis para consulta por qualquer interessado.</w:t>
      </w:r>
    </w:p>
    <w:p>
      <w:pPr>
        <w:pStyle w:val="Normal"/>
        <w:ind w:left="720" w:hanging="0"/>
        <w:jc w:val="both"/>
        <w:rPr>
          <w:rFonts w:ascii="Verdana" w:hAnsi="Verdana" w:cs="Arial"/>
          <w:b/>
          <w:b/>
          <w:sz w:val="18"/>
          <w:szCs w:val="18"/>
        </w:rPr>
      </w:pPr>
      <w:r>
        <w:rPr>
          <w:rFonts w:cs="Arial" w:ascii="Verdana" w:hAnsi="Verdana"/>
          <w:b/>
          <w:sz w:val="18"/>
          <w:szCs w:val="18"/>
        </w:rPr>
      </w:r>
    </w:p>
    <w:p>
      <w:pPr>
        <w:pStyle w:val="Normal"/>
        <w:numPr>
          <w:ilvl w:val="0"/>
          <w:numId w:val="3"/>
        </w:numPr>
        <w:tabs>
          <w:tab w:val="left" w:pos="1800" w:leader="none"/>
        </w:tabs>
        <w:jc w:val="both"/>
        <w:rPr>
          <w:rFonts w:ascii="Verdana" w:hAnsi="Verdana" w:cs="Arial"/>
          <w:sz w:val="18"/>
          <w:szCs w:val="18"/>
        </w:rPr>
      </w:pPr>
      <w:r>
        <w:rPr>
          <w:rFonts w:cs="Arial" w:ascii="Verdana" w:hAnsi="Verdana"/>
          <w:b/>
          <w:sz w:val="18"/>
          <w:szCs w:val="18"/>
        </w:rPr>
        <w:t>DO ATO DE DESIGNAÇÃO DO PREGOEIRO E EQUIPE DE APOIO</w:t>
      </w:r>
    </w:p>
    <w:p>
      <w:pPr>
        <w:pStyle w:val="Normal"/>
        <w:numPr>
          <w:ilvl w:val="1"/>
          <w:numId w:val="3"/>
        </w:numPr>
        <w:tabs>
          <w:tab w:val="left" w:pos="851" w:leader="none"/>
        </w:tabs>
        <w:spacing w:before="120" w:after="0"/>
        <w:ind w:left="788" w:hanging="431"/>
        <w:jc w:val="both"/>
        <w:rPr>
          <w:rFonts w:ascii="Verdana" w:hAnsi="Verdana" w:cs="Arial"/>
          <w:sz w:val="18"/>
          <w:szCs w:val="18"/>
        </w:rPr>
      </w:pPr>
      <w:r>
        <w:rPr>
          <w:rFonts w:cs="Arial" w:ascii="Verdana" w:hAnsi="Verdana"/>
          <w:sz w:val="18"/>
          <w:szCs w:val="18"/>
        </w:rPr>
        <w:t xml:space="preserve">Todos os procedimentos desta Licitação serão conduzidos pelo Pregoeiro designado pela </w:t>
      </w:r>
      <w:r>
        <w:rPr>
          <w:rFonts w:cs="Arial" w:ascii="Verdana" w:hAnsi="Verdana"/>
          <w:b/>
          <w:sz w:val="18"/>
          <w:szCs w:val="18"/>
        </w:rPr>
        <w:t xml:space="preserve">Portaria PROAD n° 103, de 28 de dezembro de 2018 </w:t>
      </w:r>
      <w:r>
        <w:rPr>
          <w:rFonts w:cs="Arial" w:ascii="Verdana" w:hAnsi="Verdana"/>
          <w:sz w:val="18"/>
          <w:szCs w:val="18"/>
        </w:rPr>
        <w:t>e equipe de apoio</w:t>
      </w:r>
      <w:r>
        <w:rPr>
          <w:rFonts w:cs="Arial" w:ascii="Verdana" w:hAnsi="Verdana"/>
          <w:b/>
          <w:sz w:val="18"/>
          <w:szCs w:val="18"/>
        </w:rPr>
        <w:t>.</w:t>
      </w:r>
    </w:p>
    <w:p>
      <w:pPr>
        <w:pStyle w:val="Normal"/>
        <w:numPr>
          <w:ilvl w:val="1"/>
          <w:numId w:val="3"/>
        </w:numPr>
        <w:tabs>
          <w:tab w:val="left" w:pos="851" w:leader="none"/>
        </w:tabs>
        <w:spacing w:before="120" w:after="0"/>
        <w:ind w:left="788" w:hanging="431"/>
        <w:jc w:val="both"/>
        <w:rPr>
          <w:rFonts w:ascii="Verdana" w:hAnsi="Verdana" w:cs="Arial"/>
          <w:b/>
          <w:b/>
          <w:sz w:val="18"/>
          <w:szCs w:val="18"/>
        </w:rPr>
      </w:pPr>
      <w:r>
        <w:rPr>
          <w:rFonts w:cs="Arial" w:ascii="Verdana" w:hAnsi="Verdana"/>
          <w:sz w:val="18"/>
          <w:szCs w:val="18"/>
        </w:rPr>
        <w:t>O Pregoeiro poderá, ainda, convocar, através Ato administrativo, servidor(es) da área ou unidade administrativa responsável pela especificação do objeto deste Pregão.</w:t>
      </w:r>
    </w:p>
    <w:p>
      <w:pPr>
        <w:pStyle w:val="Normal"/>
        <w:jc w:val="both"/>
        <w:rPr>
          <w:rFonts w:ascii="Verdana" w:hAnsi="Verdana" w:cs="Arial"/>
          <w:b/>
          <w:b/>
          <w:sz w:val="18"/>
          <w:szCs w:val="18"/>
        </w:rPr>
      </w:pPr>
      <w:r>
        <w:rPr>
          <w:rFonts w:cs="Arial" w:ascii="Verdana" w:hAnsi="Verdana"/>
          <w:b/>
          <w:sz w:val="18"/>
          <w:szCs w:val="18"/>
        </w:rPr>
      </w:r>
    </w:p>
    <w:p>
      <w:pPr>
        <w:pStyle w:val="Normal"/>
        <w:numPr>
          <w:ilvl w:val="0"/>
          <w:numId w:val="3"/>
        </w:numPr>
        <w:jc w:val="both"/>
        <w:rPr>
          <w:rFonts w:ascii="Verdana" w:hAnsi="Verdana" w:cs="Arial"/>
          <w:sz w:val="18"/>
          <w:szCs w:val="18"/>
        </w:rPr>
      </w:pPr>
      <w:r>
        <w:rPr>
          <w:rFonts w:cs="Arial" w:ascii="Verdana" w:hAnsi="Verdana"/>
          <w:b/>
          <w:sz w:val="18"/>
          <w:szCs w:val="18"/>
        </w:rPr>
        <w:t>DAS CONDIÇÕES GERAIS PARA PARTICIPAÇÃO</w:t>
      </w:r>
    </w:p>
    <w:p>
      <w:pPr>
        <w:pStyle w:val="Normal"/>
        <w:spacing w:before="120" w:after="0"/>
        <w:ind w:left="851" w:hanging="0"/>
        <w:jc w:val="both"/>
        <w:rPr/>
      </w:pPr>
      <w:r>
        <w:rPr>
          <w:rFonts w:cs="Arial" w:ascii="Verdana" w:hAnsi="Verdana"/>
          <w:sz w:val="18"/>
          <w:szCs w:val="18"/>
        </w:rPr>
        <w:t xml:space="preserve">5.1 Poderão participar deste Pregão Eletrônico, as empresas do ramo pertinente ao objeto licitado, credenciados no Sistema de Cadastramento Unificado de Fornecedores - SICAF e perante o sistema eletrônico provido pela Secretaria de Logística e Tecnologia da Informação do Ministério do Planejamento, Orçamento e Gestão (SLTI), por meio do sítio </w:t>
      </w:r>
      <w:hyperlink r:id="rId20">
        <w:r>
          <w:rPr>
            <w:rStyle w:val="LinkdaInternet"/>
            <w:rFonts w:cs="Verdana" w:ascii="Verdana" w:hAnsi="Verdana"/>
            <w:sz w:val="18"/>
            <w:szCs w:val="18"/>
          </w:rPr>
          <w:t>www.comprasgovernamentais.gov.br</w:t>
        </w:r>
      </w:hyperlink>
      <w:r>
        <w:rPr>
          <w:rFonts w:cs="Arial" w:ascii="Verdana" w:hAnsi="Verdana"/>
          <w:sz w:val="18"/>
          <w:szCs w:val="18"/>
        </w:rPr>
        <w:t xml:space="preserve"> e que atenderem a todas as exigências constantes neste Edital e seus anexos.</w:t>
      </w:r>
    </w:p>
    <w:p>
      <w:pPr>
        <w:pStyle w:val="Normal"/>
        <w:spacing w:before="120" w:after="0"/>
        <w:ind w:left="851" w:hanging="0"/>
        <w:jc w:val="both"/>
        <w:rPr>
          <w:rFonts w:ascii="Verdana" w:hAnsi="Verdana" w:cs="Arial"/>
          <w:sz w:val="18"/>
          <w:szCs w:val="18"/>
        </w:rPr>
      </w:pPr>
      <w:r>
        <w:rPr>
          <w:rFonts w:cs="Arial" w:ascii="Verdana" w:hAnsi="Verdana"/>
          <w:sz w:val="18"/>
          <w:szCs w:val="18"/>
        </w:rPr>
        <w:t>5.1.1 Atendendo o disposto no art. 48, incisos I e III da LC 123/2006 e no art. 6º e § 5º do Decreto 8.538/2015, fica determinado:</w:t>
      </w:r>
    </w:p>
    <w:p>
      <w:pPr>
        <w:pStyle w:val="Normal"/>
        <w:spacing w:before="120" w:after="0"/>
        <w:ind w:left="851" w:hanging="0"/>
        <w:jc w:val="both"/>
        <w:rPr>
          <w:rFonts w:ascii="Verdana" w:hAnsi="Verdana" w:cs="Arial"/>
          <w:b/>
          <w:b/>
          <w:sz w:val="18"/>
          <w:szCs w:val="18"/>
        </w:rPr>
      </w:pPr>
      <w:r>
        <w:rPr>
          <w:rFonts w:cs="Arial" w:ascii="Verdana" w:hAnsi="Verdana"/>
          <w:b/>
          <w:sz w:val="18"/>
          <w:szCs w:val="18"/>
        </w:rPr>
        <w:t>a) os itens de contratação cujo valor é de até R$ 80.000,00 a participação será, exclusiva, de microempresas e empresas de pequeno porte; esta licitação é, portanto, exclusiva para ME/EPP.</w:t>
      </w:r>
    </w:p>
    <w:p>
      <w:pPr>
        <w:pStyle w:val="Normal"/>
        <w:spacing w:before="120" w:after="0"/>
        <w:ind w:left="851" w:hanging="0"/>
        <w:jc w:val="both"/>
        <w:rPr>
          <w:rFonts w:ascii="Verdana" w:hAnsi="Verdana" w:cs="Arial"/>
          <w:color w:val="000000"/>
          <w:sz w:val="18"/>
          <w:szCs w:val="18"/>
        </w:rPr>
      </w:pPr>
      <w:r>
        <w:rPr>
          <w:rFonts w:cs="Arial" w:ascii="Verdana" w:hAnsi="Verdana"/>
          <w:sz w:val="18"/>
          <w:szCs w:val="18"/>
        </w:rPr>
        <w:t>5.1.2 O credenciamento é o nível básico do registro cadastral no SICAF, que permite a participação dos interessados na modalidade licitatória Pregão, em sua forma eletrônica.</w:t>
      </w:r>
    </w:p>
    <w:p>
      <w:pPr>
        <w:pStyle w:val="Normal"/>
        <w:spacing w:before="120" w:after="0"/>
        <w:ind w:left="851" w:hanging="0"/>
        <w:jc w:val="both"/>
        <w:rPr>
          <w:rFonts w:ascii="Verdana" w:hAnsi="Verdana" w:cs="Arial"/>
          <w:color w:val="000000"/>
          <w:sz w:val="18"/>
          <w:szCs w:val="18"/>
        </w:rPr>
      </w:pPr>
      <w:r>
        <w:rPr>
          <w:rFonts w:cs="Arial" w:ascii="Verdana" w:hAnsi="Verdana"/>
          <w:sz w:val="18"/>
          <w:szCs w:val="18"/>
        </w:rPr>
        <w:t xml:space="preserve">5.1.3 </w:t>
      </w:r>
      <w:r>
        <w:rPr>
          <w:rFonts w:ascii="Verdana" w:hAnsi="Verdana"/>
          <w:sz w:val="18"/>
          <w:szCs w:val="18"/>
        </w:rPr>
        <w:t xml:space="preserve">O cadastramento e a habilitação parcial do licitante no Sistema de Cadastramento Unificado de Fornecedores – SICAF, de que trata a IN MARE n° 05/95, são válidos como parte dos requisitos mínimos de habilitação; </w:t>
      </w:r>
    </w:p>
    <w:p>
      <w:pPr>
        <w:pStyle w:val="Normal"/>
        <w:spacing w:before="120" w:after="0"/>
        <w:ind w:left="851" w:hanging="0"/>
        <w:jc w:val="both"/>
        <w:rPr>
          <w:rFonts w:ascii="Verdana" w:hAnsi="Verdana"/>
          <w:sz w:val="18"/>
          <w:szCs w:val="18"/>
        </w:rPr>
      </w:pPr>
      <w:r>
        <w:rPr>
          <w:rFonts w:cs="Arial" w:ascii="Verdana" w:hAnsi="Verdana"/>
          <w:sz w:val="18"/>
          <w:szCs w:val="18"/>
        </w:rPr>
        <w:t xml:space="preserve">5.1.4 </w:t>
      </w:r>
      <w:r>
        <w:rPr>
          <w:rFonts w:ascii="Verdana" w:hAnsi="Verdana"/>
          <w:sz w:val="18"/>
          <w:szCs w:val="18"/>
        </w:rPr>
        <w:t xml:space="preserve">Para o cadastramento o fornecedor interessado deverá acessar o SICAF no Portal de Compras do Governo Federal, com emprego de certificado digital, prestando as informações necessárias, e apresentando digitalmente a documentação exigida para cada nível. </w:t>
      </w:r>
    </w:p>
    <w:p>
      <w:pPr>
        <w:pStyle w:val="Normal"/>
        <w:spacing w:before="120" w:after="0"/>
        <w:ind w:left="851" w:hanging="0"/>
        <w:jc w:val="both"/>
        <w:rPr>
          <w:rFonts w:ascii="Verdana" w:hAnsi="Verdana"/>
          <w:sz w:val="18"/>
          <w:szCs w:val="18"/>
        </w:rPr>
      </w:pPr>
      <w:r>
        <w:rPr>
          <w:rFonts w:cs="Arial" w:ascii="Verdana" w:hAnsi="Verdana"/>
          <w:sz w:val="18"/>
          <w:szCs w:val="18"/>
        </w:rPr>
        <w:t xml:space="preserve">5.1.5 </w:t>
      </w:r>
      <w:r>
        <w:rPr>
          <w:rFonts w:ascii="Verdana" w:hAnsi="Verdana"/>
          <w:sz w:val="18"/>
          <w:szCs w:val="18"/>
        </w:rPr>
        <w:t>Para as microempresas e empresas de pequeno porte, a comprovação da regularidade fiscal e trabalhista somente será exigida para efeito da contratação e não como condição para participação na licitação</w:t>
      </w:r>
      <w:r>
        <w:rPr>
          <w:rFonts w:ascii="Verdana" w:hAnsi="Verdana"/>
          <w:color w:val="000000"/>
          <w:sz w:val="18"/>
          <w:szCs w:val="18"/>
        </w:rPr>
        <w:t>.</w:t>
      </w:r>
    </w:p>
    <w:p>
      <w:pPr>
        <w:pStyle w:val="Normal"/>
        <w:spacing w:before="120" w:after="0"/>
        <w:ind w:left="851" w:hanging="0"/>
        <w:jc w:val="both"/>
        <w:rPr>
          <w:rFonts w:ascii="Verdana" w:hAnsi="Verdana"/>
          <w:sz w:val="18"/>
          <w:szCs w:val="18"/>
        </w:rPr>
      </w:pPr>
      <w:r>
        <w:rPr>
          <w:rFonts w:cs="Arial" w:ascii="Verdana" w:hAnsi="Verdana"/>
          <w:sz w:val="18"/>
          <w:szCs w:val="18"/>
        </w:rPr>
        <w:t xml:space="preserve">5.1.6 </w:t>
      </w:r>
      <w:r>
        <w:rPr>
          <w:rFonts w:ascii="Verdana" w:hAnsi="Verdana"/>
          <w:color w:val="000000"/>
          <w:sz w:val="18"/>
          <w:szCs w:val="18"/>
        </w:rPr>
        <w:t>As licitantes beneficiadas pelo Decreto 8.538/2015 deverão enviar declaração de que cumprem os requisitos legais para a qualificação como microempresa ou empresa de pequeno porte, estando aptas a usufruir do tratamento favorecido pela LC 123/2006 e deste Edital. A declaração deverá ser enviada juntamente com a proposta de preços</w:t>
      </w:r>
      <w:r>
        <w:rPr>
          <w:rFonts w:ascii="Verdana" w:hAnsi="Verdana"/>
          <w:sz w:val="18"/>
          <w:szCs w:val="18"/>
        </w:rPr>
        <w:t>.</w:t>
      </w:r>
    </w:p>
    <w:p>
      <w:pPr>
        <w:pStyle w:val="Normal"/>
        <w:ind w:left="851" w:hanging="0"/>
        <w:jc w:val="both"/>
        <w:rPr>
          <w:rFonts w:ascii="Verdana" w:hAnsi="Verdana" w:cs="Arial"/>
          <w:color w:val="000000"/>
          <w:sz w:val="18"/>
          <w:szCs w:val="18"/>
        </w:rPr>
      </w:pPr>
      <w:r>
        <w:rPr>
          <w:rFonts w:cs="Arial" w:ascii="Verdana" w:hAnsi="Verdana"/>
          <w:color w:val="000000"/>
          <w:sz w:val="18"/>
          <w:szCs w:val="18"/>
        </w:rPr>
      </w:r>
    </w:p>
    <w:p>
      <w:pPr>
        <w:pStyle w:val="Normal"/>
        <w:ind w:left="851" w:hanging="0"/>
        <w:jc w:val="both"/>
        <w:rPr>
          <w:rFonts w:ascii="Verdana" w:hAnsi="Verdana" w:cs="Arial"/>
          <w:color w:val="000000"/>
          <w:sz w:val="18"/>
          <w:szCs w:val="18"/>
        </w:rPr>
      </w:pPr>
      <w:r>
        <w:rPr>
          <w:rFonts w:cs="Arial" w:ascii="Verdana" w:hAnsi="Verdana"/>
          <w:color w:val="000000"/>
          <w:sz w:val="18"/>
          <w:szCs w:val="18"/>
        </w:rPr>
        <w:t xml:space="preserve">5.1.7 </w:t>
      </w:r>
      <w:r>
        <w:rPr>
          <w:rFonts w:ascii="Verdana" w:hAnsi="Verdana"/>
          <w:b/>
          <w:bCs/>
          <w:color w:val="000000"/>
          <w:sz w:val="18"/>
          <w:szCs w:val="18"/>
        </w:rPr>
        <w:t>O enquadramento como microempresa ou empresa de pequeno porte dar-se-á nas condições do Estatuto Nacional da Microempresa e Empresa de Pequeno Porte, instituído pela LC 123/2006, em especial quanto ao seu art. 3º.</w:t>
      </w:r>
    </w:p>
    <w:p>
      <w:pPr>
        <w:pStyle w:val="Normal"/>
        <w:spacing w:before="120" w:after="0"/>
        <w:ind w:left="851" w:hanging="0"/>
        <w:jc w:val="both"/>
        <w:rPr>
          <w:rFonts w:ascii="Verdana" w:hAnsi="Verdana" w:cs="Arial"/>
          <w:color w:val="000000"/>
          <w:sz w:val="18"/>
          <w:szCs w:val="18"/>
        </w:rPr>
      </w:pPr>
      <w:r>
        <w:rPr>
          <w:rFonts w:cs="Arial" w:ascii="Verdana" w:hAnsi="Verdana"/>
          <w:color w:val="000000"/>
          <w:sz w:val="18"/>
          <w:szCs w:val="18"/>
        </w:rPr>
        <w:t xml:space="preserve">5.1.8. </w:t>
      </w:r>
      <w:r>
        <w:rPr>
          <w:rFonts w:ascii="Verdana" w:hAnsi="Verdana"/>
          <w:color w:val="000000"/>
          <w:sz w:val="18"/>
          <w:szCs w:val="18"/>
        </w:rPr>
        <w:t xml:space="preserve">A utilização dos benefícios concedidos pela LC nº 123/2006 por licitante que </w:t>
      </w:r>
      <w:r>
        <w:rPr>
          <w:rFonts w:ascii="Verdana" w:hAnsi="Verdana"/>
          <w:b/>
          <w:bCs/>
          <w:color w:val="000000"/>
          <w:sz w:val="18"/>
          <w:szCs w:val="18"/>
        </w:rPr>
        <w:t>não se enquadra na definição legal reservada a essas categorias configura fraude ao certame, sujeitando a mesma à aplicação de penalidade de impedimento de licitar e contratar com a União,</w:t>
      </w:r>
      <w:r>
        <w:rPr>
          <w:rFonts w:ascii="Verdana" w:hAnsi="Verdana"/>
          <w:b/>
          <w:bCs/>
          <w:i/>
          <w:iCs/>
          <w:color w:val="000000"/>
          <w:sz w:val="18"/>
          <w:szCs w:val="18"/>
        </w:rPr>
        <w:t xml:space="preserve"> </w:t>
      </w:r>
      <w:r>
        <w:rPr>
          <w:rFonts w:ascii="Verdana" w:hAnsi="Verdana"/>
          <w:color w:val="000000"/>
          <w:sz w:val="18"/>
          <w:szCs w:val="18"/>
        </w:rPr>
        <w:t xml:space="preserve">além de ser descredenciada do SICAF, pelo </w:t>
      </w:r>
      <w:r>
        <w:rPr>
          <w:rFonts w:ascii="Verdana" w:hAnsi="Verdana"/>
          <w:b/>
          <w:bCs/>
          <w:color w:val="000000"/>
          <w:sz w:val="18"/>
          <w:szCs w:val="18"/>
        </w:rPr>
        <w:t>prazo de até 05 (cinco) anos</w:t>
      </w:r>
      <w:r>
        <w:rPr>
          <w:rFonts w:ascii="Verdana" w:hAnsi="Verdana"/>
          <w:color w:val="000000"/>
          <w:sz w:val="18"/>
          <w:szCs w:val="18"/>
        </w:rPr>
        <w:t>, sem prejuízo das multas previstas neste edital e das demais cominações legais.</w:t>
      </w:r>
    </w:p>
    <w:p>
      <w:pPr>
        <w:pStyle w:val="Normal"/>
        <w:ind w:left="851" w:hanging="0"/>
        <w:jc w:val="both"/>
        <w:rPr>
          <w:rFonts w:ascii="Verdana" w:hAnsi="Verdana" w:cs="Arial"/>
          <w:sz w:val="18"/>
          <w:szCs w:val="18"/>
        </w:rPr>
      </w:pPr>
      <w:r>
        <w:rPr>
          <w:rFonts w:cs="Arial" w:ascii="Verdana" w:hAnsi="Verdana"/>
          <w:sz w:val="18"/>
          <w:szCs w:val="18"/>
        </w:rPr>
      </w:r>
    </w:p>
    <w:p>
      <w:pPr>
        <w:pStyle w:val="Normal"/>
        <w:ind w:left="851" w:hanging="0"/>
        <w:jc w:val="both"/>
        <w:rPr>
          <w:rFonts w:ascii="Verdana" w:hAnsi="Verdana" w:cs="Arial"/>
          <w:sz w:val="18"/>
          <w:szCs w:val="18"/>
        </w:rPr>
      </w:pPr>
      <w:r>
        <w:rPr>
          <w:rFonts w:cs="Arial" w:ascii="Verdana" w:hAnsi="Verdana"/>
          <w:sz w:val="18"/>
          <w:szCs w:val="18"/>
        </w:rPr>
        <w:t xml:space="preserve">5.1.9. </w:t>
      </w:r>
      <w:r>
        <w:rPr>
          <w:rFonts w:ascii="Verdana" w:hAnsi="Verdana"/>
          <w:color w:val="000000"/>
          <w:sz w:val="18"/>
          <w:szCs w:val="18"/>
        </w:rPr>
        <w:t>A UFVJM, caso julgue necessário e considerando o teor do Acórdão TCU nº 298/2011 – Plenário adotará procedimentos complementares, mediante diligência, tais como solicitação de demonstrativos contábeis e/ou outros documentos que julgue necessários, a fim de ratificar o atendimento, pelas licitantes, às exigências da LC nº 123/2006 e do Decreto 8.538/2015.</w:t>
      </w:r>
    </w:p>
    <w:p>
      <w:pPr>
        <w:pStyle w:val="Normal"/>
        <w:numPr>
          <w:ilvl w:val="1"/>
          <w:numId w:val="22"/>
        </w:numPr>
        <w:spacing w:before="120" w:after="0"/>
        <w:jc w:val="both"/>
        <w:rPr>
          <w:rFonts w:ascii="Verdana" w:hAnsi="Verdana" w:cs="Arial"/>
          <w:sz w:val="18"/>
          <w:szCs w:val="18"/>
        </w:rPr>
      </w:pPr>
      <w:r>
        <w:rPr>
          <w:rFonts w:cs="Arial" w:ascii="Verdana" w:hAnsi="Verdana"/>
          <w:sz w:val="18"/>
          <w:szCs w:val="18"/>
        </w:rPr>
        <w:t>A licitante deverá cumprir o que determina o Artigo 13, incisos I ao VII do Decreto 5.450/2005;</w:t>
      </w:r>
    </w:p>
    <w:p>
      <w:pPr>
        <w:pStyle w:val="Normal"/>
        <w:numPr>
          <w:ilvl w:val="1"/>
          <w:numId w:val="22"/>
        </w:numPr>
        <w:spacing w:before="120" w:after="0"/>
        <w:jc w:val="both"/>
        <w:rPr>
          <w:rFonts w:ascii="Verdana" w:hAnsi="Verdana" w:cs="Arial"/>
          <w:sz w:val="18"/>
          <w:szCs w:val="18"/>
        </w:rPr>
      </w:pPr>
      <w:r>
        <w:rPr>
          <w:rFonts w:ascii="Verdana" w:hAnsi="Verdana"/>
          <w:color w:val="000000"/>
          <w:sz w:val="18"/>
          <w:szCs w:val="18"/>
        </w:rPr>
        <w:t>A licitante deverá manifestar, em campo próprio do sistema eletrônico, o pleno conhecimento e atendimento às exigências de habilitação previstas no Edital – § 2°, Artigo 21, Decreto 5.450/2005</w:t>
      </w:r>
      <w:r>
        <w:rPr>
          <w:rFonts w:cs="Arial" w:ascii="Verdana" w:hAnsi="Verdana"/>
          <w:sz w:val="18"/>
          <w:szCs w:val="18"/>
        </w:rPr>
        <w:t>;</w:t>
      </w:r>
    </w:p>
    <w:p>
      <w:pPr>
        <w:pStyle w:val="Normal"/>
        <w:numPr>
          <w:ilvl w:val="1"/>
          <w:numId w:val="22"/>
        </w:numPr>
        <w:spacing w:before="120" w:after="0"/>
        <w:ind w:left="788" w:hanging="431"/>
        <w:jc w:val="both"/>
        <w:rPr>
          <w:rFonts w:ascii="Verdana" w:hAnsi="Verdana" w:cs="Arial"/>
          <w:b/>
          <w:b/>
          <w:sz w:val="18"/>
          <w:szCs w:val="18"/>
        </w:rPr>
      </w:pPr>
      <w:r>
        <w:rPr>
          <w:rFonts w:cs="Arial" w:ascii="Verdana" w:hAnsi="Verdana"/>
          <w:sz w:val="18"/>
          <w:szCs w:val="18"/>
        </w:rPr>
        <w:t>Não será admitida nesta licitação a participação de:</w:t>
      </w:r>
    </w:p>
    <w:p>
      <w:pPr>
        <w:pStyle w:val="11"/>
        <w:tabs>
          <w:tab w:val="left" w:pos="900" w:leader="none"/>
        </w:tabs>
        <w:spacing w:before="120" w:after="0"/>
        <w:ind w:left="709" w:right="-1" w:hanging="0"/>
        <w:rPr>
          <w:rFonts w:ascii="Verdana" w:hAnsi="Verdana" w:cs="Arial"/>
          <w:b/>
          <w:b/>
          <w:sz w:val="18"/>
          <w:szCs w:val="18"/>
        </w:rPr>
      </w:pPr>
      <w:r>
        <w:rPr>
          <w:rFonts w:cs="Arial" w:ascii="Verdana" w:hAnsi="Verdana"/>
          <w:b/>
          <w:sz w:val="18"/>
          <w:szCs w:val="18"/>
        </w:rPr>
        <w:t xml:space="preserve">a) </w:t>
      </w:r>
      <w:r>
        <w:rPr>
          <w:rFonts w:cs="Arial" w:ascii="Verdana" w:hAnsi="Verdana"/>
          <w:sz w:val="18"/>
          <w:szCs w:val="18"/>
        </w:rPr>
        <w:t>empresas que estejam temporariamente suspensas de participar em licitação e/ou impedidas de contratar com a Administração e ainda aquelas empresas que tenham sido declaradas inidôneas para licitar ou contratar com a Administração Pública.</w:t>
      </w:r>
    </w:p>
    <w:p>
      <w:pPr>
        <w:pStyle w:val="10"/>
        <w:tabs>
          <w:tab w:val="left" w:pos="900" w:leader="none"/>
          <w:tab w:val="left" w:pos="1854" w:leader="none"/>
        </w:tabs>
        <w:spacing w:before="120" w:after="0"/>
        <w:ind w:left="709" w:right="-1" w:hanging="0"/>
        <w:rPr>
          <w:rFonts w:ascii="Verdana" w:hAnsi="Verdana" w:cs="Arial"/>
          <w:b/>
          <w:b/>
          <w:sz w:val="18"/>
          <w:szCs w:val="18"/>
        </w:rPr>
      </w:pPr>
      <w:r>
        <w:rPr>
          <w:rFonts w:cs="Arial" w:ascii="Verdana" w:hAnsi="Verdana"/>
          <w:b/>
          <w:sz w:val="18"/>
          <w:szCs w:val="18"/>
        </w:rPr>
        <w:t xml:space="preserve">b) </w:t>
      </w:r>
      <w:r>
        <w:rPr>
          <w:rFonts w:cs="Arial" w:ascii="Verdana" w:hAnsi="Verdana"/>
          <w:sz w:val="18"/>
          <w:szCs w:val="18"/>
        </w:rPr>
        <w:t>de empresas que estejam reunidas em consórcio e sejam controladoras coligadas ou subsidiárias entre si quaisquer que seja sua forma de constituição;</w:t>
      </w:r>
    </w:p>
    <w:p>
      <w:pPr>
        <w:pStyle w:val="10"/>
        <w:tabs>
          <w:tab w:val="left" w:pos="900" w:leader="none"/>
        </w:tabs>
        <w:spacing w:before="120" w:after="0"/>
        <w:ind w:left="709" w:right="-1" w:hanging="0"/>
        <w:rPr>
          <w:rFonts w:ascii="Verdana" w:hAnsi="Verdana" w:cs="Arial"/>
          <w:b/>
          <w:b/>
          <w:sz w:val="18"/>
          <w:szCs w:val="18"/>
        </w:rPr>
      </w:pPr>
      <w:r>
        <w:rPr>
          <w:rFonts w:cs="Arial" w:ascii="Verdana" w:hAnsi="Verdana"/>
          <w:b/>
          <w:sz w:val="18"/>
          <w:szCs w:val="18"/>
        </w:rPr>
        <w:t>c)</w:t>
      </w:r>
      <w:r>
        <w:rPr>
          <w:rFonts w:cs="Arial" w:ascii="Verdana" w:hAnsi="Verdana"/>
          <w:sz w:val="18"/>
          <w:szCs w:val="18"/>
        </w:rPr>
        <w:t xml:space="preserve"> de empresas estrangeiras que não funcionem no país;</w:t>
      </w:r>
    </w:p>
    <w:p>
      <w:pPr>
        <w:pStyle w:val="10"/>
        <w:tabs>
          <w:tab w:val="left" w:pos="900" w:leader="none"/>
          <w:tab w:val="left" w:pos="1854" w:leader="none"/>
        </w:tabs>
        <w:spacing w:before="120" w:after="0"/>
        <w:ind w:left="709" w:right="-1" w:hanging="0"/>
        <w:rPr>
          <w:rFonts w:ascii="Verdana" w:hAnsi="Verdana" w:cs="Arial"/>
          <w:b/>
          <w:b/>
          <w:sz w:val="18"/>
          <w:szCs w:val="18"/>
        </w:rPr>
      </w:pPr>
      <w:r>
        <w:rPr>
          <w:rFonts w:cs="Arial" w:ascii="Verdana" w:hAnsi="Verdana"/>
          <w:b/>
          <w:sz w:val="18"/>
          <w:szCs w:val="18"/>
        </w:rPr>
        <w:t xml:space="preserve">d) </w:t>
      </w:r>
      <w:r>
        <w:rPr>
          <w:rFonts w:cs="Arial" w:ascii="Verdana" w:hAnsi="Verdana"/>
          <w:sz w:val="18"/>
          <w:szCs w:val="18"/>
        </w:rPr>
        <w:t>de empresas que estejam inadimplentes com a UFVJM, mediante apuração em processo cabível encerrado e registrado no SICAF;</w:t>
      </w:r>
    </w:p>
    <w:p>
      <w:pPr>
        <w:pStyle w:val="10"/>
        <w:tabs>
          <w:tab w:val="left" w:pos="900" w:leader="none"/>
          <w:tab w:val="left" w:pos="1854" w:leader="none"/>
        </w:tabs>
        <w:spacing w:before="120" w:after="0"/>
        <w:ind w:left="709" w:right="-1" w:hanging="0"/>
        <w:rPr>
          <w:rFonts w:ascii="Verdana" w:hAnsi="Verdana" w:cs="Arial"/>
          <w:b/>
          <w:b/>
          <w:sz w:val="18"/>
          <w:szCs w:val="18"/>
        </w:rPr>
      </w:pPr>
      <w:r>
        <w:rPr>
          <w:rFonts w:cs="Arial" w:ascii="Verdana" w:hAnsi="Verdana"/>
          <w:b/>
          <w:sz w:val="18"/>
          <w:szCs w:val="18"/>
        </w:rPr>
        <w:t xml:space="preserve">e) </w:t>
      </w:r>
      <w:r>
        <w:rPr>
          <w:rFonts w:cs="Arial" w:ascii="Verdana" w:hAnsi="Verdana"/>
          <w:sz w:val="18"/>
          <w:szCs w:val="18"/>
        </w:rPr>
        <w:t>de empresas que tenham entre seus sócios ou dirigentes servidor ou dirigente da UFVJM;</w:t>
      </w:r>
    </w:p>
    <w:p>
      <w:pPr>
        <w:pStyle w:val="10"/>
        <w:tabs>
          <w:tab w:val="left" w:pos="900" w:leader="none"/>
          <w:tab w:val="left" w:pos="1854" w:leader="none"/>
        </w:tabs>
        <w:spacing w:before="120" w:after="0"/>
        <w:ind w:left="709" w:right="-1" w:hanging="0"/>
        <w:rPr>
          <w:rFonts w:ascii="Verdana" w:hAnsi="Verdana" w:cs="Arial"/>
          <w:b/>
          <w:b/>
          <w:sz w:val="18"/>
          <w:szCs w:val="18"/>
        </w:rPr>
      </w:pPr>
      <w:r>
        <w:rPr>
          <w:rFonts w:cs="Arial" w:ascii="Verdana" w:hAnsi="Verdana"/>
          <w:b/>
          <w:sz w:val="18"/>
          <w:szCs w:val="18"/>
        </w:rPr>
        <w:t xml:space="preserve">f) </w:t>
      </w:r>
      <w:r>
        <w:rPr>
          <w:rFonts w:cs="Arial" w:ascii="Verdana" w:hAnsi="Verdana"/>
          <w:sz w:val="18"/>
          <w:szCs w:val="18"/>
        </w:rPr>
        <w:t>de</w:t>
      </w:r>
      <w:r>
        <w:rPr>
          <w:rFonts w:cs="Arial" w:ascii="Verdana" w:hAnsi="Verdana"/>
          <w:b/>
          <w:sz w:val="18"/>
          <w:szCs w:val="18"/>
        </w:rPr>
        <w:t xml:space="preserve"> </w:t>
      </w:r>
      <w:r>
        <w:rPr>
          <w:rFonts w:cs="Arial" w:ascii="Verdana" w:hAnsi="Verdana"/>
          <w:sz w:val="18"/>
          <w:szCs w:val="18"/>
        </w:rPr>
        <w:t>empresas impedidas de licitar e contratar com a União;</w:t>
      </w:r>
    </w:p>
    <w:p>
      <w:pPr>
        <w:pStyle w:val="10"/>
        <w:tabs>
          <w:tab w:val="left" w:pos="900" w:leader="none"/>
          <w:tab w:val="left" w:pos="1854" w:leader="none"/>
        </w:tabs>
        <w:spacing w:before="120" w:after="0"/>
        <w:ind w:left="709" w:right="-1" w:hanging="0"/>
        <w:rPr>
          <w:rFonts w:ascii="Verdana" w:hAnsi="Verdana" w:cs="Arial"/>
          <w:sz w:val="18"/>
          <w:szCs w:val="18"/>
        </w:rPr>
      </w:pPr>
      <w:r>
        <w:rPr>
          <w:rFonts w:cs="Arial" w:ascii="Verdana" w:hAnsi="Verdana"/>
          <w:b/>
          <w:sz w:val="18"/>
          <w:szCs w:val="18"/>
        </w:rPr>
        <w:t xml:space="preserve">g) </w:t>
      </w:r>
      <w:r>
        <w:rPr>
          <w:rFonts w:cs="Arial" w:ascii="Verdana" w:hAnsi="Verdana"/>
          <w:sz w:val="18"/>
          <w:szCs w:val="18"/>
        </w:rPr>
        <w:t>de empresas que estejam sob falência, em recuperação judicial ou extrajudicial, concurso de credores, concordata ou insolvência, em processo de dissolução ou liquidação.</w:t>
      </w:r>
    </w:p>
    <w:p>
      <w:pPr>
        <w:pStyle w:val="Normal"/>
        <w:numPr>
          <w:ilvl w:val="1"/>
          <w:numId w:val="22"/>
        </w:numPr>
        <w:spacing w:before="120" w:after="0"/>
        <w:ind w:left="788" w:hanging="431"/>
        <w:jc w:val="both"/>
        <w:rPr>
          <w:rFonts w:ascii="Verdana" w:hAnsi="Verdana" w:cs="Arial"/>
          <w:sz w:val="18"/>
          <w:szCs w:val="18"/>
        </w:rPr>
      </w:pPr>
      <w:r>
        <w:rPr>
          <w:rFonts w:cs="Arial" w:ascii="Verdana" w:hAnsi="Verdana"/>
          <w:sz w:val="18"/>
          <w:szCs w:val="18"/>
        </w:rPr>
        <w:t xml:space="preserve">As licitantes ou seus representantes legais deverão estar </w:t>
      </w:r>
      <w:r>
        <w:rPr>
          <w:rFonts w:cs="Arial" w:ascii="Verdana" w:hAnsi="Verdana"/>
          <w:b/>
          <w:sz w:val="18"/>
          <w:szCs w:val="18"/>
        </w:rPr>
        <w:t xml:space="preserve">previamente credenciados junto ao órgão provedor, </w:t>
      </w:r>
      <w:r>
        <w:rPr>
          <w:rFonts w:cs="Arial" w:ascii="Verdana" w:hAnsi="Verdana"/>
          <w:sz w:val="18"/>
          <w:szCs w:val="18"/>
        </w:rPr>
        <w:t>sendo o uso da senha de acesso de responsabilidade exclusiva do usuário;</w:t>
      </w:r>
    </w:p>
    <w:p>
      <w:pPr>
        <w:pStyle w:val="Normal"/>
        <w:numPr>
          <w:ilvl w:val="1"/>
          <w:numId w:val="22"/>
        </w:numPr>
        <w:spacing w:before="120" w:after="0"/>
        <w:ind w:left="788" w:hanging="431"/>
        <w:jc w:val="both"/>
        <w:rPr>
          <w:rFonts w:ascii="Verdana" w:hAnsi="Verdana" w:cs="Arial"/>
          <w:b/>
          <w:b/>
          <w:sz w:val="18"/>
          <w:szCs w:val="18"/>
        </w:rPr>
      </w:pPr>
      <w:r>
        <w:rPr>
          <w:rFonts w:cs="Arial" w:ascii="Verdana" w:hAnsi="Verdana"/>
          <w:sz w:val="18"/>
          <w:szCs w:val="18"/>
        </w:rPr>
        <w:t>O credenciamento junto ao provedor do sistema implica na responsabilidade do licitante ou de seu representante e na presunção de capacidade técnica para realização das transações inerentes ao pregão eletrônico (§ 6º, Artigo 3º do Decreto nº 5.450/2005);</w:t>
      </w:r>
      <w:r>
        <w:rPr>
          <w:rFonts w:cs="Arial" w:ascii="Verdana" w:hAnsi="Verdana"/>
          <w:b/>
          <w:bCs/>
          <w:sz w:val="18"/>
          <w:szCs w:val="18"/>
        </w:rPr>
        <w:t xml:space="preserve"> </w:t>
      </w:r>
    </w:p>
    <w:p>
      <w:pPr>
        <w:pStyle w:val="Normal"/>
        <w:numPr>
          <w:ilvl w:val="1"/>
          <w:numId w:val="22"/>
        </w:numPr>
        <w:spacing w:before="120" w:after="0"/>
        <w:ind w:left="788" w:hanging="431"/>
        <w:jc w:val="both"/>
        <w:rPr/>
      </w:pPr>
      <w:r>
        <w:rPr>
          <w:rFonts w:cs="Arial" w:ascii="Verdana" w:hAnsi="Verdana"/>
          <w:b/>
          <w:sz w:val="18"/>
          <w:szCs w:val="18"/>
        </w:rPr>
        <w:t xml:space="preserve">As especificações dos Anexos deste Edital em nenhum momento serão substituídas pelas descrições resumidas, constantes no Aviso divulgado no sitio </w:t>
      </w:r>
      <w:hyperlink r:id="rId21">
        <w:r>
          <w:rPr>
            <w:rStyle w:val="LinkdaInternet"/>
            <w:rFonts w:cs="Verdana" w:ascii="Verdana" w:hAnsi="Verdana"/>
            <w:sz w:val="18"/>
            <w:szCs w:val="18"/>
          </w:rPr>
          <w:t>www.comprasgovernamentais.gov.br</w:t>
        </w:r>
      </w:hyperlink>
      <w:r>
        <w:rPr>
          <w:rFonts w:cs="Arial" w:ascii="Verdana" w:hAnsi="Verdana"/>
          <w:sz w:val="18"/>
          <w:szCs w:val="18"/>
        </w:rPr>
        <w:t>. Em caso de divergência nas especificações, prevalecerão as dos Anexos deste Edital.</w:t>
      </w:r>
    </w:p>
    <w:p>
      <w:pPr>
        <w:pStyle w:val="Normal"/>
        <w:jc w:val="both"/>
        <w:rPr>
          <w:rFonts w:ascii="Verdana" w:hAnsi="Verdana" w:cs="Arial"/>
          <w:b/>
          <w:b/>
          <w:sz w:val="18"/>
          <w:szCs w:val="18"/>
        </w:rPr>
      </w:pPr>
      <w:r>
        <w:rPr>
          <w:rFonts w:cs="Arial" w:ascii="Verdana" w:hAnsi="Verdana"/>
          <w:b/>
          <w:sz w:val="18"/>
          <w:szCs w:val="18"/>
        </w:rPr>
      </w:r>
    </w:p>
    <w:p>
      <w:pPr>
        <w:pStyle w:val="Normal"/>
        <w:numPr>
          <w:ilvl w:val="0"/>
          <w:numId w:val="22"/>
        </w:numPr>
        <w:jc w:val="both"/>
        <w:rPr>
          <w:rFonts w:ascii="Verdana" w:hAnsi="Verdana" w:cs="Arial"/>
          <w:b/>
          <w:b/>
          <w:sz w:val="18"/>
          <w:szCs w:val="18"/>
        </w:rPr>
      </w:pPr>
      <w:r>
        <w:rPr>
          <w:rFonts w:cs="Arial" w:ascii="Verdana" w:hAnsi="Verdana"/>
          <w:b/>
          <w:sz w:val="18"/>
          <w:szCs w:val="18"/>
          <w:highlight w:val="yellow"/>
        </w:rPr>
        <w:t>DATA, HORÁRIO E LOCAL DA SESSÃO PÚBLICA PARA OS LANCES</w:t>
      </w:r>
    </w:p>
    <w:p>
      <w:pPr>
        <w:pStyle w:val="Normal"/>
        <w:numPr>
          <w:ilvl w:val="1"/>
          <w:numId w:val="22"/>
        </w:numPr>
        <w:jc w:val="both"/>
        <w:rPr>
          <w:highlight w:val="yellow"/>
        </w:rPr>
      </w:pPr>
      <w:r>
        <w:rPr>
          <w:rFonts w:cs="Arial" w:ascii="Verdana" w:hAnsi="Verdana"/>
          <w:b/>
          <w:sz w:val="18"/>
          <w:szCs w:val="18"/>
          <w:highlight w:val="yellow"/>
        </w:rPr>
        <w:t xml:space="preserve">DATA: </w:t>
      </w:r>
      <w:r>
        <w:rPr>
          <w:rFonts w:cs="Arial" w:ascii="Verdana" w:hAnsi="Verdana"/>
          <w:b/>
          <w:sz w:val="18"/>
          <w:szCs w:val="18"/>
          <w:highlight w:val="yellow"/>
        </w:rPr>
        <w:t>04/10/2018</w:t>
      </w:r>
    </w:p>
    <w:p>
      <w:pPr>
        <w:pStyle w:val="Normal"/>
        <w:numPr>
          <w:ilvl w:val="1"/>
          <w:numId w:val="22"/>
        </w:numPr>
        <w:jc w:val="both"/>
        <w:rPr>
          <w:highlight w:val="yellow"/>
        </w:rPr>
      </w:pPr>
      <w:r>
        <w:rPr>
          <w:rFonts w:cs="Arial" w:ascii="Verdana" w:hAnsi="Verdana"/>
          <w:b/>
          <w:sz w:val="18"/>
          <w:szCs w:val="18"/>
          <w:highlight w:val="yellow"/>
        </w:rPr>
        <w:t xml:space="preserve">HORÁRIO: </w:t>
      </w:r>
      <w:r>
        <w:rPr>
          <w:rFonts w:cs="Arial" w:ascii="Verdana" w:hAnsi="Verdana"/>
          <w:b/>
          <w:sz w:val="18"/>
          <w:szCs w:val="18"/>
          <w:highlight w:val="yellow"/>
        </w:rPr>
        <w:t>09:00</w:t>
      </w:r>
    </w:p>
    <w:p>
      <w:pPr>
        <w:pStyle w:val="Normal"/>
        <w:numPr>
          <w:ilvl w:val="1"/>
          <w:numId w:val="22"/>
        </w:numPr>
        <w:jc w:val="both"/>
        <w:rPr/>
      </w:pPr>
      <w:r>
        <w:rPr>
          <w:rFonts w:cs="Arial" w:ascii="Verdana" w:hAnsi="Verdana"/>
          <w:b/>
          <w:sz w:val="18"/>
          <w:szCs w:val="18"/>
          <w:highlight w:val="yellow"/>
        </w:rPr>
        <w:t xml:space="preserve">LOCAL: </w:t>
      </w:r>
      <w:hyperlink r:id="rId22">
        <w:r>
          <w:rPr>
            <w:rStyle w:val="LinkdaInternet"/>
            <w:rFonts w:cs="Verdana" w:ascii="Verdana" w:hAnsi="Verdana"/>
            <w:sz w:val="18"/>
            <w:szCs w:val="18"/>
            <w:highlight w:val="yellow"/>
          </w:rPr>
          <w:t>http://www.comprasgovernamentais.gov.br</w:t>
        </w:r>
      </w:hyperlink>
    </w:p>
    <w:p>
      <w:pPr>
        <w:pStyle w:val="Normal"/>
        <w:ind w:left="360" w:hanging="0"/>
        <w:jc w:val="both"/>
        <w:rPr>
          <w:rFonts w:ascii="Verdana" w:hAnsi="Verdana" w:cs="Arial"/>
          <w:b/>
          <w:b/>
          <w:sz w:val="18"/>
          <w:szCs w:val="18"/>
        </w:rPr>
      </w:pPr>
      <w:r>
        <w:rPr>
          <w:rFonts w:cs="Arial" w:ascii="Verdana" w:hAnsi="Verdana"/>
          <w:b/>
          <w:sz w:val="18"/>
          <w:szCs w:val="18"/>
        </w:rPr>
      </w:r>
    </w:p>
    <w:p>
      <w:pPr>
        <w:pStyle w:val="Normal"/>
        <w:jc w:val="both"/>
        <w:rPr>
          <w:rFonts w:ascii="Verdana" w:hAnsi="Verdana" w:cs="Arial"/>
          <w:sz w:val="18"/>
          <w:szCs w:val="18"/>
        </w:rPr>
      </w:pPr>
      <w:r>
        <w:rPr>
          <w:rFonts w:cs="Arial" w:ascii="Verdana" w:hAnsi="Verdana"/>
          <w:b/>
          <w:sz w:val="18"/>
          <w:szCs w:val="18"/>
        </w:rPr>
        <w:t xml:space="preserve">OBS: </w:t>
      </w:r>
      <w:r>
        <w:rPr>
          <w:rFonts w:cs="Arial" w:ascii="Verdana" w:hAnsi="Verdana"/>
          <w:sz w:val="18"/>
          <w:szCs w:val="18"/>
        </w:rPr>
        <w:t>Todos os horários estipulados neste edital obedecerão, para todos os efeitos, o horário oficial de Brasília.</w:t>
      </w:r>
    </w:p>
    <w:p>
      <w:pPr>
        <w:pStyle w:val="Normal"/>
        <w:jc w:val="both"/>
        <w:rPr>
          <w:rFonts w:ascii="Verdana" w:hAnsi="Verdana" w:cs="Arial"/>
          <w:sz w:val="18"/>
          <w:szCs w:val="18"/>
        </w:rPr>
      </w:pPr>
      <w:r>
        <w:rPr>
          <w:rFonts w:cs="Arial" w:ascii="Verdana" w:hAnsi="Verdana"/>
          <w:sz w:val="18"/>
          <w:szCs w:val="18"/>
        </w:rPr>
      </w:r>
    </w:p>
    <w:p>
      <w:pPr>
        <w:pStyle w:val="Normal"/>
        <w:numPr>
          <w:ilvl w:val="0"/>
          <w:numId w:val="22"/>
        </w:numPr>
        <w:jc w:val="both"/>
        <w:rPr>
          <w:rFonts w:ascii="Verdana" w:hAnsi="Verdana" w:cs="Arial"/>
          <w:sz w:val="18"/>
          <w:szCs w:val="18"/>
        </w:rPr>
      </w:pPr>
      <w:r>
        <w:rPr>
          <w:rFonts w:cs="Arial" w:ascii="Verdana" w:hAnsi="Verdana"/>
          <w:b/>
          <w:sz w:val="18"/>
          <w:szCs w:val="18"/>
        </w:rPr>
        <w:t>DA REMESSA ELETRÔNICA, ENVIO DAS PROPOSTAS E DOCUMENTOS PARA HABILITAÇÃO</w:t>
      </w:r>
    </w:p>
    <w:p>
      <w:pPr>
        <w:pStyle w:val="Normal"/>
        <w:numPr>
          <w:ilvl w:val="1"/>
          <w:numId w:val="23"/>
        </w:numPr>
        <w:spacing w:before="120" w:after="0"/>
        <w:jc w:val="both"/>
        <w:rPr>
          <w:rFonts w:ascii="Verdana" w:hAnsi="Verdana" w:cs="Arial"/>
          <w:caps/>
          <w:color w:val="0000FF"/>
          <w:sz w:val="18"/>
          <w:szCs w:val="18"/>
        </w:rPr>
      </w:pPr>
      <w:r>
        <w:rPr>
          <w:rFonts w:ascii="Verdana" w:hAnsi="Verdana"/>
          <w:color w:val="000000"/>
          <w:sz w:val="18"/>
          <w:szCs w:val="18"/>
        </w:rPr>
        <w:t xml:space="preserve">O lançamento da proposta poderá ocorrer a partir da data de liberação do edital no Comprasgovernamentais, até o horário estipulado para início da sessão pública de lances. Durante este período, o fornecedor poderá incluir, modificar ou excluir proposta. Para inclusão, os licitantes credenciados efetuarão o lançamento do </w:t>
      </w:r>
      <w:r>
        <w:rPr>
          <w:rFonts w:ascii="Verdana" w:hAnsi="Verdana"/>
          <w:b/>
          <w:bCs/>
          <w:color w:val="000000"/>
          <w:sz w:val="18"/>
          <w:szCs w:val="18"/>
        </w:rPr>
        <w:t>VALOR UNITÁRIO</w:t>
      </w:r>
      <w:r>
        <w:rPr>
          <w:rFonts w:ascii="Verdana" w:hAnsi="Verdana"/>
          <w:color w:val="000000"/>
          <w:sz w:val="18"/>
          <w:szCs w:val="18"/>
        </w:rPr>
        <w:t xml:space="preserve"> de cada item da proposta, através do sitio </w:t>
      </w:r>
      <w:r>
        <w:rPr>
          <w:rFonts w:ascii="Verdana" w:hAnsi="Verdana"/>
          <w:color w:val="0000FF"/>
          <w:sz w:val="18"/>
          <w:szCs w:val="18"/>
        </w:rPr>
        <w:t>www.comprasgovernamentais.gov.br</w:t>
      </w:r>
      <w:r>
        <w:rPr>
          <w:rFonts w:ascii="Verdana" w:hAnsi="Verdana"/>
          <w:color w:val="000000"/>
          <w:sz w:val="18"/>
          <w:szCs w:val="18"/>
        </w:rPr>
        <w:t>, sendo o valor lançado em campo específico e preenchidos todos os demais campos disponíveis do sistema</w:t>
      </w:r>
      <w:r>
        <w:rPr>
          <w:rFonts w:cs="Arial" w:ascii="Verdana" w:hAnsi="Verdana"/>
          <w:sz w:val="18"/>
          <w:szCs w:val="18"/>
        </w:rPr>
        <w:t>;</w:t>
      </w:r>
    </w:p>
    <w:p>
      <w:pPr>
        <w:pStyle w:val="Normal"/>
        <w:ind w:left="539" w:hanging="0"/>
        <w:jc w:val="both"/>
        <w:rPr>
          <w:rFonts w:ascii="Verdana" w:hAnsi="Verdana" w:cs="Arial"/>
          <w:caps/>
          <w:color w:val="0000FF"/>
          <w:sz w:val="18"/>
          <w:szCs w:val="18"/>
        </w:rPr>
      </w:pPr>
      <w:r>
        <w:rPr>
          <w:rFonts w:cs="Arial" w:ascii="Verdana" w:hAnsi="Verdana"/>
          <w:caps/>
          <w:color w:val="0000FF"/>
          <w:sz w:val="18"/>
          <w:szCs w:val="18"/>
        </w:rPr>
      </w:r>
    </w:p>
    <w:p>
      <w:pPr>
        <w:pStyle w:val="Normal"/>
        <w:spacing w:before="120" w:after="0"/>
        <w:ind w:left="540" w:hanging="0"/>
        <w:jc w:val="both"/>
        <w:rPr>
          <w:rFonts w:ascii="Verdana" w:hAnsi="Verdana" w:cs="Arial"/>
          <w:b/>
          <w:b/>
          <w:color w:val="0000FF"/>
          <w:sz w:val="18"/>
          <w:szCs w:val="18"/>
        </w:rPr>
      </w:pPr>
      <w:r>
        <w:rPr>
          <w:rFonts w:cs="Arial" w:ascii="Verdana" w:hAnsi="Verdana"/>
          <w:b/>
          <w:caps/>
          <w:color w:val="0000FF"/>
          <w:sz w:val="18"/>
          <w:szCs w:val="18"/>
        </w:rPr>
        <w:t>7.</w:t>
      </w:r>
      <w:r>
        <w:rPr>
          <w:rFonts w:cs="Arial" w:ascii="Verdana" w:hAnsi="Verdana"/>
          <w:b/>
          <w:bCs/>
          <w:color w:val="0000FF"/>
          <w:sz w:val="18"/>
          <w:szCs w:val="18"/>
        </w:rPr>
        <w:t>1.1.</w:t>
      </w:r>
      <w:r>
        <w:rPr>
          <w:rFonts w:cs="Arial" w:ascii="Verdana" w:hAnsi="Verdana"/>
          <w:bCs/>
          <w:color w:val="0000FF"/>
          <w:sz w:val="18"/>
          <w:szCs w:val="18"/>
        </w:rPr>
        <w:t xml:space="preserve"> </w:t>
      </w:r>
      <w:r>
        <w:rPr>
          <w:rFonts w:cs="Arial" w:ascii="Verdana" w:hAnsi="Verdana"/>
          <w:b/>
          <w:bCs/>
          <w:color w:val="0000FF"/>
          <w:sz w:val="18"/>
          <w:szCs w:val="18"/>
        </w:rPr>
        <w:t>AO FORMULAREM SEUS LANCES</w:t>
      </w:r>
      <w:r>
        <w:rPr>
          <w:rFonts w:cs="Arial" w:ascii="Verdana" w:hAnsi="Verdana"/>
          <w:bCs/>
          <w:color w:val="0000FF"/>
          <w:sz w:val="18"/>
          <w:szCs w:val="18"/>
        </w:rPr>
        <w:t xml:space="preserve">, </w:t>
      </w:r>
      <w:r>
        <w:rPr>
          <w:rFonts w:cs="Arial" w:ascii="Verdana" w:hAnsi="Verdana"/>
          <w:b/>
          <w:bCs/>
          <w:color w:val="0000FF"/>
          <w:sz w:val="18"/>
          <w:szCs w:val="18"/>
        </w:rPr>
        <w:t>OS FORNECEDORES PARTICIPANTES DEVERÃO EVITAR QUE OS VALORES UNITÁRIO E TOTAL EXTRAPOLEM O NÚMERO DE DUAS CASAS DECIMAIS APÓS A VÍRGULA (CASA DOS CENTAVOS). CASO ISTO OCORRA, O PREGOEIRO ESTARÁ AUTORIZADO A ACEITAR OS ITENS, FAZENDO O ARRENDONDAMENTO A MENOR, DO VALOR UNITÁRIO.</w:t>
      </w:r>
    </w:p>
    <w:p>
      <w:pPr>
        <w:pStyle w:val="Normal"/>
        <w:spacing w:before="120" w:after="0"/>
        <w:ind w:left="540" w:hanging="0"/>
        <w:jc w:val="both"/>
        <w:rPr>
          <w:rFonts w:ascii="Verdana" w:hAnsi="Verdana" w:cs="Arial"/>
          <w:b/>
          <w:b/>
          <w:caps/>
          <w:color w:val="0000FF"/>
          <w:sz w:val="18"/>
          <w:szCs w:val="18"/>
        </w:rPr>
      </w:pPr>
      <w:r>
        <w:rPr>
          <w:rFonts w:cs="Arial" w:ascii="Verdana" w:hAnsi="Verdana"/>
          <w:b/>
          <w:color w:val="0000FF"/>
          <w:sz w:val="18"/>
          <w:szCs w:val="18"/>
        </w:rPr>
        <w:t>7.1.2.</w:t>
      </w:r>
      <w:r>
        <w:rPr>
          <w:rFonts w:cs="Arial" w:ascii="Verdana" w:hAnsi="Verdana"/>
          <w:color w:val="0000FF"/>
          <w:sz w:val="18"/>
          <w:szCs w:val="18"/>
        </w:rPr>
        <w:t xml:space="preserve"> </w:t>
      </w:r>
      <w:r>
        <w:rPr>
          <w:rFonts w:cs="Arial" w:ascii="Verdana" w:hAnsi="Verdana"/>
          <w:b/>
          <w:caps/>
          <w:color w:val="0000FF"/>
          <w:sz w:val="18"/>
          <w:szCs w:val="18"/>
        </w:rPr>
        <w:t>É de preenchimento obrigatório pelo Licitante no campo Descrição Detalhada do Objeto Ofertado, CONTENDO:</w:t>
      </w:r>
    </w:p>
    <w:p>
      <w:pPr>
        <w:pStyle w:val="Normal"/>
        <w:spacing w:before="120" w:after="0"/>
        <w:ind w:left="540" w:hanging="0"/>
        <w:jc w:val="both"/>
        <w:rPr>
          <w:rFonts w:ascii="Verdana" w:hAnsi="Verdana" w:cs="Arial"/>
          <w:b/>
          <w:b/>
          <w:caps/>
          <w:color w:val="0000FF"/>
          <w:sz w:val="18"/>
          <w:szCs w:val="18"/>
        </w:rPr>
      </w:pPr>
      <w:r>
        <w:rPr>
          <w:rFonts w:cs="Arial" w:ascii="Verdana" w:hAnsi="Verdana"/>
          <w:b/>
          <w:caps/>
          <w:color w:val="0000FF"/>
          <w:sz w:val="18"/>
          <w:szCs w:val="18"/>
        </w:rPr>
        <w:t>a) especificação COMPLETA do produto, POSSIBILITANDO AO PREGOEIRO A CORRETA ANÁLISE DO MATERIAL A SER ADQUIRIDO;</w:t>
      </w:r>
    </w:p>
    <w:p>
      <w:pPr>
        <w:pStyle w:val="Corpodetextorecuado"/>
        <w:tabs>
          <w:tab w:val="left" w:pos="709" w:leader="none"/>
        </w:tabs>
        <w:spacing w:before="60" w:after="0"/>
        <w:ind w:left="567" w:hanging="0"/>
        <w:rPr>
          <w:rFonts w:ascii="Verdana" w:hAnsi="Verdana" w:cs="Arial"/>
          <w:b/>
          <w:b/>
          <w:caps/>
          <w:color w:val="0000FF"/>
          <w:sz w:val="18"/>
          <w:szCs w:val="18"/>
        </w:rPr>
      </w:pPr>
      <w:r>
        <w:rPr>
          <w:rFonts w:cs="Arial" w:ascii="Verdana" w:hAnsi="Verdana"/>
          <w:b/>
          <w:caps/>
          <w:color w:val="0000FF"/>
          <w:sz w:val="18"/>
          <w:szCs w:val="18"/>
        </w:rPr>
        <w:t>7.1.3 SERÃO DESCLASSIFICADAS AS PROPOSTAS LANÇADAS EM DESACORDO COM O SUBITEM 7.1.1, APRESENTANDO-SE OMISSAS, VAGAS OU COM IRREGULARIDADES OU DEFEITOS CAPAZES DE IMPEDIR O JULGAMENTO.</w:t>
      </w:r>
    </w:p>
    <w:p>
      <w:pPr>
        <w:pStyle w:val="Corpodetextorecuado"/>
        <w:tabs>
          <w:tab w:val="left" w:pos="709" w:leader="none"/>
        </w:tabs>
        <w:spacing w:before="60" w:after="0"/>
        <w:ind w:left="567" w:hanging="0"/>
        <w:rPr>
          <w:rFonts w:ascii="Verdana" w:hAnsi="Verdana" w:cs="Arial"/>
          <w:sz w:val="18"/>
          <w:szCs w:val="18"/>
        </w:rPr>
      </w:pPr>
      <w:r>
        <w:rPr>
          <w:rFonts w:cs="Arial" w:ascii="Verdana" w:hAnsi="Verdana"/>
          <w:sz w:val="18"/>
          <w:szCs w:val="18"/>
        </w:rPr>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Além disso, o licitante deverá lançar as declarações abaixo listadas, de forma eletrônica, conforme disponibilizado no Sistema, no momento do lançamento da proposta:</w:t>
      </w:r>
    </w:p>
    <w:p>
      <w:pPr>
        <w:pStyle w:val="Normal"/>
        <w:spacing w:before="120" w:after="0"/>
        <w:ind w:left="900" w:hanging="0"/>
        <w:jc w:val="both"/>
        <w:rPr>
          <w:rFonts w:ascii="Verdana" w:hAnsi="Verdana" w:cs="Arial"/>
          <w:sz w:val="18"/>
          <w:szCs w:val="18"/>
        </w:rPr>
      </w:pPr>
      <w:r>
        <w:rPr>
          <w:rFonts w:cs="Arial" w:ascii="Verdana" w:hAnsi="Verdana"/>
          <w:sz w:val="18"/>
          <w:szCs w:val="18"/>
        </w:rPr>
        <w:t>a) Declaração de que inexistem fatos impeditivos para sua habilitação no certame, ciente da obrigatoriedade de declarar ocorrências posteriores;</w:t>
      </w:r>
    </w:p>
    <w:p>
      <w:pPr>
        <w:pStyle w:val="Normal"/>
        <w:spacing w:before="120" w:after="0"/>
        <w:ind w:left="900" w:hanging="0"/>
        <w:jc w:val="both"/>
        <w:rPr>
          <w:rFonts w:ascii="Verdana" w:hAnsi="Verdana" w:cs="Arial"/>
          <w:sz w:val="18"/>
          <w:szCs w:val="18"/>
        </w:rPr>
      </w:pPr>
      <w:r>
        <w:rPr>
          <w:rFonts w:cs="Arial" w:ascii="Verdana" w:hAnsi="Verdana"/>
          <w:sz w:val="18"/>
          <w:szCs w:val="18"/>
        </w:rPr>
        <w:t>b) Declaração de que a empresa não emprega menor de 18 anos em trabalho noturno, perigoso ou insalubre e não emprega menor de 16 anos, salvo menor, a partir de 14 anos, na condição de aprendiz, nos termos do artigo 7º, XXXIII, da Constituição;</w:t>
      </w:r>
    </w:p>
    <w:p>
      <w:pPr>
        <w:pStyle w:val="Normal"/>
        <w:spacing w:before="120" w:after="0"/>
        <w:ind w:left="900" w:hanging="0"/>
        <w:jc w:val="both"/>
        <w:rPr>
          <w:rFonts w:ascii="Verdana" w:hAnsi="Verdana" w:cs="Arial"/>
          <w:sz w:val="18"/>
          <w:szCs w:val="18"/>
        </w:rPr>
      </w:pPr>
      <w:r>
        <w:rPr>
          <w:rFonts w:cs="Arial" w:ascii="Verdana" w:hAnsi="Verdana"/>
          <w:sz w:val="18"/>
          <w:szCs w:val="18"/>
        </w:rPr>
        <w:t>c) Declaração de que a empresa está ciente e concorda com as condições estabelecidas no edital e seus anexos, bem como de que cumpre plenamente os requisitos de habilitação definidos no edital;</w:t>
      </w:r>
    </w:p>
    <w:p>
      <w:pPr>
        <w:pStyle w:val="Normal"/>
        <w:spacing w:before="120" w:after="0"/>
        <w:ind w:left="900" w:hanging="0"/>
        <w:jc w:val="both"/>
        <w:rPr>
          <w:rFonts w:ascii="Verdana" w:hAnsi="Verdana" w:cs="Arial"/>
          <w:sz w:val="18"/>
          <w:szCs w:val="18"/>
        </w:rPr>
      </w:pPr>
      <w:r>
        <w:rPr>
          <w:rFonts w:cs="Arial" w:ascii="Verdana" w:hAnsi="Verdana"/>
          <w:sz w:val="18"/>
          <w:szCs w:val="18"/>
        </w:rPr>
        <w:t>d) Declaração ME/EPP’s que cumpre os requisitos estabelecidos no art. 3º da Lei Complementar 123/2006, estando apta a usufruir do tratamento favorecido estabelecido em seus arts. 42 a 49;</w:t>
      </w:r>
    </w:p>
    <w:p>
      <w:pPr>
        <w:pStyle w:val="Normal"/>
        <w:spacing w:before="120" w:after="0"/>
        <w:ind w:left="900" w:hanging="0"/>
        <w:jc w:val="both"/>
        <w:rPr>
          <w:rFonts w:ascii="Verdana" w:hAnsi="Verdana" w:cs="Arial"/>
          <w:sz w:val="18"/>
          <w:szCs w:val="18"/>
        </w:rPr>
      </w:pPr>
      <w:r>
        <w:rPr>
          <w:rFonts w:cs="Arial" w:ascii="Verdana" w:hAnsi="Verdana"/>
          <w:sz w:val="18"/>
          <w:szCs w:val="18"/>
        </w:rPr>
        <w:t>e) Declaração de elaboração independente de proposta;</w:t>
      </w:r>
    </w:p>
    <w:p>
      <w:pPr>
        <w:pStyle w:val="Normal"/>
        <w:spacing w:before="120" w:after="0"/>
        <w:ind w:left="900" w:hanging="0"/>
        <w:jc w:val="both"/>
        <w:rPr>
          <w:rFonts w:ascii="Verdana" w:hAnsi="Verdana" w:cs="Arial"/>
          <w:sz w:val="18"/>
          <w:szCs w:val="18"/>
        </w:rPr>
      </w:pPr>
      <w:r>
        <w:rPr>
          <w:rFonts w:cs="Arial" w:ascii="Verdana" w:hAnsi="Verdana"/>
          <w:sz w:val="18"/>
          <w:szCs w:val="18"/>
        </w:rPr>
        <w:t>f) Declaração de que não possui, em sua cadeia produtiva, empregados executando trabalho degradante ou forçado, observando o disposto nos incisos III e IV do art. 1º e no inciso III do art. 5º da Constituição Federal;</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A licitante será inteiramente responsável por todas as transações assumidas em seu nome no sistema eletrônico, assumindo como verdadeiras e firmes suas propostas e subsequentes lances, se for o caso, bem como acompanhar as operações no sistema durante a sessão tais como avisos e esclarecimentos, ficando responsável pelo ônus decorrente da perda de negócios diante da inobservância de quaisquer mensagens emitidas pelo sistema ou de sua desconexão;</w:t>
      </w:r>
    </w:p>
    <w:p>
      <w:pPr>
        <w:pStyle w:val="Normal"/>
        <w:spacing w:before="120" w:after="0"/>
        <w:ind w:left="788" w:hanging="0"/>
        <w:jc w:val="both"/>
        <w:rPr>
          <w:rFonts w:ascii="Verdana" w:hAnsi="Verdana" w:cs="Arial"/>
          <w:sz w:val="18"/>
          <w:szCs w:val="18"/>
        </w:rPr>
      </w:pPr>
      <w:r>
        <w:rPr>
          <w:rFonts w:cs="Arial" w:ascii="Verdana" w:hAnsi="Verdana"/>
          <w:sz w:val="18"/>
          <w:szCs w:val="18"/>
        </w:rPr>
        <w:t>7.3.1 Todas as especificações do objeto contidas na proposta vinculam o fornecedor ao que foi registrado;</w:t>
      </w:r>
    </w:p>
    <w:p>
      <w:pPr>
        <w:pStyle w:val="Normal"/>
        <w:spacing w:before="120" w:after="0"/>
        <w:ind w:left="788" w:hanging="0"/>
        <w:jc w:val="both"/>
        <w:rPr>
          <w:rFonts w:ascii="Verdana" w:hAnsi="Verdana" w:cs="Arial"/>
          <w:sz w:val="18"/>
          <w:szCs w:val="18"/>
        </w:rPr>
      </w:pPr>
      <w:r>
        <w:rPr>
          <w:rFonts w:cs="Arial" w:ascii="Verdana" w:hAnsi="Verdana"/>
          <w:sz w:val="18"/>
          <w:szCs w:val="18"/>
        </w:rPr>
        <w:t>7.3.2 Até a abertura da sessão, os licitantes poderão retirar ou substituir as propostas apresentadas;</w:t>
      </w:r>
    </w:p>
    <w:p>
      <w:pPr>
        <w:pStyle w:val="Normal"/>
        <w:spacing w:before="120" w:after="0"/>
        <w:ind w:left="788" w:hanging="0"/>
        <w:jc w:val="both"/>
        <w:rPr>
          <w:rFonts w:ascii="Verdana" w:hAnsi="Verdana" w:cs="Arial"/>
          <w:sz w:val="18"/>
          <w:szCs w:val="18"/>
        </w:rPr>
      </w:pPr>
      <w:r>
        <w:rPr>
          <w:rFonts w:cs="Arial" w:ascii="Verdana" w:hAnsi="Verdana"/>
          <w:sz w:val="18"/>
          <w:szCs w:val="18"/>
        </w:rPr>
        <w:t>7.3.3 O licitante deverá enviar sua proposta mediante o preenchimento, no sistema eletrônico dos seguintes campos:</w:t>
      </w:r>
    </w:p>
    <w:p>
      <w:pPr>
        <w:pStyle w:val="Normal"/>
        <w:spacing w:before="120" w:after="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a) valor unitário;</w:t>
      </w:r>
    </w:p>
    <w:p>
      <w:pPr>
        <w:pStyle w:val="Normal"/>
        <w:spacing w:before="120" w:after="0"/>
        <w:ind w:left="788" w:hanging="0"/>
        <w:jc w:val="both"/>
        <w:rPr>
          <w:rFonts w:ascii="Verdana" w:hAnsi="Verdana" w:cs="Arial"/>
          <w:sz w:val="18"/>
          <w:szCs w:val="18"/>
        </w:rPr>
      </w:pPr>
      <w:r>
        <w:rPr>
          <w:rFonts w:cs="Arial" w:ascii="Verdana" w:hAnsi="Verdana"/>
          <w:sz w:val="18"/>
          <w:szCs w:val="18"/>
        </w:rPr>
        <w:t>b) a quantidade de unidades, observada a quantidade mínima fixada no Termo de Referência para cada item. Em não havendo quantidade mínima fixada, deverá ser cotada a quantidade total prevista para o item;</w:t>
      </w:r>
    </w:p>
    <w:p>
      <w:pPr>
        <w:pStyle w:val="Normal"/>
        <w:spacing w:before="120" w:after="0"/>
        <w:ind w:left="788" w:hanging="0"/>
        <w:jc w:val="both"/>
        <w:rPr>
          <w:rFonts w:ascii="Verdana" w:hAnsi="Verdana" w:cs="Arial"/>
          <w:sz w:val="18"/>
          <w:szCs w:val="18"/>
        </w:rPr>
      </w:pPr>
      <w:r>
        <w:rPr>
          <w:rFonts w:cs="Arial" w:ascii="Verdana" w:hAnsi="Verdana"/>
          <w:sz w:val="18"/>
          <w:szCs w:val="18"/>
        </w:rPr>
        <w:t>c) marca;</w:t>
      </w:r>
    </w:p>
    <w:p>
      <w:pPr>
        <w:pStyle w:val="Normal"/>
        <w:spacing w:before="120" w:after="0"/>
        <w:ind w:left="788" w:hanging="0"/>
        <w:jc w:val="both"/>
        <w:rPr>
          <w:rFonts w:ascii="Verdana" w:hAnsi="Verdana" w:cs="Arial"/>
          <w:sz w:val="18"/>
          <w:szCs w:val="18"/>
        </w:rPr>
      </w:pPr>
      <w:r>
        <w:rPr>
          <w:rFonts w:cs="Arial" w:ascii="Verdana" w:hAnsi="Verdana"/>
          <w:sz w:val="18"/>
          <w:szCs w:val="18"/>
        </w:rPr>
        <w:t>d) fabricante;</w:t>
      </w:r>
    </w:p>
    <w:p>
      <w:pPr>
        <w:pStyle w:val="Normal"/>
        <w:spacing w:before="120" w:after="0"/>
        <w:ind w:left="788" w:hanging="0"/>
        <w:jc w:val="both"/>
        <w:rPr>
          <w:rFonts w:ascii="Verdana" w:hAnsi="Verdana" w:cs="Arial"/>
          <w:sz w:val="18"/>
          <w:szCs w:val="18"/>
        </w:rPr>
      </w:pPr>
      <w:r>
        <w:rPr>
          <w:rFonts w:cs="Arial" w:ascii="Verdana" w:hAnsi="Verdana"/>
          <w:sz w:val="18"/>
          <w:szCs w:val="18"/>
        </w:rPr>
        <w:t>e) descrição detalhada do objeto.</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A aceitabilidade está condicionada ao atendimento de todas as exigências do Anexo I assim como análise da qualidade do material a ser ofertado, para tal a licitante deve descrever detalhadamente os produtos a serem ofertados.</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Não serão aceitas as propostas com exigência de faturamento mínimo;</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Não serão admitidos quaisquer acréscimos, supressões ou retificações na proposta, depois de apresentada, nem pedido de desconsideração da mesma;</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Os preços (unitários), em moeda corrente, com duas casas decimais para os centavos, estando neles incluídas todas as despesas diretas e indiretas, tais como frete, impostos</w:t>
      </w:r>
      <w:r>
        <w:rPr>
          <w:rFonts w:cs="Arial" w:ascii="Verdana" w:hAnsi="Verdana"/>
          <w:b/>
          <w:sz w:val="18"/>
          <w:szCs w:val="18"/>
        </w:rPr>
        <w:t xml:space="preserve"> </w:t>
      </w:r>
      <w:r>
        <w:rPr>
          <w:rFonts w:cs="Arial" w:ascii="Verdana" w:hAnsi="Verdana"/>
          <w:sz w:val="18"/>
          <w:szCs w:val="18"/>
        </w:rPr>
        <w:t>etc;</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sz w:val="18"/>
          <w:szCs w:val="18"/>
        </w:rPr>
        <w:t>Nos valores propostos estão inclusos todos os custos operacionais, encargos previdenciários, trabalhistas, tributários, comerciais, fretes e quaisquer outros que incidam diretamente no fornecimento dos bens.</w:t>
      </w:r>
    </w:p>
    <w:p>
      <w:pPr>
        <w:pStyle w:val="Normal"/>
        <w:spacing w:before="120" w:after="0"/>
        <w:ind w:left="788" w:hanging="0"/>
        <w:jc w:val="both"/>
        <w:rPr>
          <w:rFonts w:ascii="Verdana" w:hAnsi="Verdana" w:cs="Arial"/>
          <w:b/>
          <w:b/>
          <w:sz w:val="18"/>
          <w:szCs w:val="18"/>
        </w:rPr>
      </w:pPr>
      <w:r>
        <w:rPr>
          <w:rFonts w:cs="Arial" w:ascii="Verdana" w:hAnsi="Verdana"/>
          <w:sz w:val="18"/>
          <w:szCs w:val="18"/>
        </w:rPr>
        <w:t>7.8.1 Quaisquer tributos, custos e despesas diretos ou indiretos omitidos da Proposta, ou incorretamente cotados, serão considerados como incluídos nos preços, não sendo considerados pleitos de acréscimos, a esse ou a qualquer título, devendo o fornecimento ser efetuado à Universidade Federal dos Vales do Jequitinhonha e Mucuri – UFVJM sem ônus adicionais;</w:t>
      </w:r>
    </w:p>
    <w:p>
      <w:pPr>
        <w:pStyle w:val="Normal"/>
        <w:numPr>
          <w:ilvl w:val="1"/>
          <w:numId w:val="23"/>
        </w:numPr>
        <w:spacing w:before="120" w:after="0"/>
        <w:ind w:left="788" w:hanging="431"/>
        <w:jc w:val="both"/>
        <w:rPr>
          <w:rFonts w:ascii="Verdana" w:hAnsi="Verdana" w:cs="Arial"/>
          <w:sz w:val="18"/>
          <w:szCs w:val="18"/>
        </w:rPr>
      </w:pPr>
      <w:r>
        <w:rPr>
          <w:rFonts w:cs="Arial" w:ascii="Verdana" w:hAnsi="Verdana"/>
          <w:b/>
          <w:sz w:val="18"/>
          <w:szCs w:val="18"/>
        </w:rPr>
        <w:t>A proposta deverá ter validade de 12 (doze) meses, a contar do início da vigência da Ata de Registro de Preços;</w:t>
      </w:r>
      <w:r>
        <w:rPr>
          <w:rFonts w:cs="Arial" w:ascii="Verdana" w:hAnsi="Verdana"/>
          <w:bCs/>
          <w:iCs/>
          <w:sz w:val="18"/>
          <w:szCs w:val="18"/>
        </w:rPr>
        <w:t xml:space="preserve"> </w:t>
      </w:r>
    </w:p>
    <w:p>
      <w:pPr>
        <w:pStyle w:val="Normal"/>
        <w:numPr>
          <w:ilvl w:val="1"/>
          <w:numId w:val="23"/>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 apresentação da Proposta em desacordo com as exigências deste Edital e Anexos acarretará, sumariamente, a desclassificação da Empresa proponente e sua desclassificação do certame;</w:t>
      </w:r>
    </w:p>
    <w:p>
      <w:pPr>
        <w:pStyle w:val="Normal"/>
        <w:numPr>
          <w:ilvl w:val="1"/>
          <w:numId w:val="23"/>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Encerrada a sessão de lances, a licitante detentora da melhor oferta, para cada item, encaminhará a proposta definitiva de preços impressa, conforme Anexo I, em prazo a ser definido pelo pregoeiro nunca inferior a 02 (duas) horas, devendo anexá-la ao sistema eletrônico, por meio da opção “ENVIAR ANEXO” contendo a identificação da empresa, endereço, telefone, número do Cadastro Nacional da Pessoa Jurídica – CNPJ, rubricadas todas as folhas pelo representante legal e assinada a última, sobre carimbo com nome, identidade, com indicação – no que couber – do detalhamento dos produtos ofertados, conter ainda dados bancários, além de outras informações de livre disposição e o seguinte:</w:t>
      </w:r>
    </w:p>
    <w:p>
      <w:pPr>
        <w:pStyle w:val="Normal"/>
        <w:tabs>
          <w:tab w:val="left" w:pos="993" w:leader="none"/>
        </w:tabs>
        <w:spacing w:before="120" w:after="0"/>
        <w:ind w:left="851" w:right="17" w:hanging="0"/>
        <w:jc w:val="both"/>
        <w:rPr>
          <w:rFonts w:ascii="Verdana" w:hAnsi="Verdana" w:cs="Arial"/>
          <w:bCs/>
          <w:sz w:val="18"/>
          <w:szCs w:val="18"/>
        </w:rPr>
      </w:pPr>
      <w:r>
        <w:rPr>
          <w:rFonts w:cs="Arial" w:ascii="Verdana" w:hAnsi="Verdana"/>
          <w:sz w:val="18"/>
          <w:szCs w:val="18"/>
        </w:rPr>
        <w:t>7.11.1. Preço cotado de forma unitária e total, em conformidade com o último lance ofertado e com indicação das unidades citadas neste edital;</w:t>
      </w:r>
    </w:p>
    <w:p>
      <w:pPr>
        <w:pStyle w:val="Corpodetextorecuado"/>
        <w:tabs>
          <w:tab w:val="left" w:pos="851" w:leader="none"/>
          <w:tab w:val="left" w:pos="993" w:leader="none"/>
        </w:tabs>
        <w:spacing w:before="120" w:after="0"/>
        <w:ind w:left="851" w:right="-1" w:hanging="0"/>
        <w:rPr>
          <w:rFonts w:ascii="Verdana" w:hAnsi="Verdana" w:cs="Arial"/>
          <w:bCs/>
          <w:sz w:val="18"/>
          <w:szCs w:val="18"/>
        </w:rPr>
      </w:pPr>
      <w:r>
        <w:rPr>
          <w:rFonts w:cs="Arial" w:ascii="Verdana" w:hAnsi="Verdana"/>
          <w:bCs/>
          <w:sz w:val="18"/>
          <w:szCs w:val="18"/>
        </w:rPr>
        <w:t>a) Todos os valores deverão ser apresentados em moeda corrente nacional, sendo os centavos com apenas duas casas decimais. Não serão considerados para efeito de empenhamento, valores cujos preços contenham mais de duas casas decimais, sendo desconsideradas as frações de centavos. Ex: 0,0123, será empenhado 0,01</w:t>
      </w:r>
      <w:r>
        <w:rPr>
          <w:rFonts w:cs="Arial" w:ascii="Verdana" w:hAnsi="Verdana"/>
          <w:sz w:val="18"/>
          <w:szCs w:val="18"/>
        </w:rPr>
        <w:t>;</w:t>
      </w:r>
    </w:p>
    <w:p>
      <w:pPr>
        <w:pStyle w:val="Corpodetextorecuado"/>
        <w:tabs>
          <w:tab w:val="left" w:pos="851" w:leader="none"/>
          <w:tab w:val="left" w:pos="993" w:leader="none"/>
        </w:tabs>
        <w:spacing w:before="120" w:after="0"/>
        <w:ind w:left="851" w:right="-1" w:hanging="0"/>
        <w:rPr>
          <w:rFonts w:ascii="Verdana" w:hAnsi="Verdana" w:cs="Arial"/>
          <w:bCs/>
          <w:sz w:val="18"/>
          <w:szCs w:val="18"/>
        </w:rPr>
      </w:pPr>
      <w:r>
        <w:rPr>
          <w:rFonts w:cs="Arial" w:ascii="Verdana" w:hAnsi="Verdana"/>
          <w:bCs/>
          <w:sz w:val="18"/>
          <w:szCs w:val="18"/>
        </w:rPr>
        <w:t>b) Fica vedada qualquer indexação de preços por índices gerais, setoriais ou que reflitam a variação dos custos.</w:t>
      </w:r>
    </w:p>
    <w:p>
      <w:pPr>
        <w:pStyle w:val="Corpodetextorecuado"/>
        <w:tabs>
          <w:tab w:val="left" w:pos="851" w:leader="none"/>
          <w:tab w:val="left" w:pos="993" w:leader="none"/>
        </w:tabs>
        <w:spacing w:before="120" w:after="0"/>
        <w:ind w:left="851" w:right="-1" w:hanging="0"/>
        <w:rPr>
          <w:rFonts w:ascii="Verdana" w:hAnsi="Verdana" w:cs="Arial"/>
          <w:bCs/>
          <w:sz w:val="18"/>
          <w:szCs w:val="18"/>
        </w:rPr>
      </w:pPr>
      <w:r>
        <w:rPr>
          <w:rFonts w:cs="Arial" w:ascii="Verdana" w:hAnsi="Verdana"/>
          <w:bCs/>
          <w:sz w:val="18"/>
          <w:szCs w:val="18"/>
        </w:rPr>
        <w:t>c) Nenhuma reivindicação adicional de pagamento ou reajustamento de preços será considerada;</w:t>
      </w:r>
    </w:p>
    <w:p>
      <w:pPr>
        <w:pStyle w:val="Corpodetextorecuado"/>
        <w:tabs>
          <w:tab w:val="left" w:pos="851" w:leader="none"/>
          <w:tab w:val="left" w:pos="993" w:leader="none"/>
        </w:tabs>
        <w:spacing w:before="120" w:after="0"/>
        <w:ind w:left="851" w:right="-1" w:hanging="0"/>
        <w:rPr>
          <w:rFonts w:ascii="Verdana" w:hAnsi="Verdana" w:cs="Arial"/>
          <w:bCs/>
          <w:sz w:val="18"/>
          <w:szCs w:val="18"/>
        </w:rPr>
      </w:pPr>
      <w:r>
        <w:rPr>
          <w:rFonts w:cs="Arial" w:ascii="Verdana" w:hAnsi="Verdana"/>
          <w:bCs/>
          <w:sz w:val="18"/>
          <w:szCs w:val="18"/>
        </w:rPr>
        <w:t>d) Declarar, no corpo da proposta, ou em escrito à parte, de que, nos preços mantidos na proposta escrita e naqueles que porventura vierem a ser ofertados através de lances verbais, estão incluídos todos os encargos trabalhistas, previdenciários, fiscais, comerciais, de transporte e entrega da mercadoria e outros de qualquer natureza que se fizerem indispensáveis à perfeita compra do objeto da licitação. A UFVJM não admitirá qualquer alegação posterior que vise ao ressarcimento de custos não considerados na proposta feita pela licitante sobre os preços cotados.</w:t>
      </w:r>
    </w:p>
    <w:p>
      <w:pPr>
        <w:pStyle w:val="Normal"/>
        <w:tabs>
          <w:tab w:val="left" w:pos="993" w:leader="none"/>
        </w:tabs>
        <w:spacing w:before="120" w:after="0"/>
        <w:ind w:left="851" w:right="17" w:hanging="0"/>
        <w:jc w:val="both"/>
        <w:rPr>
          <w:rFonts w:ascii="Verdana" w:hAnsi="Verdana" w:cs="Arial"/>
          <w:sz w:val="18"/>
          <w:szCs w:val="18"/>
        </w:rPr>
      </w:pPr>
      <w:r>
        <w:rPr>
          <w:rFonts w:cs="Arial" w:ascii="Verdana" w:hAnsi="Verdana"/>
          <w:bCs/>
          <w:sz w:val="18"/>
          <w:szCs w:val="18"/>
        </w:rPr>
        <w:t>7.11.2. Limitar-se ao objeto desta licitação (conforme Anexo I), sendo desconsideradas quaisquer alternativas de preço ou qualquer outra condição não prevista neste edital;</w:t>
      </w:r>
    </w:p>
    <w:p>
      <w:pPr>
        <w:pStyle w:val="Bodytext20"/>
        <w:tabs>
          <w:tab w:val="left" w:pos="993" w:leader="none"/>
        </w:tabs>
        <w:spacing w:before="120" w:after="0"/>
        <w:ind w:left="851" w:right="17" w:hanging="0"/>
        <w:jc w:val="both"/>
        <w:rPr/>
      </w:pPr>
      <w:r>
        <w:rPr>
          <w:rFonts w:cs="Arial" w:ascii="Verdana" w:hAnsi="Verdana"/>
          <w:color w:val="00000A"/>
          <w:sz w:val="18"/>
          <w:szCs w:val="18"/>
        </w:rPr>
        <w:t xml:space="preserve">7.11.3. A proposta deverá ter validade de 12 (doze) meses, a contar do início da vigência da Ata de Registro de Preços, </w:t>
      </w:r>
      <w:r>
        <w:rPr>
          <w:rFonts w:cs="Verdana" w:ascii="Verdana" w:hAnsi="Verdana"/>
          <w:color w:val="00000A"/>
          <w:sz w:val="18"/>
          <w:szCs w:val="18"/>
        </w:rPr>
        <w:t>que se refere à data da homologação do pregão;</w:t>
      </w:r>
    </w:p>
    <w:p>
      <w:pPr>
        <w:pStyle w:val="Corpodetextorecuado"/>
        <w:tabs>
          <w:tab w:val="left" w:pos="993" w:leader="none"/>
          <w:tab w:val="left" w:pos="1134" w:leader="none"/>
        </w:tabs>
        <w:spacing w:before="120" w:after="0"/>
        <w:ind w:left="851" w:right="-284" w:hanging="0"/>
        <w:rPr>
          <w:rFonts w:ascii="Verdana" w:hAnsi="Verdana" w:cs="Arial"/>
          <w:sz w:val="18"/>
          <w:szCs w:val="18"/>
        </w:rPr>
      </w:pPr>
      <w:r>
        <w:rPr>
          <w:rFonts w:cs="Arial" w:ascii="Verdana" w:hAnsi="Verdana"/>
          <w:sz w:val="18"/>
          <w:szCs w:val="18"/>
        </w:rPr>
        <w:t>7.11.4. Conter o prazo de pagamento na forma do item 17 deste edital;</w:t>
      </w:r>
    </w:p>
    <w:p>
      <w:pPr>
        <w:pStyle w:val="Normal"/>
        <w:tabs>
          <w:tab w:val="left" w:pos="993" w:leader="none"/>
        </w:tabs>
        <w:spacing w:before="120" w:after="0"/>
        <w:ind w:left="851" w:hanging="0"/>
        <w:jc w:val="both"/>
        <w:rPr>
          <w:rFonts w:ascii="Verdana" w:hAnsi="Verdana" w:cs="Arial"/>
          <w:sz w:val="18"/>
          <w:szCs w:val="18"/>
        </w:rPr>
      </w:pPr>
      <w:r>
        <w:rPr>
          <w:rFonts w:cs="Arial" w:ascii="Verdana" w:hAnsi="Verdana"/>
          <w:sz w:val="18"/>
          <w:szCs w:val="18"/>
        </w:rPr>
        <w:t>7.11.5. Os produtos deverão apresentar no momento da entrega, pelo menos 80% de sua validade.</w:t>
      </w:r>
    </w:p>
    <w:p>
      <w:pPr>
        <w:pStyle w:val="Normal"/>
        <w:numPr>
          <w:ilvl w:val="1"/>
          <w:numId w:val="17"/>
        </w:numPr>
        <w:tabs>
          <w:tab w:val="left" w:pos="900" w:leader="none"/>
        </w:tabs>
        <w:spacing w:before="120" w:after="0"/>
        <w:ind w:left="988" w:hanging="704"/>
        <w:jc w:val="both"/>
        <w:rPr>
          <w:rFonts w:ascii="Verdana" w:hAnsi="Verdana" w:cs="Arial"/>
          <w:sz w:val="18"/>
          <w:szCs w:val="18"/>
        </w:rPr>
      </w:pPr>
      <w:r>
        <w:rPr>
          <w:rFonts w:ascii="Verdana" w:hAnsi="Verdana"/>
          <w:color w:val="000000"/>
          <w:sz w:val="18"/>
          <w:szCs w:val="18"/>
          <w:highlight w:val="yellow"/>
        </w:rPr>
        <w:t>A licitante vencedora dos itens 01, 07, 10, 14, 16, 17, 18 e 22 deverá apresentar declaração de que cumpre as determinações da Lei nº 12.305/2010 e da Lei 7.802/1989, que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e dá outras providências, atendendo aos critérios de sustentabilidade ambiental.</w:t>
      </w:r>
    </w:p>
    <w:p>
      <w:pPr>
        <w:pStyle w:val="Normal"/>
        <w:numPr>
          <w:ilvl w:val="1"/>
          <w:numId w:val="17"/>
        </w:numPr>
        <w:tabs>
          <w:tab w:val="left" w:pos="900" w:leader="none"/>
        </w:tabs>
        <w:spacing w:before="120" w:after="0"/>
        <w:ind w:left="988" w:hanging="562"/>
        <w:jc w:val="both"/>
        <w:rPr>
          <w:rFonts w:ascii="Verdana" w:hAnsi="Verdana" w:cs="Arial"/>
          <w:sz w:val="18"/>
          <w:szCs w:val="18"/>
        </w:rPr>
      </w:pPr>
      <w:r>
        <w:rPr>
          <w:rFonts w:ascii="Verdana" w:hAnsi="Verdana"/>
          <w:color w:val="000000"/>
          <w:sz w:val="18"/>
          <w:szCs w:val="18"/>
        </w:rPr>
        <w:t>Os documentos remetidos por meio do sistema Comprasgovernamentais poderão ser solicitados em original ou por cópia autenticada a qualquer momento, em prazo a ser estabelecido pelo pregoeiro.</w:t>
        <w:br/>
        <w:br/>
        <w:t>7.13.1 Os originais ou cópias autenticadas, caso sejam solicitadas, deverão ser encaminhadas à Divisão de Licitações/UFVJM, Prédio da Reitoria, BR 367, KM 583, nº 5000, Alto da Jacuba, Diamantina (MG), 39100-000.</w:t>
      </w:r>
    </w:p>
    <w:p>
      <w:pPr>
        <w:pStyle w:val="Normal"/>
        <w:numPr>
          <w:ilvl w:val="1"/>
          <w:numId w:val="17"/>
        </w:numPr>
        <w:tabs>
          <w:tab w:val="left" w:pos="432" w:leader="none"/>
          <w:tab w:val="left" w:pos="900" w:leader="none"/>
        </w:tabs>
        <w:spacing w:before="120" w:after="0"/>
        <w:ind w:left="900" w:hanging="543"/>
        <w:jc w:val="both"/>
        <w:rPr>
          <w:rFonts w:ascii="Verdana" w:hAnsi="Verdana" w:cs="Arial"/>
          <w:sz w:val="18"/>
          <w:szCs w:val="18"/>
        </w:rPr>
      </w:pPr>
      <w:r>
        <w:rPr>
          <w:rFonts w:ascii="Verdana" w:hAnsi="Verdana"/>
          <w:color w:val="000000"/>
          <w:sz w:val="18"/>
          <w:szCs w:val="18"/>
        </w:rPr>
        <w:t>O licitante que abandonar o certame, deixando de enviar a documentação indicada nesta cláusula, será desclassificado e sujeitar-se-á às sanções previstas neste Edital.</w:t>
      </w:r>
    </w:p>
    <w:p>
      <w:pPr>
        <w:pStyle w:val="Normal"/>
        <w:numPr>
          <w:ilvl w:val="1"/>
          <w:numId w:val="17"/>
        </w:numPr>
        <w:tabs>
          <w:tab w:val="left" w:pos="432" w:leader="none"/>
          <w:tab w:val="left" w:pos="900" w:leader="none"/>
        </w:tabs>
        <w:spacing w:before="120" w:after="0"/>
        <w:ind w:left="900" w:hanging="543"/>
        <w:jc w:val="both"/>
        <w:rPr>
          <w:rFonts w:ascii="Verdana" w:hAnsi="Verdana" w:cs="Arial"/>
          <w:sz w:val="18"/>
          <w:szCs w:val="18"/>
        </w:rPr>
      </w:pPr>
      <w:r>
        <w:rPr>
          <w:rFonts w:ascii="Verdana" w:hAnsi="Verdana"/>
          <w:color w:val="000000"/>
          <w:sz w:val="18"/>
          <w:szCs w:val="18"/>
        </w:rPr>
        <w:t>Acaso haja negociação, após o envio da proposta, o valor do lance negociado e registrado será considerado proposta para todos os efeitos legais.</w:t>
      </w:r>
    </w:p>
    <w:p>
      <w:pPr>
        <w:pStyle w:val="Normal"/>
        <w:numPr>
          <w:ilvl w:val="1"/>
          <w:numId w:val="17"/>
        </w:numPr>
        <w:tabs>
          <w:tab w:val="left" w:pos="432" w:leader="none"/>
          <w:tab w:val="left" w:pos="900" w:leader="none"/>
        </w:tabs>
        <w:spacing w:before="120" w:after="0"/>
        <w:ind w:left="900" w:hanging="543"/>
        <w:jc w:val="both"/>
        <w:rPr>
          <w:rFonts w:ascii="Verdana" w:hAnsi="Verdana" w:cs="Arial"/>
          <w:sz w:val="18"/>
          <w:szCs w:val="18"/>
        </w:rPr>
      </w:pPr>
      <w:r>
        <w:rPr>
          <w:rFonts w:ascii="Verdana" w:hAnsi="Verdana"/>
          <w:color w:val="000000"/>
          <w:sz w:val="18"/>
          <w:szCs w:val="18"/>
        </w:rPr>
        <w:t>Todas as especificações do objeto, contidas na proposta, registrada no sistema, tais como preço, marca, modelo, tipo, fabricante e procedência, vinculam a Contratada.</w:t>
      </w:r>
    </w:p>
    <w:p>
      <w:pPr>
        <w:pStyle w:val="Normal"/>
        <w:ind w:left="84" w:firstLine="708"/>
        <w:rPr>
          <w:rFonts w:ascii="Verdana" w:hAnsi="Verdana" w:cs="Arial"/>
          <w:b/>
          <w:b/>
          <w:sz w:val="18"/>
          <w:szCs w:val="18"/>
        </w:rPr>
      </w:pPr>
      <w:r>
        <w:rPr>
          <w:rFonts w:cs="Arial" w:ascii="Verdana" w:hAnsi="Verdana"/>
          <w:b/>
          <w:sz w:val="18"/>
          <w:szCs w:val="18"/>
        </w:rPr>
      </w:r>
    </w:p>
    <w:p>
      <w:pPr>
        <w:pStyle w:val="Normal"/>
        <w:ind w:left="84" w:firstLine="708"/>
        <w:rPr>
          <w:rFonts w:ascii="Verdana" w:hAnsi="Verdana" w:cs="Arial"/>
          <w:b/>
          <w:b/>
          <w:sz w:val="18"/>
          <w:szCs w:val="18"/>
        </w:rPr>
      </w:pPr>
      <w:r>
        <w:rPr>
          <w:rFonts w:cs="Arial" w:ascii="Verdana" w:hAnsi="Verdana"/>
          <w:b/>
          <w:sz w:val="18"/>
          <w:szCs w:val="18"/>
        </w:rPr>
      </w:r>
    </w:p>
    <w:p>
      <w:pPr>
        <w:pStyle w:val="Normal"/>
        <w:numPr>
          <w:ilvl w:val="0"/>
          <w:numId w:val="23"/>
        </w:numPr>
        <w:tabs>
          <w:tab w:val="left" w:pos="1800" w:leader="none"/>
        </w:tabs>
        <w:jc w:val="both"/>
        <w:rPr>
          <w:rFonts w:ascii="Verdana" w:hAnsi="Verdana" w:cs="Arial"/>
          <w:sz w:val="18"/>
          <w:szCs w:val="18"/>
        </w:rPr>
      </w:pPr>
      <w:r>
        <w:rPr>
          <w:rFonts w:cs="Arial" w:ascii="Verdana" w:hAnsi="Verdana"/>
          <w:b/>
          <w:sz w:val="18"/>
          <w:szCs w:val="18"/>
        </w:rPr>
        <w:t>DA FORMULAÇÃO DOS LANCES</w:t>
      </w:r>
    </w:p>
    <w:p>
      <w:pPr>
        <w:pStyle w:val="Normal"/>
        <w:numPr>
          <w:ilvl w:val="1"/>
          <w:numId w:val="23"/>
        </w:numPr>
        <w:tabs>
          <w:tab w:val="left" w:pos="1800" w:leader="none"/>
        </w:tabs>
        <w:spacing w:before="120" w:after="0"/>
        <w:jc w:val="both"/>
        <w:rPr>
          <w:rFonts w:ascii="Verdana" w:hAnsi="Verdana" w:cs="Arial"/>
          <w:sz w:val="18"/>
          <w:szCs w:val="18"/>
        </w:rPr>
      </w:pPr>
      <w:r>
        <w:rPr>
          <w:rFonts w:ascii="Verdana" w:hAnsi="Verdana"/>
          <w:color w:val="000000"/>
          <w:sz w:val="18"/>
          <w:szCs w:val="18"/>
        </w:rPr>
        <w:t>No dia e horário indicado, o Pregoeiro abrirá a sessão pública, verificando as propostas de preços lançadas no sistema, as quais devem estar em perfeita consonância com as especificações e condições detalhadas nos Anexos deste Edital</w:t>
      </w:r>
      <w:r>
        <w:rPr>
          <w:rFonts w:cs="Arial" w:ascii="Verdana" w:hAnsi="Verdana"/>
          <w:sz w:val="18"/>
          <w:szCs w:val="18"/>
        </w:rPr>
        <w:t>;</w:t>
      </w:r>
    </w:p>
    <w:p>
      <w:pPr>
        <w:pStyle w:val="Normal"/>
        <w:numPr>
          <w:ilvl w:val="1"/>
          <w:numId w:val="23"/>
        </w:numPr>
        <w:tabs>
          <w:tab w:val="left" w:pos="1800" w:leader="none"/>
        </w:tabs>
        <w:spacing w:before="120" w:after="0"/>
        <w:jc w:val="both"/>
        <w:rPr>
          <w:rFonts w:ascii="Verdana" w:hAnsi="Verdana" w:cs="Arial"/>
          <w:sz w:val="18"/>
          <w:szCs w:val="18"/>
        </w:rPr>
      </w:pPr>
      <w:r>
        <w:rPr>
          <w:rFonts w:cs="Arial" w:ascii="Verdana" w:hAnsi="Verdana"/>
          <w:sz w:val="18"/>
          <w:szCs w:val="18"/>
        </w:rPr>
        <w:t>Constatada a existência de proposta incompatível com o objeto licitado ou aparentemente inexequível o Pregoeiro poderá justificar, através do sistema e excluí-la;</w:t>
      </w:r>
    </w:p>
    <w:p>
      <w:pPr>
        <w:pStyle w:val="Normal"/>
        <w:tabs>
          <w:tab w:val="left" w:pos="1800" w:leader="none"/>
        </w:tabs>
        <w:spacing w:before="120" w:after="0"/>
        <w:ind w:left="432" w:hanging="0"/>
        <w:jc w:val="both"/>
        <w:rPr>
          <w:rFonts w:ascii="Verdana" w:hAnsi="Verdana" w:cs="Arial"/>
          <w:sz w:val="18"/>
          <w:szCs w:val="18"/>
        </w:rPr>
      </w:pPr>
      <w:r>
        <w:rPr>
          <w:rFonts w:cs="Arial" w:ascii="Verdana" w:hAnsi="Verdana"/>
          <w:sz w:val="18"/>
          <w:szCs w:val="18"/>
        </w:rPr>
        <w:t xml:space="preserve">8.2.1 A não desclassificação da proposta não impede o seu julgamento definitivo em sentido contrário, levado a efeito na fase de aceitação. </w:t>
      </w:r>
    </w:p>
    <w:p>
      <w:pPr>
        <w:pStyle w:val="Normal"/>
        <w:numPr>
          <w:ilvl w:val="1"/>
          <w:numId w:val="23"/>
        </w:numPr>
        <w:tabs>
          <w:tab w:val="left" w:pos="1800" w:leader="none"/>
        </w:tabs>
        <w:spacing w:before="120" w:after="0"/>
        <w:jc w:val="both"/>
        <w:rPr>
          <w:rFonts w:ascii="Verdana" w:hAnsi="Verdana" w:cs="Arial"/>
          <w:sz w:val="18"/>
          <w:szCs w:val="18"/>
        </w:rPr>
      </w:pPr>
      <w:r>
        <w:rPr>
          <w:rFonts w:cs="Arial" w:ascii="Verdana" w:hAnsi="Verdana"/>
          <w:sz w:val="18"/>
          <w:szCs w:val="18"/>
        </w:rPr>
        <w:t>Iniciada a etapa competitiva, as licitantes poderão encaminhar lance exclusivamente por meio do sistema eletrônico, sendo o acompanhamento disponibilizado imediatamente;</w:t>
      </w:r>
    </w:p>
    <w:p>
      <w:pPr>
        <w:pStyle w:val="Normal"/>
        <w:tabs>
          <w:tab w:val="left" w:pos="1800" w:leader="none"/>
        </w:tabs>
        <w:spacing w:before="120" w:after="0"/>
        <w:ind w:left="432" w:hanging="0"/>
        <w:jc w:val="both"/>
        <w:rPr>
          <w:rFonts w:ascii="Verdana" w:hAnsi="Verdana" w:cs="Arial"/>
          <w:sz w:val="18"/>
          <w:szCs w:val="18"/>
        </w:rPr>
      </w:pPr>
      <w:r>
        <w:rPr>
          <w:rFonts w:cs="Arial" w:ascii="Verdana" w:hAnsi="Verdana"/>
          <w:sz w:val="18"/>
          <w:szCs w:val="18"/>
        </w:rPr>
        <w:t xml:space="preserve">8.3.1 O lance deverá ser ofertado pelo </w:t>
      </w:r>
      <w:r>
        <w:rPr>
          <w:rFonts w:cs="Arial" w:ascii="Verdana" w:hAnsi="Verdana"/>
          <w:b/>
          <w:sz w:val="18"/>
          <w:szCs w:val="18"/>
        </w:rPr>
        <w:t xml:space="preserve">VALOR UNITÁRIO </w:t>
      </w:r>
      <w:r>
        <w:rPr>
          <w:rFonts w:cs="Arial" w:ascii="Verdana" w:hAnsi="Verdana"/>
          <w:sz w:val="18"/>
          <w:szCs w:val="18"/>
        </w:rPr>
        <w:t>do item.</w:t>
      </w:r>
    </w:p>
    <w:p>
      <w:pPr>
        <w:pStyle w:val="Normal"/>
        <w:tabs>
          <w:tab w:val="left" w:pos="1800" w:leader="none"/>
        </w:tabs>
        <w:spacing w:before="120" w:after="0"/>
        <w:ind w:left="432" w:hanging="0"/>
        <w:jc w:val="both"/>
        <w:rPr>
          <w:rFonts w:ascii="Verdana" w:hAnsi="Verdana" w:cs="Arial"/>
          <w:sz w:val="18"/>
          <w:szCs w:val="18"/>
        </w:rPr>
      </w:pPr>
      <w:r>
        <w:rPr>
          <w:rFonts w:cs="Arial" w:ascii="Verdana" w:hAnsi="Verdana"/>
          <w:sz w:val="18"/>
          <w:szCs w:val="18"/>
        </w:rPr>
        <w:t>8.3.2 O intervalo entre os lances enviado pelo mesmo licitante não poderá ser inferior a 20 (vinte) segundos e o intervalo entre os lances não poderá ser inferior a 03 (três) segundos.</w:t>
      </w:r>
    </w:p>
    <w:p>
      <w:pPr>
        <w:pStyle w:val="Normal"/>
        <w:tabs>
          <w:tab w:val="left" w:pos="1800" w:leader="none"/>
        </w:tabs>
        <w:spacing w:before="120" w:after="0"/>
        <w:ind w:left="432" w:hanging="0"/>
        <w:jc w:val="both"/>
        <w:rPr>
          <w:rFonts w:ascii="Verdana" w:hAnsi="Verdana" w:cs="Arial"/>
          <w:sz w:val="18"/>
          <w:szCs w:val="18"/>
        </w:rPr>
      </w:pPr>
      <w:r>
        <w:rPr>
          <w:rFonts w:cs="Arial" w:ascii="Verdana" w:hAnsi="Verdana"/>
          <w:sz w:val="18"/>
          <w:szCs w:val="18"/>
        </w:rPr>
        <w:t>8.3.3 Os lances enviados em desacordo com o item acima serão descartados automaticamente pelo sistema.</w:t>
      </w:r>
    </w:p>
    <w:p>
      <w:pPr>
        <w:pStyle w:val="Normal"/>
        <w:tabs>
          <w:tab w:val="left" w:pos="1800" w:leader="none"/>
        </w:tabs>
        <w:spacing w:before="120" w:after="0"/>
        <w:ind w:left="432" w:hanging="0"/>
        <w:jc w:val="both"/>
        <w:rPr>
          <w:rFonts w:ascii="Verdana" w:hAnsi="Verdana" w:cs="Arial"/>
          <w:sz w:val="18"/>
          <w:szCs w:val="18"/>
        </w:rPr>
      </w:pPr>
      <w:r>
        <w:rPr>
          <w:rFonts w:cs="Arial" w:ascii="Verdana" w:hAnsi="Verdana"/>
          <w:sz w:val="18"/>
          <w:szCs w:val="18"/>
        </w:rPr>
        <w:t>8.3.4 Não serão aceitos dois ou mais lances iguais, prevalecendo aquele que for recebido e registro primeiro pelo sistema.</w:t>
      </w:r>
    </w:p>
    <w:p>
      <w:pPr>
        <w:pStyle w:val="Normal"/>
        <w:numPr>
          <w:ilvl w:val="1"/>
          <w:numId w:val="23"/>
        </w:numPr>
        <w:tabs>
          <w:tab w:val="left" w:pos="1800" w:leader="none"/>
        </w:tabs>
        <w:spacing w:before="120" w:after="0"/>
        <w:jc w:val="both"/>
        <w:rPr>
          <w:rFonts w:ascii="Verdana" w:hAnsi="Verdana" w:cs="Arial"/>
          <w:sz w:val="18"/>
          <w:szCs w:val="18"/>
        </w:rPr>
      </w:pPr>
      <w:r>
        <w:rPr>
          <w:rFonts w:cs="Arial" w:ascii="Verdana" w:hAnsi="Verdana"/>
          <w:sz w:val="18"/>
          <w:szCs w:val="18"/>
        </w:rPr>
        <w:t>Os licitantes deverão manter a impessoalidade, não se identificando, sob pena de serem excluídos do certame pelo Pregoeiro;</w:t>
      </w:r>
    </w:p>
    <w:p>
      <w:pPr>
        <w:pStyle w:val="Normal"/>
        <w:numPr>
          <w:ilvl w:val="1"/>
          <w:numId w:val="23"/>
        </w:numPr>
        <w:tabs>
          <w:tab w:val="left" w:pos="1800" w:leader="none"/>
        </w:tabs>
        <w:spacing w:before="120" w:after="0"/>
        <w:jc w:val="both"/>
        <w:rPr>
          <w:rFonts w:ascii="Verdana" w:hAnsi="Verdana" w:cs="Arial"/>
          <w:sz w:val="18"/>
          <w:szCs w:val="18"/>
        </w:rPr>
      </w:pPr>
      <w:r>
        <w:rPr>
          <w:rFonts w:cs="Arial" w:ascii="Verdana" w:hAnsi="Verdana"/>
          <w:sz w:val="18"/>
          <w:szCs w:val="18"/>
        </w:rPr>
        <w:t>As Licitantes poderão oferecer lances sucessivos, observados o horário fixado e as regras de aceitação dos mesmos. Será considerada aceitável a proposta que:</w:t>
      </w:r>
    </w:p>
    <w:p>
      <w:pPr>
        <w:pStyle w:val="Normal"/>
        <w:spacing w:before="80" w:after="0"/>
        <w:ind w:left="426" w:hanging="0"/>
        <w:jc w:val="both"/>
        <w:rPr>
          <w:rFonts w:ascii="Verdana" w:hAnsi="Verdana" w:cs="Arial"/>
          <w:sz w:val="18"/>
          <w:szCs w:val="18"/>
        </w:rPr>
      </w:pPr>
      <w:r>
        <w:rPr>
          <w:rFonts w:cs="Arial" w:ascii="Verdana" w:hAnsi="Verdana"/>
          <w:sz w:val="18"/>
          <w:szCs w:val="18"/>
        </w:rPr>
        <w:t>a) Atenda a todos os termos deste Edital;</w:t>
      </w:r>
    </w:p>
    <w:p>
      <w:pPr>
        <w:pStyle w:val="Normal"/>
        <w:spacing w:before="80" w:after="0"/>
        <w:ind w:left="426" w:hanging="0"/>
        <w:jc w:val="both"/>
        <w:rPr>
          <w:rFonts w:ascii="Verdana" w:hAnsi="Verdana" w:cs="Arial"/>
          <w:sz w:val="18"/>
          <w:szCs w:val="18"/>
        </w:rPr>
      </w:pPr>
      <w:r>
        <w:rPr>
          <w:rFonts w:cs="Arial" w:ascii="Verdana" w:hAnsi="Verdana"/>
          <w:sz w:val="18"/>
          <w:szCs w:val="18"/>
        </w:rPr>
        <w:t>b) Contenha preço compatível com os praticados no mercado, dentro do estipulado conforme as disponibilidades orçamentárias da UFVJM.</w:t>
      </w:r>
    </w:p>
    <w:p>
      <w:pPr>
        <w:pStyle w:val="Normal"/>
        <w:spacing w:before="80" w:after="0"/>
        <w:ind w:left="426" w:hanging="426"/>
        <w:jc w:val="both"/>
        <w:rPr>
          <w:rFonts w:ascii="Verdana" w:hAnsi="Verdana" w:cs="Arial"/>
          <w:sz w:val="18"/>
          <w:szCs w:val="18"/>
        </w:rPr>
      </w:pPr>
      <w:r>
        <w:rPr>
          <w:rFonts w:cs="Arial" w:ascii="Verdana" w:hAnsi="Verdana"/>
          <w:sz w:val="18"/>
          <w:szCs w:val="18"/>
        </w:rPr>
        <w:t>8.6. Serão desclassificadas as propostas que:</w:t>
      </w:r>
    </w:p>
    <w:p>
      <w:pPr>
        <w:pStyle w:val="Normal"/>
        <w:tabs>
          <w:tab w:val="left" w:pos="1440" w:leader="none"/>
        </w:tabs>
        <w:ind w:left="360" w:hanging="0"/>
        <w:jc w:val="both"/>
        <w:rPr>
          <w:rFonts w:ascii="Verdana" w:hAnsi="Verdana" w:cs="Arial"/>
          <w:sz w:val="18"/>
          <w:szCs w:val="18"/>
        </w:rPr>
      </w:pPr>
      <w:r>
        <w:rPr>
          <w:rFonts w:cs="Arial" w:ascii="Verdana" w:hAnsi="Verdana"/>
          <w:sz w:val="18"/>
          <w:szCs w:val="18"/>
        </w:rPr>
        <w:t>a) não atendam às exigências e requisitos estabelecidos neste edital ou imponham condições;</w:t>
      </w:r>
    </w:p>
    <w:p>
      <w:pPr>
        <w:pStyle w:val="Normal"/>
        <w:tabs>
          <w:tab w:val="left" w:pos="1440" w:leader="none"/>
        </w:tabs>
        <w:ind w:left="360" w:hanging="0"/>
        <w:jc w:val="both"/>
        <w:rPr>
          <w:rFonts w:ascii="Verdana" w:hAnsi="Verdana" w:cs="Arial"/>
          <w:sz w:val="18"/>
          <w:szCs w:val="18"/>
        </w:rPr>
      </w:pPr>
      <w:r>
        <w:rPr>
          <w:rFonts w:cs="Arial" w:ascii="Verdana" w:hAnsi="Verdana"/>
          <w:sz w:val="18"/>
          <w:szCs w:val="18"/>
        </w:rPr>
        <w:t>b) apresentem valores manifestamente excessivos;</w:t>
      </w:r>
    </w:p>
    <w:p>
      <w:pPr>
        <w:pStyle w:val="Normal"/>
        <w:tabs>
          <w:tab w:val="left" w:pos="1440" w:leader="none"/>
        </w:tabs>
        <w:ind w:left="360" w:hanging="0"/>
        <w:jc w:val="both"/>
        <w:rPr>
          <w:rFonts w:ascii="Verdana" w:hAnsi="Verdana" w:cs="Arial"/>
          <w:sz w:val="18"/>
          <w:szCs w:val="18"/>
        </w:rPr>
      </w:pPr>
      <w:r>
        <w:rPr>
          <w:rFonts w:cs="Arial" w:ascii="Verdana" w:hAnsi="Verdana"/>
          <w:sz w:val="18"/>
          <w:szCs w:val="18"/>
        </w:rPr>
        <w:t>c) lançadas em desacordo com o item 7 deste Edital, apresentando-se omissas, vagas com irregularidades ou defeitos capazes de impedir o julgamento;</w:t>
      </w:r>
    </w:p>
    <w:p>
      <w:pPr>
        <w:pStyle w:val="Normal"/>
        <w:tabs>
          <w:tab w:val="left" w:pos="1440" w:leader="none"/>
        </w:tabs>
        <w:ind w:left="360" w:hanging="0"/>
        <w:jc w:val="both"/>
        <w:rPr>
          <w:rFonts w:ascii="Verdana" w:hAnsi="Verdana" w:cs="Arial"/>
          <w:sz w:val="18"/>
          <w:szCs w:val="18"/>
        </w:rPr>
      </w:pPr>
      <w:r>
        <w:rPr>
          <w:rFonts w:cs="Arial" w:ascii="Verdana" w:hAnsi="Verdana"/>
          <w:sz w:val="18"/>
          <w:szCs w:val="18"/>
        </w:rPr>
        <w:t xml:space="preserve">d) apresentarem preço unitário ou global superior ao orçado pela Administração;  </w:t>
      </w:r>
    </w:p>
    <w:p>
      <w:pPr>
        <w:pStyle w:val="Normal"/>
        <w:tabs>
          <w:tab w:val="left" w:pos="1440" w:leader="none"/>
        </w:tabs>
        <w:ind w:left="360" w:hanging="0"/>
        <w:jc w:val="both"/>
        <w:rPr>
          <w:rFonts w:ascii="Verdana" w:hAnsi="Verdana" w:cs="Arial"/>
          <w:sz w:val="18"/>
          <w:szCs w:val="18"/>
        </w:rPr>
      </w:pPr>
      <w:r>
        <w:rPr>
          <w:rFonts w:cs="Arial" w:ascii="Verdana" w:hAnsi="Verdana"/>
          <w:sz w:val="18"/>
          <w:szCs w:val="18"/>
        </w:rPr>
        <w:t>e) apresentarem preços global ou unitários, simbólicos, irrisórios ou de valor zero.</w:t>
      </w:r>
    </w:p>
    <w:p>
      <w:pPr>
        <w:pStyle w:val="Normal"/>
        <w:numPr>
          <w:ilvl w:val="1"/>
          <w:numId w:val="7"/>
        </w:numPr>
        <w:tabs>
          <w:tab w:val="left" w:pos="426" w:leader="none"/>
        </w:tabs>
        <w:spacing w:before="120" w:after="0"/>
        <w:jc w:val="both"/>
        <w:rPr>
          <w:rFonts w:ascii="Verdana" w:hAnsi="Verdana" w:cs="Arial"/>
          <w:sz w:val="18"/>
          <w:szCs w:val="18"/>
        </w:rPr>
      </w:pPr>
      <w:r>
        <w:rPr>
          <w:rFonts w:cs="Arial" w:ascii="Verdana" w:hAnsi="Verdana"/>
          <w:sz w:val="18"/>
          <w:szCs w:val="18"/>
        </w:rPr>
        <w:t>Serão aceitos os lances cujos valores forem inferiores ao último lance que tenha sido anteriormente registrado pela licitante, não necessariamente lances menores que o menor lance registrado no sistema;</w:t>
      </w:r>
    </w:p>
    <w:p>
      <w:pPr>
        <w:pStyle w:val="Normal"/>
        <w:numPr>
          <w:ilvl w:val="1"/>
          <w:numId w:val="7"/>
        </w:numPr>
        <w:tabs>
          <w:tab w:val="left" w:pos="426" w:leader="none"/>
        </w:tabs>
        <w:spacing w:before="120" w:after="0"/>
        <w:jc w:val="both"/>
        <w:rPr>
          <w:rFonts w:ascii="Verdana" w:hAnsi="Verdana" w:cs="Arial"/>
          <w:sz w:val="18"/>
          <w:szCs w:val="18"/>
        </w:rPr>
      </w:pPr>
      <w:r>
        <w:rPr>
          <w:rFonts w:cs="Arial" w:ascii="Verdana" w:hAnsi="Verdana"/>
          <w:sz w:val="18"/>
          <w:szCs w:val="18"/>
        </w:rPr>
        <w:t>Não serão aceitos dois ou mais lances de igual valor, prevalecendo aquele que for recebido e registrado em primeiro lugar, como critério de desempate;</w:t>
      </w:r>
    </w:p>
    <w:p>
      <w:pPr>
        <w:pStyle w:val="Normal"/>
        <w:numPr>
          <w:ilvl w:val="1"/>
          <w:numId w:val="7"/>
        </w:numPr>
        <w:tabs>
          <w:tab w:val="left" w:pos="426" w:leader="none"/>
        </w:tabs>
        <w:spacing w:before="120" w:after="0"/>
        <w:jc w:val="both"/>
        <w:rPr>
          <w:rFonts w:ascii="Verdana" w:hAnsi="Verdana" w:cs="Arial"/>
          <w:sz w:val="18"/>
          <w:szCs w:val="18"/>
        </w:rPr>
      </w:pPr>
      <w:r>
        <w:rPr>
          <w:rFonts w:cs="Arial" w:ascii="Verdana" w:hAnsi="Verdana"/>
          <w:sz w:val="18"/>
          <w:szCs w:val="18"/>
        </w:rPr>
        <w:t>Sendo efetuado lance, aparentemente inexequível, o pregoeiro alertará a proponente, sobre o valor cotado para o respectivo item, através do sistema, podendo o mesmo ser confirmado pela proponente;</w:t>
      </w:r>
    </w:p>
    <w:p>
      <w:pPr>
        <w:pStyle w:val="Recuodecorpodetexto32"/>
        <w:tabs>
          <w:tab w:val="left" w:pos="1134" w:leader="none"/>
        </w:tabs>
        <w:ind w:left="360" w:right="-1" w:hanging="0"/>
        <w:jc w:val="both"/>
        <w:rPr>
          <w:rFonts w:ascii="Verdana" w:hAnsi="Verdana" w:cs="Arial"/>
          <w:sz w:val="18"/>
          <w:szCs w:val="18"/>
        </w:rPr>
      </w:pPr>
      <w:r>
        <w:rPr>
          <w:rFonts w:cs="Arial" w:ascii="Verdana" w:hAnsi="Verdana"/>
          <w:sz w:val="18"/>
          <w:szCs w:val="18"/>
        </w:rPr>
        <w:t>8.9.1. A exclusão de lance é possível somente durante a fase de lances, conforme estabelece legislação vigente, ou seja, antes do encerramento do item;</w:t>
      </w:r>
    </w:p>
    <w:p>
      <w:pPr>
        <w:pStyle w:val="Recuodecorpodetexto32"/>
        <w:spacing w:before="0" w:after="0"/>
        <w:ind w:left="360" w:right="-1" w:hanging="0"/>
        <w:jc w:val="both"/>
        <w:rPr>
          <w:rFonts w:ascii="Verdana" w:hAnsi="Verdana" w:eastAsia="Verdana" w:cs="Verdana"/>
          <w:sz w:val="18"/>
          <w:szCs w:val="18"/>
        </w:rPr>
      </w:pPr>
      <w:r>
        <w:rPr>
          <w:rFonts w:cs="Arial" w:ascii="Verdana" w:hAnsi="Verdana"/>
          <w:sz w:val="18"/>
          <w:szCs w:val="18"/>
        </w:rPr>
        <w:t>8.9.2. O proponente que encaminhar lance com valor aparentemente inexequível durante o período de encerramento aleatório, e, não havendo tempo hábil, para exclusão e/ou reformulação do lance, caso o mesmo não honre a oferta encaminhada, terá sua proposta rejeitada na fase de aceitabilidade;</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Durante o transcurso da sessão pública, as licitantes serão informadas, em tempo real, do valor do menor lance registrado que tenha sido apresentado pelas demais licitantes, vedada a identificação das mesmas;</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Em caso de desconexão com o Pregoeiro, no decorrer da etapa competitiva do Pregão Eletrônico, o sistema poderá permanecer acessível aos licitantes para o envio dos lances, sendo possível o retorno do pregoeiro para atuação na etapa, sem prejuízo dos atos realizados;</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Quando a desconexão persistir por tempo superior a 10 (dez) minutos, a sessão do Pregão Eletrônico será suspensa e terá reinício somente após comunicação expressa, no sistema eletrônico, aos participantes;</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A etapa de lances será encerrada mediante aviso de fechamento iminente dos lances, emitido pelo sistema eletrônico às licitantes, após o que transcorrerá período de até 30 (trinta) minutos, aleatoriamente determinado também pelo sistema eletrônico, findo o qual será automaticamente encerrada a recepção de lances;</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O Pregoeiro poderá encaminhar contraproposta diretamente à licitante que tenha apresentado o menor lance, através do sistema eletrônico, para  que  seja  obtido preço melhor e assim decidir sobre sua aceitação;</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O sistema aponta a licitante de menor preço, depois do encerramento da etapa de lances, ou quando for o caso, após negociação e decisão pelo Pregoeiro acerca da aceitação do lance de menor valor;</w:t>
      </w:r>
    </w:p>
    <w:p>
      <w:pPr>
        <w:pStyle w:val="Normal"/>
        <w:numPr>
          <w:ilvl w:val="1"/>
          <w:numId w:val="7"/>
        </w:numPr>
        <w:tabs>
          <w:tab w:val="left" w:pos="426" w:leader="none"/>
        </w:tabs>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Caso não sejam apresentados lances, será verificada a conformidade entre a proposta de menor preço e o valor estimado para a aquisição, em caso de empate entre duas ou mais propostas, será realizado sorteio, em data a ser definida pelo pregoeiro e informada aos licitantes com propostas empatadas.</w:t>
      </w:r>
    </w:p>
    <w:p>
      <w:pPr>
        <w:pStyle w:val="Normal"/>
        <w:numPr>
          <w:ilvl w:val="1"/>
          <w:numId w:val="7"/>
        </w:numPr>
        <w:tabs>
          <w:tab w:val="left" w:pos="426" w:leader="none"/>
        </w:tabs>
        <w:suppressAutoHyphens w:val="false"/>
        <w:spacing w:before="120" w:after="0"/>
        <w:jc w:val="both"/>
        <w:rPr>
          <w:rFonts w:ascii="Verdana" w:hAnsi="Verdana" w:eastAsia="Verdana" w:cs="Verdana"/>
          <w:sz w:val="18"/>
          <w:szCs w:val="18"/>
        </w:rPr>
      </w:pPr>
      <w:r>
        <w:rPr>
          <w:rFonts w:eastAsia="Verdana" w:cs="Verdana" w:ascii="Verdana" w:hAnsi="Verdana"/>
          <w:sz w:val="18"/>
          <w:szCs w:val="18"/>
        </w:rPr>
        <w:t xml:space="preserve"> </w:t>
      </w:r>
      <w:r>
        <w:rPr>
          <w:rFonts w:cs="Arial" w:ascii="Verdana" w:hAnsi="Verdana"/>
          <w:sz w:val="18"/>
          <w:szCs w:val="18"/>
        </w:rPr>
        <w:t>Após o encerramento da etapa competitiva, visando a formação de cadastro de reserva, os licitantes poderão reduzir seus preços ao valor da proposta do licitante mais bem classificado.</w:t>
      </w:r>
    </w:p>
    <w:p>
      <w:pPr>
        <w:pStyle w:val="Normal"/>
        <w:numPr>
          <w:ilvl w:val="1"/>
          <w:numId w:val="7"/>
        </w:numPr>
        <w:tabs>
          <w:tab w:val="left" w:pos="426" w:leader="none"/>
        </w:tabs>
        <w:suppressAutoHyphens w:val="false"/>
        <w:spacing w:before="120" w:after="0"/>
        <w:jc w:val="both"/>
        <w:rPr>
          <w:rFonts w:ascii="Verdana" w:hAnsi="Verdana" w:cs="Arial"/>
          <w:sz w:val="18"/>
          <w:szCs w:val="18"/>
        </w:rPr>
      </w:pPr>
      <w:r>
        <w:rPr>
          <w:rFonts w:eastAsia="Verdana" w:cs="Verdana" w:ascii="Verdana" w:hAnsi="Verdana"/>
          <w:sz w:val="18"/>
          <w:szCs w:val="18"/>
        </w:rPr>
        <w:t xml:space="preserve"> </w:t>
      </w:r>
      <w:r>
        <w:rPr>
          <w:rFonts w:cs="Arial" w:ascii="Verdana" w:hAnsi="Verdana"/>
          <w:sz w:val="18"/>
          <w:szCs w:val="18"/>
        </w:rPr>
        <w:t xml:space="preserve">A apresentação de novas propostas na forma do item 8.17 não prejudicará o resultado do certame em relação ao licitante mais bem classificado. </w:t>
      </w:r>
    </w:p>
    <w:p>
      <w:pPr>
        <w:pStyle w:val="Normal"/>
        <w:numPr>
          <w:ilvl w:val="1"/>
          <w:numId w:val="7"/>
        </w:numPr>
        <w:tabs>
          <w:tab w:val="left" w:pos="426" w:leader="none"/>
        </w:tabs>
        <w:suppressAutoHyphens w:val="false"/>
        <w:spacing w:before="120" w:after="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Ao presente certame não se aplica o sorteio como critério de desempate. Lances equivalentes não serão considerados iguais, vez que a ordem de apresentação das propostas pelos licitantes é utilizada como um dos critérios de classificação.</w:t>
      </w:r>
    </w:p>
    <w:p>
      <w:pPr>
        <w:pStyle w:val="Normal"/>
        <w:spacing w:before="120" w:after="0"/>
        <w:ind w:left="900" w:hanging="0"/>
        <w:jc w:val="both"/>
        <w:rPr>
          <w:rFonts w:ascii="Verdana" w:hAnsi="Verdana" w:cs="Arial"/>
          <w:sz w:val="18"/>
          <w:szCs w:val="18"/>
        </w:rPr>
      </w:pPr>
      <w:r>
        <w:rPr>
          <w:rFonts w:cs="Arial" w:ascii="Verdana" w:hAnsi="Verdana"/>
          <w:sz w:val="18"/>
          <w:szCs w:val="18"/>
        </w:rPr>
      </w:r>
    </w:p>
    <w:p>
      <w:pPr>
        <w:pStyle w:val="Normal"/>
        <w:numPr>
          <w:ilvl w:val="0"/>
          <w:numId w:val="23"/>
        </w:numPr>
        <w:tabs>
          <w:tab w:val="left" w:pos="1800" w:leader="none"/>
        </w:tabs>
        <w:jc w:val="both"/>
        <w:rPr>
          <w:rFonts w:ascii="Verdana" w:hAnsi="Verdana" w:cs="Arial"/>
          <w:sz w:val="18"/>
          <w:szCs w:val="18"/>
        </w:rPr>
      </w:pPr>
      <w:r>
        <w:rPr>
          <w:rFonts w:cs="Arial" w:ascii="Verdana" w:hAnsi="Verdana"/>
          <w:b/>
          <w:sz w:val="18"/>
          <w:szCs w:val="18"/>
        </w:rPr>
        <w:t>DO JULGAMENTO DAS PROPOSTAS DE PREÇOS E ACEITABILIDADE</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A presente Licitação é do tipo </w:t>
      </w:r>
      <w:r>
        <w:rPr>
          <w:rFonts w:cs="Arial" w:ascii="Verdana" w:hAnsi="Verdana"/>
          <w:b/>
          <w:sz w:val="18"/>
          <w:szCs w:val="18"/>
        </w:rPr>
        <w:t>MENOR PREÇO</w:t>
      </w:r>
      <w:r>
        <w:rPr>
          <w:rFonts w:cs="Arial" w:ascii="Verdana" w:hAnsi="Verdana"/>
          <w:sz w:val="18"/>
          <w:szCs w:val="18"/>
        </w:rPr>
        <w:t xml:space="preserve">, sendo vencedora(s) a(s) Licitante(s) que ofertar(em) o </w:t>
      </w:r>
      <w:r>
        <w:rPr>
          <w:rFonts w:cs="Arial" w:ascii="Verdana" w:hAnsi="Verdana"/>
          <w:b/>
          <w:sz w:val="18"/>
          <w:szCs w:val="18"/>
        </w:rPr>
        <w:t>MENOR PREÇO UNITÁRIO,</w:t>
      </w:r>
      <w:r>
        <w:rPr>
          <w:rFonts w:cs="Arial" w:ascii="Verdana" w:hAnsi="Verdana"/>
          <w:sz w:val="18"/>
          <w:szCs w:val="18"/>
        </w:rPr>
        <w:t xml:space="preserve"> conforme especificado neste Edital e seus Anexos, respeitadas as determinações legais previstas na Lei Complementar nº 123 de 14 de dezembro de 2006;</w:t>
      </w:r>
    </w:p>
    <w:p>
      <w:pPr>
        <w:pStyle w:val="Normal"/>
        <w:numPr>
          <w:ilvl w:val="2"/>
          <w:numId w:val="16"/>
        </w:numPr>
        <w:tabs>
          <w:tab w:val="left" w:pos="900" w:leader="none"/>
        </w:tabs>
        <w:spacing w:before="120" w:after="0"/>
        <w:ind w:left="993" w:hanging="1"/>
        <w:jc w:val="both"/>
        <w:rPr>
          <w:rFonts w:ascii="Verdana" w:hAnsi="Verdana" w:cs="Arial"/>
          <w:sz w:val="18"/>
          <w:szCs w:val="18"/>
        </w:rPr>
      </w:pPr>
      <w:r>
        <w:rPr>
          <w:rFonts w:cs="Arial" w:ascii="Verdana" w:hAnsi="Verdana"/>
          <w:sz w:val="18"/>
          <w:szCs w:val="18"/>
        </w:rPr>
        <w:t>Antes da aceitação da proposta será consultada a Base de Dados do Sistema CNPJ da Receita Federal do Brasil para verificação do Código CNAE ou a empresa deverá fazer a apresentação de cópia autenticada do Ato Constitutivo, Estatuto ou Contrato Social, para fins de verificação da pertinência da atividade da licitante com o objeto do edital. Sendo constatada situação de irregularidade a proposta será recusada.</w:t>
      </w:r>
    </w:p>
    <w:p>
      <w:pPr>
        <w:pStyle w:val="Normal"/>
        <w:numPr>
          <w:ilvl w:val="2"/>
          <w:numId w:val="16"/>
        </w:numPr>
        <w:tabs>
          <w:tab w:val="left" w:pos="900" w:leader="none"/>
        </w:tabs>
        <w:spacing w:before="120" w:after="0"/>
        <w:ind w:left="993" w:hanging="1"/>
        <w:jc w:val="both"/>
        <w:rPr>
          <w:rFonts w:ascii="Verdana" w:hAnsi="Verdana" w:cs="Arial"/>
          <w:sz w:val="18"/>
          <w:szCs w:val="18"/>
        </w:rPr>
      </w:pPr>
      <w:r>
        <w:rPr>
          <w:rFonts w:cs="Arial" w:ascii="Verdana" w:hAnsi="Verdana"/>
          <w:sz w:val="18"/>
          <w:szCs w:val="18"/>
        </w:rPr>
        <w:t>Será realizada consulta ao Portal de Transparência do Governo Federal para verificar se as microempresas e empresas de pequeno porte possuem no somatório de valores das ordens bancárias recebidas, relativas ao seu último exercício, valor que extrapola o faturamento máximo permitido como condição para esse benefício, conforme art. 3º da LC 123/2006. Sendo constatada situação de irregularidade a proposta será recusada.</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aceitação da proposta ocorrerá em momento ou data posterior à sessão de lances, a critério do pregoeiro que comunicará às licitantes através do sistema eletrônico;</w:t>
      </w:r>
    </w:p>
    <w:p>
      <w:pPr>
        <w:pStyle w:val="Normal"/>
        <w:numPr>
          <w:ilvl w:val="2"/>
          <w:numId w:val="23"/>
        </w:numPr>
        <w:tabs>
          <w:tab w:val="left" w:pos="1620" w:leader="none"/>
        </w:tabs>
        <w:spacing w:before="120" w:after="0"/>
        <w:ind w:left="1134" w:hanging="11"/>
        <w:jc w:val="both"/>
        <w:rPr>
          <w:rFonts w:ascii="Verdana" w:hAnsi="Verdana" w:cs="Arial"/>
          <w:sz w:val="18"/>
          <w:szCs w:val="18"/>
        </w:rPr>
      </w:pPr>
      <w:r>
        <w:rPr>
          <w:rFonts w:cs="Arial" w:ascii="Verdana" w:hAnsi="Verdana"/>
          <w:sz w:val="18"/>
          <w:szCs w:val="18"/>
        </w:rPr>
        <w:t>Valores com mais de duas casas decimais para os centavos serão arredondados (para baixo) na etapa de aceitação.</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Se a proposta ou lance de menor valor não atender as especificações solicitadas, inclusive com relação à aceitabilidade do objeto, após parecer técnico do interessado na aquisição, ou então, se o licitante desatender as exigências habilitatórias, o pregoeiro examinará a proposta ou o lance subsequente, verificando a sua aceitabilidade, procedendo a habilitação do proponente na ordem de classificação, e assim sucessivamente, até a apuração de uma proposta ou lance que atenda ao Edital;</w:t>
      </w:r>
    </w:p>
    <w:p>
      <w:pPr>
        <w:pStyle w:val="Normal"/>
        <w:spacing w:before="120" w:after="0"/>
        <w:ind w:left="1440" w:hanging="540"/>
        <w:jc w:val="both"/>
        <w:rPr>
          <w:rFonts w:ascii="Verdana" w:hAnsi="Verdana" w:cs="Arial"/>
          <w:sz w:val="18"/>
          <w:szCs w:val="18"/>
        </w:rPr>
      </w:pPr>
      <w:r>
        <w:rPr>
          <w:rFonts w:cs="Arial" w:ascii="Verdana" w:hAnsi="Verdana"/>
          <w:sz w:val="18"/>
          <w:szCs w:val="18"/>
        </w:rPr>
        <w:t>9.3.1. A aceitabilidade está condicionada ao atendimento de todas as exigências do Anexo I assim como análise do objeto ofertado, para tal a licitante deve descrever detalhadamente os serviços a serem ofertados.</w:t>
      </w:r>
    </w:p>
    <w:p>
      <w:pPr>
        <w:pStyle w:val="Normal"/>
        <w:tabs>
          <w:tab w:val="left" w:pos="1440" w:leader="none"/>
        </w:tabs>
        <w:spacing w:before="120" w:after="0"/>
        <w:ind w:left="1440" w:hanging="540"/>
        <w:jc w:val="both"/>
        <w:rPr>
          <w:rFonts w:ascii="Verdana" w:hAnsi="Verdana" w:cs="Arial"/>
          <w:sz w:val="18"/>
          <w:szCs w:val="18"/>
        </w:rPr>
      </w:pPr>
      <w:r>
        <w:rPr>
          <w:rFonts w:cs="Arial" w:ascii="Verdana" w:hAnsi="Verdana"/>
          <w:sz w:val="18"/>
          <w:szCs w:val="18"/>
        </w:rPr>
        <w:t>9.3.2. Ocorrendo situação a que se refere o subitem anterior, o pregoeiro poderá negociar com o licitante para que seja obtido menor preço;</w:t>
      </w:r>
    </w:p>
    <w:p>
      <w:pPr>
        <w:pStyle w:val="Normal"/>
        <w:tabs>
          <w:tab w:val="left" w:pos="1440" w:leader="none"/>
        </w:tabs>
        <w:spacing w:before="120" w:after="0"/>
        <w:ind w:left="1440" w:hanging="540"/>
        <w:jc w:val="both"/>
        <w:rPr>
          <w:rFonts w:ascii="Verdana" w:hAnsi="Verdana" w:cs="Arial"/>
          <w:sz w:val="18"/>
          <w:szCs w:val="18"/>
        </w:rPr>
      </w:pPr>
      <w:r>
        <w:rPr>
          <w:rFonts w:cs="Arial" w:ascii="Verdana" w:hAnsi="Verdana"/>
          <w:sz w:val="18"/>
          <w:szCs w:val="18"/>
        </w:rPr>
        <w:t>9.3.3. Sendo aceitável a(s) oferta(s), será verificado o atendimento das condições habilitatórias pela(s) Licitante(s) que a(s) tiver formulado;</w:t>
      </w:r>
    </w:p>
    <w:p>
      <w:pPr>
        <w:pStyle w:val="Normal"/>
        <w:tabs>
          <w:tab w:val="left" w:pos="1440" w:leader="none"/>
        </w:tabs>
        <w:spacing w:before="120" w:after="0"/>
        <w:ind w:left="1440" w:hanging="540"/>
        <w:jc w:val="both"/>
        <w:rPr>
          <w:rFonts w:ascii="Verdana" w:hAnsi="Verdana" w:cs="Arial"/>
          <w:sz w:val="18"/>
          <w:szCs w:val="18"/>
        </w:rPr>
      </w:pPr>
      <w:r>
        <w:rPr>
          <w:rFonts w:cs="Arial" w:ascii="Verdana" w:hAnsi="Verdana"/>
          <w:sz w:val="18"/>
          <w:szCs w:val="18"/>
        </w:rPr>
        <w:t>9.3.4. Constatado o atendimento pleno às exigências editalícias, será declarada a Proponente Vencedora;</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Na data da entrega, os produtos deverão ter, no mínimo, 80% de sua validade contato a partir da sua data de fabricação.</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Da Licitação lavrar-se-á a </w:t>
      </w:r>
      <w:r>
        <w:rPr>
          <w:rFonts w:cs="Arial" w:ascii="Verdana" w:hAnsi="Verdana"/>
          <w:b/>
          <w:sz w:val="18"/>
          <w:szCs w:val="18"/>
        </w:rPr>
        <w:t>Ata de Registro de Preços.</w:t>
      </w:r>
    </w:p>
    <w:p>
      <w:pPr>
        <w:pStyle w:val="Normal"/>
        <w:numPr>
          <w:ilvl w:val="1"/>
          <w:numId w:val="23"/>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Será realizada consulta ao Portal de Transparência do Governo Federal para verificar se as microempresas e empresas de pequeno porte possuem no somatório de ordens bancárias recebidas, relativas ao seu último exercício, valor que extrapola o faturamento máximo permitido como condição para receber o benefício da LC 123/2006. Sendo constatada situação de irregularidade a proposta será recusada.</w:t>
      </w:r>
    </w:p>
    <w:p>
      <w:pPr>
        <w:pStyle w:val="Normal"/>
        <w:numPr>
          <w:ilvl w:val="1"/>
          <w:numId w:val="23"/>
        </w:numPr>
        <w:tabs>
          <w:tab w:val="left" w:pos="900" w:leader="none"/>
        </w:tabs>
        <w:spacing w:before="120" w:after="0"/>
        <w:ind w:left="900" w:hanging="540"/>
        <w:jc w:val="both"/>
        <w:rPr>
          <w:rFonts w:ascii="Verdana" w:hAnsi="Verdana" w:cs="Arial"/>
          <w:b/>
          <w:b/>
          <w:sz w:val="18"/>
          <w:szCs w:val="18"/>
        </w:rPr>
      </w:pPr>
      <w:r>
        <w:rPr>
          <w:rFonts w:cs="Arial" w:ascii="Verdana" w:hAnsi="Verdana"/>
          <w:sz w:val="18"/>
          <w:szCs w:val="18"/>
        </w:rPr>
        <w:t>No ato da entrega dos produtos ofertados deverão apresentar, no mínimo, 80% de sua validade.</w:t>
      </w:r>
    </w:p>
    <w:p>
      <w:pPr>
        <w:pStyle w:val="Normal"/>
        <w:tabs>
          <w:tab w:val="left" w:pos="900" w:leader="none"/>
        </w:tabs>
        <w:spacing w:before="120" w:after="0"/>
        <w:ind w:left="900" w:hanging="0"/>
        <w:jc w:val="both"/>
        <w:rPr>
          <w:rFonts w:ascii="Verdana" w:hAnsi="Verdana" w:cs="Arial"/>
          <w:b/>
          <w:b/>
          <w:sz w:val="18"/>
          <w:szCs w:val="18"/>
        </w:rPr>
      </w:pPr>
      <w:r>
        <w:rPr>
          <w:rFonts w:cs="Arial" w:ascii="Verdana" w:hAnsi="Verdana"/>
          <w:b/>
          <w:sz w:val="18"/>
          <w:szCs w:val="18"/>
        </w:rPr>
      </w:r>
    </w:p>
    <w:p>
      <w:pPr>
        <w:pStyle w:val="Normal"/>
        <w:tabs>
          <w:tab w:val="left" w:pos="900" w:leader="none"/>
        </w:tabs>
        <w:spacing w:before="120" w:after="0"/>
        <w:ind w:left="900" w:hanging="0"/>
        <w:jc w:val="both"/>
        <w:rPr>
          <w:rFonts w:ascii="Verdana" w:hAnsi="Verdana" w:cs="Arial"/>
          <w:b/>
          <w:b/>
          <w:sz w:val="18"/>
          <w:szCs w:val="18"/>
        </w:rPr>
      </w:pPr>
      <w:r>
        <w:rPr>
          <w:rFonts w:cs="Arial" w:ascii="Verdana" w:hAnsi="Verdana"/>
          <w:b/>
          <w:sz w:val="18"/>
          <w:szCs w:val="18"/>
        </w:rPr>
      </w:r>
    </w:p>
    <w:p>
      <w:pPr>
        <w:pStyle w:val="Normal"/>
        <w:numPr>
          <w:ilvl w:val="0"/>
          <w:numId w:val="23"/>
        </w:numPr>
        <w:tabs>
          <w:tab w:val="left" w:pos="1800" w:leader="none"/>
        </w:tabs>
        <w:jc w:val="both"/>
        <w:rPr>
          <w:rFonts w:ascii="Verdana" w:hAnsi="Verdana" w:cs="Arial"/>
          <w:b/>
          <w:b/>
          <w:sz w:val="18"/>
          <w:szCs w:val="18"/>
        </w:rPr>
      </w:pPr>
      <w:r>
        <w:rPr>
          <w:rFonts w:cs="Arial" w:ascii="Verdana" w:hAnsi="Verdana"/>
          <w:b/>
          <w:sz w:val="18"/>
          <w:szCs w:val="18"/>
        </w:rPr>
        <w:t>DA HABILITAÇÃO</w:t>
      </w:r>
    </w:p>
    <w:p>
      <w:pPr>
        <w:pStyle w:val="Normal"/>
        <w:numPr>
          <w:ilvl w:val="1"/>
          <w:numId w:val="12"/>
        </w:numPr>
        <w:tabs>
          <w:tab w:val="left" w:pos="900" w:leader="none"/>
        </w:tabs>
        <w:spacing w:before="120" w:after="0"/>
        <w:ind w:left="901" w:hanging="544"/>
        <w:jc w:val="both"/>
        <w:rPr>
          <w:rFonts w:ascii="Verdana" w:hAnsi="Verdana" w:cs="Arial"/>
          <w:sz w:val="18"/>
          <w:szCs w:val="18"/>
        </w:rPr>
      </w:pPr>
      <w:r>
        <w:rPr>
          <w:rFonts w:cs="Arial" w:ascii="Verdana" w:hAnsi="Verdana"/>
          <w:sz w:val="18"/>
          <w:szCs w:val="18"/>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ormal"/>
        <w:numPr>
          <w:ilvl w:val="0"/>
          <w:numId w:val="11"/>
        </w:numPr>
        <w:tabs>
          <w:tab w:val="left" w:pos="900" w:leader="none"/>
        </w:tabs>
        <w:spacing w:before="120" w:after="0"/>
        <w:jc w:val="both"/>
        <w:rPr>
          <w:rFonts w:ascii="Verdana" w:hAnsi="Verdana" w:cs="Arial"/>
          <w:sz w:val="18"/>
          <w:szCs w:val="18"/>
        </w:rPr>
      </w:pPr>
      <w:r>
        <w:rPr>
          <w:rFonts w:cs="Arial" w:ascii="Verdana" w:hAnsi="Verdana"/>
          <w:sz w:val="18"/>
          <w:szCs w:val="18"/>
        </w:rPr>
        <w:t>SICAF;</w:t>
      </w:r>
    </w:p>
    <w:p>
      <w:pPr>
        <w:pStyle w:val="Normal"/>
        <w:numPr>
          <w:ilvl w:val="0"/>
          <w:numId w:val="11"/>
        </w:numPr>
        <w:spacing w:before="120" w:after="0"/>
        <w:jc w:val="both"/>
        <w:rPr>
          <w:rFonts w:ascii="Verdana" w:hAnsi="Verdana" w:cs="Arial"/>
          <w:sz w:val="18"/>
          <w:szCs w:val="18"/>
        </w:rPr>
      </w:pPr>
      <w:r>
        <w:rPr>
          <w:rFonts w:cs="Arial" w:ascii="Verdana" w:hAnsi="Verdana"/>
          <w:sz w:val="18"/>
          <w:szCs w:val="18"/>
        </w:rPr>
        <w:t>Declaradas inidôneas e suspensas de contratar com o poder público das três esferas administrativas constantes do Cadastro Nacional de Empresas Inidôneas e Suspensas - CEIS da Controladoria Geral da União – CGU;</w:t>
      </w:r>
    </w:p>
    <w:p>
      <w:pPr>
        <w:pStyle w:val="Normal"/>
        <w:numPr>
          <w:ilvl w:val="0"/>
          <w:numId w:val="11"/>
        </w:numPr>
        <w:spacing w:before="120" w:after="0"/>
        <w:jc w:val="both"/>
        <w:rPr>
          <w:rFonts w:ascii="Verdana" w:hAnsi="Verdana" w:cs="Arial"/>
          <w:sz w:val="18"/>
          <w:szCs w:val="18"/>
        </w:rPr>
      </w:pPr>
      <w:r>
        <w:rPr>
          <w:rFonts w:cs="Arial" w:ascii="Verdana" w:hAnsi="Verdana"/>
          <w:sz w:val="18"/>
          <w:szCs w:val="18"/>
        </w:rPr>
        <w:t xml:space="preserve">Constantes do Cadastro Nacional de Condenações Cíveis por Ato de Improbidade Administrativa, mantido pelo Conselho Nacional de Justiça – CNJ; </w:t>
      </w:r>
    </w:p>
    <w:p>
      <w:pPr>
        <w:pStyle w:val="Normal"/>
        <w:numPr>
          <w:ilvl w:val="0"/>
          <w:numId w:val="11"/>
        </w:numPr>
        <w:spacing w:before="120" w:after="0"/>
        <w:jc w:val="both"/>
        <w:rPr>
          <w:rFonts w:ascii="Verdana" w:hAnsi="Verdana" w:cs="Arial"/>
          <w:sz w:val="18"/>
          <w:szCs w:val="18"/>
        </w:rPr>
      </w:pPr>
      <w:r>
        <w:rPr>
          <w:rFonts w:cs="Arial" w:ascii="Verdana" w:hAnsi="Verdana"/>
          <w:sz w:val="18"/>
          <w:szCs w:val="18"/>
        </w:rPr>
        <w:t>Constantes do Cadastro de Licitantes Inidôneas do TCU;</w:t>
      </w:r>
    </w:p>
    <w:p>
      <w:pPr>
        <w:pStyle w:val="Normal"/>
        <w:numPr>
          <w:ilvl w:val="0"/>
          <w:numId w:val="11"/>
        </w:numPr>
        <w:spacing w:before="120" w:after="0"/>
        <w:jc w:val="both"/>
        <w:rPr>
          <w:rFonts w:ascii="Verdana" w:hAnsi="Verdana" w:cs="Arial"/>
          <w:sz w:val="18"/>
          <w:szCs w:val="18"/>
        </w:rPr>
      </w:pPr>
      <w:r>
        <w:rPr>
          <w:rFonts w:cs="Arial" w:ascii="Verdana" w:hAnsi="Verdana"/>
          <w:sz w:val="18"/>
          <w:szCs w:val="18"/>
        </w:rPr>
        <w:t>A consulta aos cadastros será realizada em nome da empresa licitante e também de seu sócio majoritário, por força do artigo 3º e 12 da Lei nº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0"/>
          <w:numId w:val="11"/>
        </w:numPr>
        <w:spacing w:before="120" w:after="0"/>
        <w:jc w:val="both"/>
        <w:rPr>
          <w:rFonts w:ascii="Verdana" w:hAnsi="Verdana" w:cs="Arial"/>
          <w:sz w:val="18"/>
          <w:szCs w:val="18"/>
        </w:rPr>
      </w:pPr>
      <w:r>
        <w:rPr>
          <w:rFonts w:cs="Arial" w:ascii="Verdana" w:hAnsi="Verdana"/>
          <w:sz w:val="18"/>
          <w:szCs w:val="18"/>
        </w:rPr>
        <w:t>Constatada a existência de sanção, o Pregoeiro reputará o licitante inabilitado, por falta de condição de participação.</w:t>
      </w:r>
    </w:p>
    <w:p>
      <w:pPr>
        <w:pStyle w:val="Normal"/>
        <w:numPr>
          <w:ilvl w:val="1"/>
          <w:numId w:val="12"/>
        </w:numPr>
        <w:spacing w:before="120" w:after="0"/>
        <w:jc w:val="both"/>
        <w:rPr>
          <w:rFonts w:ascii="Verdana" w:hAnsi="Verdana" w:cs="Arial"/>
          <w:sz w:val="18"/>
          <w:szCs w:val="18"/>
        </w:rPr>
      </w:pPr>
      <w:r>
        <w:rPr>
          <w:rFonts w:cs="Arial" w:ascii="Verdana" w:hAnsi="Verdana"/>
          <w:sz w:val="18"/>
          <w:szCs w:val="18"/>
        </w:rPr>
        <w:t xml:space="preserve">Será habilitada a licitante que estiver regularmente cadastrada no SICAF, com a documentação OBRIGATÓRIA atualizada e que apresentar certidão </w:t>
      </w:r>
      <w:r>
        <w:rPr>
          <w:rFonts w:cs="Arial" w:ascii="Verdana" w:hAnsi="Verdana"/>
          <w:color w:val="000000"/>
          <w:sz w:val="18"/>
          <w:szCs w:val="18"/>
        </w:rPr>
        <w:t>negativa de prova de inexistência de débitos inadimplidos perante a Justiça do Trabalho,</w:t>
      </w:r>
      <w:r>
        <w:rPr>
          <w:rFonts w:cs="Arial" w:ascii="Verdana" w:hAnsi="Verdana"/>
          <w:sz w:val="18"/>
          <w:szCs w:val="18"/>
        </w:rPr>
        <w:t xml:space="preserve"> que serão verificados “ON LINE”</w:t>
      </w:r>
      <w:r>
        <w:rPr>
          <w:rFonts w:cs="Arial" w:ascii="Verdana" w:hAnsi="Verdana"/>
          <w:color w:val="000000"/>
          <w:sz w:val="18"/>
          <w:szCs w:val="18"/>
        </w:rPr>
        <w:t xml:space="preserve">, </w:t>
      </w:r>
      <w:r>
        <w:rPr>
          <w:rFonts w:cs="Arial" w:ascii="Verdana" w:hAnsi="Verdana"/>
          <w:sz w:val="18"/>
          <w:szCs w:val="18"/>
        </w:rPr>
        <w:t xml:space="preserve">após a sessão de aceitabilidade. </w:t>
      </w:r>
    </w:p>
    <w:p>
      <w:pPr>
        <w:pStyle w:val="Normal"/>
        <w:numPr>
          <w:ilvl w:val="2"/>
          <w:numId w:val="12"/>
        </w:numPr>
        <w:tabs>
          <w:tab w:val="left" w:pos="900" w:leader="none"/>
        </w:tabs>
        <w:spacing w:before="120" w:after="0"/>
        <w:jc w:val="both"/>
        <w:rPr>
          <w:rFonts w:ascii="Verdana" w:hAnsi="Verdana" w:cs="Arial"/>
          <w:sz w:val="18"/>
          <w:szCs w:val="18"/>
        </w:rPr>
      </w:pPr>
      <w:r>
        <w:rPr>
          <w:rFonts w:cs="Arial" w:ascii="Verdana" w:hAnsi="Verdana"/>
          <w:sz w:val="18"/>
          <w:szCs w:val="18"/>
        </w:rPr>
        <w:t>Estando com certidões vencidas, a proponente será comunicada para enviá-las, imediatamente, do sistema eletrônico.</w:t>
      </w:r>
    </w:p>
    <w:p>
      <w:pPr>
        <w:pStyle w:val="Normal"/>
        <w:numPr>
          <w:ilvl w:val="2"/>
          <w:numId w:val="12"/>
        </w:numPr>
        <w:tabs>
          <w:tab w:val="left" w:pos="900" w:leader="none"/>
        </w:tabs>
        <w:spacing w:before="120" w:after="0"/>
        <w:jc w:val="both"/>
        <w:rPr>
          <w:rFonts w:ascii="Verdana" w:hAnsi="Verdana" w:cs="Verdana"/>
          <w:color w:val="000000"/>
          <w:sz w:val="18"/>
          <w:szCs w:val="18"/>
        </w:rPr>
      </w:pPr>
      <w:r>
        <w:rPr>
          <w:rFonts w:cs="Arial" w:ascii="Verdana" w:hAnsi="Verdana"/>
          <w:sz w:val="18"/>
          <w:szCs w:val="18"/>
        </w:rPr>
        <w:t>Também poderão ser consultados, pelo pregoeiro, os sítios oficiais emissores de certidões, para efeito de habilitação, especialmente quando o licitante esteja com alguma documentação vencida junto ao SICAF.</w:t>
      </w:r>
    </w:p>
    <w:p>
      <w:pPr>
        <w:pStyle w:val="Normal"/>
        <w:numPr>
          <w:ilvl w:val="2"/>
          <w:numId w:val="12"/>
        </w:numPr>
        <w:tabs>
          <w:tab w:val="left" w:pos="900" w:leader="none"/>
        </w:tabs>
        <w:spacing w:before="120" w:after="0"/>
        <w:jc w:val="both"/>
        <w:rPr>
          <w:rFonts w:ascii="Verdana" w:hAnsi="Verdana" w:cs="Arial"/>
          <w:sz w:val="18"/>
          <w:szCs w:val="18"/>
        </w:rPr>
      </w:pPr>
      <w:r>
        <w:rPr>
          <w:rFonts w:cs="Verdana" w:ascii="Verdana" w:hAnsi="Verdana"/>
          <w:color w:val="000000"/>
          <w:sz w:val="18"/>
          <w:szCs w:val="18"/>
        </w:rPr>
        <w:t>Caso o Pregoeiro não logre êxito em obter a certidão correspondente através do sítio oficial</w:t>
      </w:r>
      <w:r>
        <w:rPr>
          <w:rFonts w:cs="Verdana" w:ascii="Verdana" w:hAnsi="Verdana"/>
          <w:sz w:val="18"/>
          <w:szCs w:val="18"/>
        </w:rPr>
        <w:t>,</w:t>
      </w:r>
      <w:r>
        <w:rPr>
          <w:rFonts w:cs="Verdana" w:ascii="Verdana" w:hAnsi="Verdana"/>
          <w:color w:val="000000"/>
          <w:sz w:val="18"/>
          <w:szCs w:val="18"/>
        </w:rPr>
        <w:t xml:space="preserve"> o licitante será convocado a encaminhar, no prazo estipulado pelo pregoeiro, documento válido que comprove o atendimento das exigências deste Edital, sob pena de inabilitação, ressalvado o disposto quanto à comprovação da regularidade fiscal e trabalhista das microempresas, empresas de pequeno porte e das sociedades cooperativas, conforme estatui o art. 43, § 1º da LC nº 123, de 2006.</w:t>
      </w:r>
    </w:p>
    <w:p>
      <w:pPr>
        <w:pStyle w:val="Normal"/>
        <w:numPr>
          <w:ilvl w:val="1"/>
          <w:numId w:val="12"/>
        </w:numPr>
        <w:tabs>
          <w:tab w:val="left" w:pos="900" w:leader="none"/>
        </w:tabs>
        <w:spacing w:before="120" w:after="0"/>
        <w:jc w:val="both"/>
        <w:rPr>
          <w:rFonts w:ascii="Verdana" w:hAnsi="Verdana" w:eastAsia="Arial" w:cs="Arial"/>
          <w:color w:val="000000"/>
          <w:sz w:val="18"/>
          <w:szCs w:val="18"/>
        </w:rPr>
      </w:pPr>
      <w:r>
        <w:rPr>
          <w:rFonts w:eastAsia="Arial" w:cs="Arial" w:ascii="Verdana" w:hAnsi="Verdana"/>
          <w:color w:val="000000"/>
          <w:sz w:val="18"/>
          <w:szCs w:val="18"/>
        </w:rPr>
        <w:t>Os licitantes que não estiverem cadastrados no Sistema de Cadastro Unificado de Fornecedores – SICAF além do nível de credenciamento exigido pela IN SLTI/MPOG nº 2, de 2010, deverão apresentar a seguinte documentação relativa à Habilitação Jurídica e à Regularidade Fiscal, nas condições seguintes:</w:t>
      </w:r>
    </w:p>
    <w:p>
      <w:pPr>
        <w:pStyle w:val="Normal"/>
        <w:numPr>
          <w:ilvl w:val="1"/>
          <w:numId w:val="1"/>
        </w:numPr>
        <w:tabs>
          <w:tab w:val="left" w:pos="1080" w:leader="none"/>
        </w:tabs>
        <w:ind w:left="0" w:firstLine="885"/>
        <w:jc w:val="both"/>
        <w:rPr>
          <w:rFonts w:ascii="Verdana" w:hAnsi="Verdana" w:eastAsia="Arial" w:cs="Arial"/>
          <w:color w:val="000000"/>
          <w:sz w:val="18"/>
          <w:szCs w:val="18"/>
        </w:rPr>
      </w:pPr>
      <w:r>
        <w:rPr>
          <w:rFonts w:eastAsia="Arial" w:cs="Arial" w:ascii="Verdana" w:hAnsi="Verdana"/>
          <w:color w:val="000000"/>
          <w:sz w:val="18"/>
          <w:szCs w:val="18"/>
        </w:rPr>
      </w:r>
    </w:p>
    <w:p>
      <w:pPr>
        <w:pStyle w:val="Normal"/>
        <w:numPr>
          <w:ilvl w:val="1"/>
          <w:numId w:val="1"/>
        </w:numPr>
        <w:tabs>
          <w:tab w:val="left" w:pos="1080" w:leader="none"/>
        </w:tabs>
        <w:ind w:left="0" w:firstLine="885"/>
        <w:jc w:val="both"/>
        <w:rPr>
          <w:rFonts w:ascii="Verdana" w:hAnsi="Verdana" w:eastAsia="Verdana" w:cs="Verdana"/>
          <w:color w:val="000000"/>
          <w:sz w:val="18"/>
          <w:szCs w:val="18"/>
        </w:rPr>
      </w:pPr>
      <w:r>
        <w:rPr>
          <w:rFonts w:eastAsia="Arial" w:cs="Arial" w:ascii="Verdana" w:hAnsi="Verdana"/>
          <w:color w:val="000000"/>
          <w:sz w:val="18"/>
          <w:szCs w:val="18"/>
        </w:rPr>
        <w:t>10.3.1 Habilitação jurídica:</w:t>
      </w:r>
    </w:p>
    <w:p>
      <w:pPr>
        <w:pStyle w:val="Normal"/>
        <w:numPr>
          <w:ilvl w:val="0"/>
          <w:numId w:val="20"/>
        </w:numPr>
        <w:ind w:left="1560" w:hanging="0"/>
        <w:jc w:val="both"/>
        <w:rPr>
          <w:rFonts w:ascii="Verdana" w:hAnsi="Verdana" w:eastAsia="Arial" w:cs="Arial"/>
          <w:color w:val="000000"/>
          <w:sz w:val="18"/>
          <w:szCs w:val="18"/>
        </w:rPr>
      </w:pPr>
      <w:r>
        <w:rPr>
          <w:rFonts w:eastAsia="Verdana" w:cs="Verdana" w:ascii="Verdana" w:hAnsi="Verdana"/>
          <w:color w:val="000000"/>
          <w:sz w:val="18"/>
          <w:szCs w:val="18"/>
        </w:rPr>
        <w:t xml:space="preserve"> </w:t>
      </w:r>
      <w:r>
        <w:rPr>
          <w:rFonts w:eastAsia="Arial" w:cs="Arial" w:ascii="Verdana" w:hAnsi="Verdana"/>
          <w:color w:val="000000"/>
          <w:sz w:val="18"/>
          <w:szCs w:val="18"/>
        </w:rPr>
        <w:t>no caso de empresário individual, inscrição no Registro Público de empresas Mercantis, a cargo da Junta Comercial;</w:t>
      </w:r>
    </w:p>
    <w:p>
      <w:pPr>
        <w:pStyle w:val="Normal"/>
        <w:numPr>
          <w:ilvl w:val="0"/>
          <w:numId w:val="20"/>
        </w:numPr>
        <w:ind w:left="1560" w:hanging="0"/>
        <w:jc w:val="both"/>
        <w:rPr>
          <w:rFonts w:ascii="Verdana" w:hAnsi="Verdana" w:eastAsia="Arial" w:cs="Arial"/>
          <w:color w:val="000000"/>
          <w:sz w:val="18"/>
          <w:szCs w:val="18"/>
        </w:rPr>
      </w:pPr>
      <w:r>
        <w:rPr>
          <w:rFonts w:eastAsia="Arial" w:cs="Arial" w:ascii="Verdana" w:hAnsi="Verdana"/>
          <w:color w:val="000000"/>
          <w:sz w:val="18"/>
          <w:szCs w:val="18"/>
        </w:rPr>
        <w:t>no caso de sociedade empresária ou empresa individual de responsabilidade limitada – EIRELI: ato constitutivo, estatuto ou contrato social em vigor, devidamente registrado a Junta Comercial, acompanhado de documento comprobatório de seus administradores. Os documentos deverão estar acompanhados de todas as alterações ou da consolidação respectiva;</w:t>
      </w:r>
    </w:p>
    <w:p>
      <w:pPr>
        <w:pStyle w:val="Normal"/>
        <w:numPr>
          <w:ilvl w:val="0"/>
          <w:numId w:val="20"/>
        </w:numPr>
        <w:ind w:left="1560" w:hanging="0"/>
        <w:jc w:val="both"/>
        <w:rPr>
          <w:rFonts w:ascii="Verdana" w:hAnsi="Verdana" w:eastAsia="Arial" w:cs="Arial"/>
          <w:color w:val="000000"/>
          <w:sz w:val="18"/>
          <w:szCs w:val="18"/>
        </w:rPr>
      </w:pPr>
      <w:r>
        <w:rPr>
          <w:rFonts w:eastAsia="Arial" w:cs="Arial" w:ascii="Verdana" w:hAnsi="Verdana"/>
          <w:color w:val="000000"/>
          <w:sz w:val="18"/>
          <w:szCs w:val="18"/>
        </w:rPr>
        <w:t xml:space="preserve">   </w:t>
      </w:r>
      <w:r>
        <w:rPr>
          <w:rFonts w:eastAsia="Arial" w:cs="Arial" w:ascii="Verdana" w:hAnsi="Verdana"/>
          <w:color w:val="000000"/>
          <w:sz w:val="18"/>
          <w:szCs w:val="18"/>
        </w:rPr>
        <w:t>no caso de sociedades simples: inscrição do ato constitutivo no Registro Civil das Pessoas Jurídicas, acompanhada de prova da indicação dos seus administradores;</w:t>
      </w:r>
    </w:p>
    <w:p>
      <w:pPr>
        <w:pStyle w:val="Normal"/>
        <w:numPr>
          <w:ilvl w:val="0"/>
          <w:numId w:val="20"/>
        </w:numPr>
        <w:ind w:left="1560" w:hanging="0"/>
        <w:jc w:val="both"/>
        <w:rPr>
          <w:rFonts w:ascii="Verdana" w:hAnsi="Verdana" w:eastAsia="Arial" w:cs="Arial"/>
          <w:color w:val="000000"/>
          <w:sz w:val="18"/>
          <w:szCs w:val="18"/>
        </w:rPr>
      </w:pPr>
      <w:r>
        <w:rPr>
          <w:rFonts w:eastAsia="Arial" w:cs="Arial" w:ascii="Verdana" w:hAnsi="Verdana"/>
          <w:color w:val="000000"/>
          <w:sz w:val="18"/>
          <w:szCs w:val="18"/>
        </w:rPr>
        <w:t>no caso de microempresa ou empresa de pequeno porte: certidão expedida pela Junta Comercial ou pelo Registro Civil das Pessoas Jurídicas, conforme o caso, que comprove a condição de microempresa ou empresa de pequeno porte, nos termos do artigo 8º da Instrução Normativa nº 103, de 30/04/2007, do Departamento Nacional de Registro do Comércio – DNRC;</w:t>
      </w:r>
    </w:p>
    <w:p>
      <w:pPr>
        <w:pStyle w:val="Normal"/>
        <w:numPr>
          <w:ilvl w:val="0"/>
          <w:numId w:val="20"/>
        </w:numPr>
        <w:ind w:left="1560" w:hanging="0"/>
        <w:jc w:val="both"/>
        <w:rPr>
          <w:rFonts w:ascii="Verdana" w:hAnsi="Verdana" w:eastAsia="Arial" w:cs="Arial"/>
          <w:color w:val="000000"/>
          <w:sz w:val="18"/>
          <w:szCs w:val="18"/>
        </w:rPr>
      </w:pPr>
      <w:r>
        <w:rPr>
          <w:rFonts w:eastAsia="Arial" w:cs="Arial" w:ascii="Verdana" w:hAnsi="Verdana"/>
          <w:color w:val="000000"/>
          <w:sz w:val="18"/>
          <w:szCs w:val="18"/>
        </w:rPr>
        <w:t>Os documentos acima deverão estar acompanhados de todas as alterações ou da consolidação respectiva.</w:t>
      </w:r>
    </w:p>
    <w:p>
      <w:pPr>
        <w:pStyle w:val="Normal"/>
        <w:jc w:val="both"/>
        <w:rPr>
          <w:rFonts w:ascii="Verdana" w:hAnsi="Verdana" w:eastAsia="Arial" w:cs="Arial"/>
          <w:color w:val="000000"/>
          <w:sz w:val="18"/>
          <w:szCs w:val="18"/>
        </w:rPr>
      </w:pPr>
      <w:r>
        <w:rPr>
          <w:rFonts w:eastAsia="Arial" w:cs="Arial" w:ascii="Verdana" w:hAnsi="Verdana"/>
          <w:color w:val="000000"/>
          <w:sz w:val="18"/>
          <w:szCs w:val="18"/>
        </w:rPr>
      </w:r>
    </w:p>
    <w:p>
      <w:pPr>
        <w:pStyle w:val="Normal"/>
        <w:numPr>
          <w:ilvl w:val="1"/>
          <w:numId w:val="1"/>
        </w:numPr>
        <w:tabs>
          <w:tab w:val="left" w:pos="1080" w:leader="none"/>
        </w:tabs>
        <w:ind w:left="0" w:firstLine="885"/>
        <w:jc w:val="both"/>
        <w:rPr>
          <w:rFonts w:ascii="Verdana" w:hAnsi="Verdana" w:eastAsia="Verdana" w:cs="Verdana"/>
          <w:color w:val="000000"/>
          <w:sz w:val="18"/>
          <w:szCs w:val="18"/>
        </w:rPr>
      </w:pPr>
      <w:r>
        <w:rPr>
          <w:rFonts w:eastAsia="Arial" w:cs="Arial" w:ascii="Verdana" w:hAnsi="Verdana"/>
          <w:color w:val="000000"/>
          <w:sz w:val="18"/>
          <w:szCs w:val="18"/>
        </w:rPr>
        <w:t>10.3.2 Regularidade fiscal e trabalhista:</w:t>
      </w:r>
    </w:p>
    <w:p>
      <w:pPr>
        <w:pStyle w:val="Normal"/>
        <w:numPr>
          <w:ilvl w:val="2"/>
          <w:numId w:val="8"/>
        </w:numPr>
        <w:tabs>
          <w:tab w:val="left" w:pos="1843" w:leader="none"/>
        </w:tabs>
        <w:ind w:left="1560" w:hanging="11"/>
        <w:jc w:val="both"/>
        <w:rPr>
          <w:rFonts w:ascii="Verdana" w:hAnsi="Verdana" w:eastAsia="Verdana" w:cs="Verdana"/>
          <w:color w:val="000000"/>
          <w:sz w:val="18"/>
          <w:szCs w:val="18"/>
        </w:rPr>
      </w:pPr>
      <w:r>
        <w:rPr>
          <w:rFonts w:eastAsia="Arial" w:cs="Arial" w:ascii="Verdana" w:hAnsi="Verdana"/>
          <w:color w:val="000000"/>
          <w:sz w:val="18"/>
          <w:szCs w:val="18"/>
        </w:rPr>
        <w:t>prova de inscrição no Cadastro Nacional de Pessoa Jurídica;</w:t>
      </w:r>
    </w:p>
    <w:p>
      <w:pPr>
        <w:pStyle w:val="Normal"/>
        <w:numPr>
          <w:ilvl w:val="2"/>
          <w:numId w:val="8"/>
        </w:numPr>
        <w:tabs>
          <w:tab w:val="left" w:pos="1843" w:leader="none"/>
        </w:tabs>
        <w:ind w:left="1560" w:hanging="11"/>
        <w:jc w:val="both"/>
        <w:rPr>
          <w:rFonts w:ascii="Verdana" w:hAnsi="Verdana" w:eastAsia="Verdana" w:cs="Verdana"/>
          <w:color w:val="000000"/>
          <w:sz w:val="18"/>
          <w:szCs w:val="18"/>
        </w:rPr>
      </w:pPr>
      <w:r>
        <w:rPr>
          <w:rFonts w:eastAsia="Arial" w:cs="Arial" w:ascii="Verdana" w:hAnsi="Verdana"/>
          <w:color w:val="000000"/>
          <w:sz w:val="18"/>
          <w:szCs w:val="18"/>
        </w:rPr>
        <w:t>prova de regularidade com a Fazenda Nacional e com a Seguridade Social (certidão conjunta, emitida pela secretaria da Receita Federal do Brasil e Procuradoria-Geral da Fazenda Nacional, quanto aos demais tributos federais e à Divida Ativa da União, por elas administradas, conforme art. 1º, inciso I, do Decreto nº 6.106/07);</w:t>
      </w:r>
    </w:p>
    <w:p>
      <w:pPr>
        <w:pStyle w:val="Normal"/>
        <w:numPr>
          <w:ilvl w:val="2"/>
          <w:numId w:val="8"/>
        </w:numPr>
        <w:tabs>
          <w:tab w:val="left" w:pos="1843" w:leader="none"/>
        </w:tabs>
        <w:ind w:left="1560" w:hanging="11"/>
        <w:jc w:val="both"/>
        <w:rPr>
          <w:rFonts w:ascii="Verdana" w:hAnsi="Verdana" w:eastAsia="Verdana" w:cs="Verdana"/>
          <w:color w:val="000000"/>
          <w:sz w:val="18"/>
          <w:szCs w:val="18"/>
        </w:rPr>
      </w:pPr>
      <w:r>
        <w:rPr>
          <w:rFonts w:eastAsia="Arial" w:cs="Arial" w:ascii="Verdana" w:hAnsi="Verdana"/>
          <w:color w:val="000000"/>
          <w:sz w:val="18"/>
          <w:szCs w:val="18"/>
        </w:rPr>
        <w:t>Prova de regularidade com a Fazenda Estadual do domicílio ou sede do licitante;</w:t>
      </w:r>
    </w:p>
    <w:p>
      <w:pPr>
        <w:pStyle w:val="Normal"/>
        <w:numPr>
          <w:ilvl w:val="2"/>
          <w:numId w:val="8"/>
        </w:numPr>
        <w:tabs>
          <w:tab w:val="left" w:pos="1843" w:leader="none"/>
        </w:tabs>
        <w:ind w:left="1560" w:hanging="11"/>
        <w:jc w:val="both"/>
        <w:rPr>
          <w:rFonts w:ascii="Verdana" w:hAnsi="Verdana" w:eastAsia="Verdana" w:cs="Verdana"/>
          <w:color w:val="000000"/>
          <w:sz w:val="18"/>
          <w:szCs w:val="18"/>
        </w:rPr>
      </w:pPr>
      <w:r>
        <w:rPr>
          <w:rFonts w:eastAsia="Verdana" w:cs="Verdana" w:ascii="Verdana" w:hAnsi="Verdana"/>
          <w:color w:val="000000"/>
          <w:sz w:val="18"/>
          <w:szCs w:val="18"/>
        </w:rPr>
        <w:t xml:space="preserve"> </w:t>
      </w:r>
      <w:r>
        <w:rPr>
          <w:rFonts w:eastAsia="Arial" w:cs="Arial" w:ascii="Verdana" w:hAnsi="Verdana"/>
          <w:color w:val="000000"/>
          <w:sz w:val="18"/>
          <w:szCs w:val="18"/>
        </w:rPr>
        <w:t>Prova de regularidade com o Fundo de Garantia do Tempo de Serviço (FGTS);</w:t>
      </w:r>
    </w:p>
    <w:p>
      <w:pPr>
        <w:pStyle w:val="Normal"/>
        <w:numPr>
          <w:ilvl w:val="2"/>
          <w:numId w:val="8"/>
        </w:numPr>
        <w:tabs>
          <w:tab w:val="left" w:pos="1843" w:leader="none"/>
        </w:tabs>
        <w:ind w:left="1560" w:hanging="11"/>
        <w:jc w:val="both"/>
        <w:rPr>
          <w:rFonts w:ascii="Verdana" w:hAnsi="Verdana" w:eastAsia="Arial" w:cs="Arial"/>
          <w:color w:val="000000"/>
          <w:sz w:val="18"/>
          <w:szCs w:val="18"/>
        </w:rPr>
      </w:pPr>
      <w:r>
        <w:rPr>
          <w:rFonts w:eastAsia="Verdana" w:cs="Verdana" w:ascii="Verdana" w:hAnsi="Verdana"/>
          <w:color w:val="000000"/>
          <w:sz w:val="18"/>
          <w:szCs w:val="18"/>
        </w:rPr>
        <w:t xml:space="preserve"> </w:t>
      </w:r>
      <w:r>
        <w:rPr>
          <w:rFonts w:eastAsia="Arial" w:cs="Arial" w:ascii="Verdana" w:hAnsi="Verdana"/>
          <w:color w:val="000000"/>
          <w:sz w:val="18"/>
          <w:szCs w:val="18"/>
        </w:rPr>
        <w:t>Prova de inexistência de débitos inadimplidos perante a Justiça do Trabalho, mediante a apresentação de certidão negativa, nos termos do Título VII-A da Consolidação das Leis do Trabalho, aprovada pelo Decreto-Lei no 5.452, de 1o de maio de 1943, em atendimento ao Art. 29, V, da Lei nº 8.666/93, incluído pela Lei nº 12.440/2011, em vigor.</w:t>
      </w:r>
    </w:p>
    <w:p>
      <w:pPr>
        <w:pStyle w:val="Normal"/>
        <w:numPr>
          <w:ilvl w:val="2"/>
          <w:numId w:val="8"/>
        </w:numPr>
        <w:tabs>
          <w:tab w:val="left" w:pos="1843" w:leader="none"/>
        </w:tabs>
        <w:ind w:left="1560" w:hanging="11"/>
        <w:jc w:val="both"/>
        <w:rPr>
          <w:rFonts w:ascii="Verdana" w:hAnsi="Verdana" w:cs="Arial"/>
          <w:sz w:val="18"/>
          <w:szCs w:val="18"/>
        </w:rPr>
      </w:pPr>
      <w:r>
        <w:rPr>
          <w:rFonts w:cs="Verdana" w:ascii="Verdana" w:hAnsi="Verdana"/>
          <w:color w:val="000000"/>
          <w:sz w:val="18"/>
          <w:szCs w:val="18"/>
          <w:lang w:eastAsia="pt-BR" w:bidi="pt-BR"/>
        </w:rPr>
        <w:t>A microempresa, empresa de pequeno porte, ou sociedade cooperativa enquadrada</w:t>
      </w:r>
      <w:r>
        <w:rPr>
          <w:rFonts w:cs="Verdana" w:ascii="Verdana" w:hAnsi="Verdana"/>
          <w:color w:val="000000"/>
          <w:sz w:val="18"/>
          <w:szCs w:val="18"/>
        </w:rPr>
        <w:t xml:space="preserve"> no artigo 34 da Lei nº 11.488, de 2007,</w:t>
      </w:r>
      <w:r>
        <w:rPr>
          <w:rFonts w:cs="Verdana" w:ascii="Verdana" w:hAnsi="Verdana"/>
          <w:color w:val="000000"/>
          <w:sz w:val="18"/>
          <w:szCs w:val="18"/>
          <w:lang w:eastAsia="pt-BR" w:bidi="pt-BR"/>
        </w:rPr>
        <w:t xml:space="preserve"> </w:t>
      </w:r>
      <w:r>
        <w:rPr>
          <w:rFonts w:cs="Verdana" w:ascii="Verdana" w:hAnsi="Verdana"/>
          <w:color w:val="000000"/>
          <w:sz w:val="18"/>
          <w:szCs w:val="18"/>
        </w:rPr>
        <w:t>deverá apresentar toda a documentação exigida para efeito de comprovação de regularidade fiscal, mesmo que esta apresente alguma restrição.</w:t>
      </w:r>
    </w:p>
    <w:p>
      <w:pPr>
        <w:pStyle w:val="NormalWeb"/>
        <w:numPr>
          <w:ilvl w:val="0"/>
          <w:numId w:val="8"/>
        </w:numPr>
        <w:rPr>
          <w:szCs w:val="24"/>
          <w:lang w:eastAsia="pt-BR"/>
        </w:rPr>
      </w:pPr>
      <w:r>
        <w:rPr>
          <w:rFonts w:ascii="Verdana" w:hAnsi="Verdana"/>
          <w:color w:val="000000"/>
          <w:sz w:val="18"/>
          <w:szCs w:val="18"/>
          <w:lang w:eastAsia="pt-BR"/>
        </w:rPr>
        <w:t xml:space="preserve">          </w:t>
      </w:r>
      <w:r>
        <w:rPr>
          <w:rFonts w:ascii="Verdana" w:hAnsi="Verdana"/>
          <w:color w:val="000000"/>
          <w:sz w:val="18"/>
          <w:szCs w:val="18"/>
          <w:lang w:eastAsia="pt-BR"/>
        </w:rPr>
        <w:t xml:space="preserve">10.3.3 Todos os licitantes deverão ainda comprovar, para efeito de qualificação técnica: </w:t>
      </w:r>
    </w:p>
    <w:p>
      <w:pPr>
        <w:pStyle w:val="Normal"/>
        <w:numPr>
          <w:ilvl w:val="0"/>
          <w:numId w:val="8"/>
        </w:numPr>
        <w:suppressAutoHyphens w:val="false"/>
        <w:spacing w:before="0" w:after="0"/>
        <w:rPr>
          <w:rFonts w:ascii="Verdana" w:hAnsi="Verdana" w:cs="Arial"/>
          <w:sz w:val="18"/>
          <w:szCs w:val="18"/>
          <w:highlight w:val="yellow"/>
        </w:rPr>
      </w:pPr>
      <w:r>
        <w:rPr>
          <w:rFonts w:cs="Arial" w:ascii="Verdana" w:hAnsi="Verdana"/>
          <w:sz w:val="18"/>
          <w:szCs w:val="18"/>
          <w:highlight w:val="yellow"/>
        </w:rPr>
        <w:t>a) Prova de Registro, dos produtos, no Ministério da Agricultura, Pecuária e Abastecimento</w:t>
        <w:br/>
        <w:t>MAPA em atendimento à Lei 6.894/1980 para os itens: 02, 03, 04, 05, 06, 08 e 09.</w:t>
      </w:r>
    </w:p>
    <w:p>
      <w:pPr>
        <w:pStyle w:val="Normal"/>
        <w:numPr>
          <w:ilvl w:val="0"/>
          <w:numId w:val="8"/>
        </w:numPr>
        <w:suppressAutoHyphens w:val="false"/>
        <w:spacing w:before="0" w:afterAutospacing="1"/>
        <w:rPr>
          <w:rFonts w:ascii="Verdana" w:hAnsi="Verdana" w:cs="Arial"/>
          <w:sz w:val="18"/>
          <w:szCs w:val="18"/>
          <w:highlight w:val="yellow"/>
        </w:rPr>
      </w:pPr>
      <w:r>
        <w:rPr>
          <w:rFonts w:cs="Arial" w:ascii="Verdana" w:hAnsi="Verdana"/>
          <w:sz w:val="18"/>
          <w:szCs w:val="18"/>
          <w:highlight w:val="yellow"/>
        </w:rPr>
        <w:t>b) Prova de Registro, dos produtos, no Ministério da Agricultura, Pecuária e Abastecimento – MAPA em atendimento à Lei 7.802/1989 para os itens: 01, 07, 10, 14, 16, 17, 18 e 22.</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 xml:space="preserve">A comprovação de regularidade fiscal e trabalhista das microempresas e empresas de pequeno porte somente será exigida para efeito de contratação, e não como condição para participação na licitação. </w:t>
        <w:tab/>
      </w:r>
    </w:p>
    <w:p>
      <w:pPr>
        <w:pStyle w:val="Normal"/>
        <w:tabs>
          <w:tab w:val="left" w:pos="1800" w:leader="none"/>
        </w:tabs>
        <w:spacing w:before="120" w:after="0"/>
        <w:ind w:left="1620" w:hanging="720"/>
        <w:jc w:val="both"/>
        <w:rPr>
          <w:rFonts w:ascii="Verdana" w:hAnsi="Verdana" w:cs="Arial"/>
          <w:sz w:val="18"/>
          <w:szCs w:val="18"/>
        </w:rPr>
      </w:pPr>
      <w:r>
        <w:rPr>
          <w:rFonts w:cs="Arial" w:ascii="Verdana" w:hAnsi="Verdana"/>
          <w:sz w:val="18"/>
          <w:szCs w:val="18"/>
        </w:rPr>
        <w:t>10.4.1. Na fase de habilitação, será efetuada a consulta ao SICAF e, havendo alguma restrição na comprovação da regularidade fiscal e trabalhista, será assegurado o prazo de cinco dias úteis, cujo termo inicial corresponderá ao momento em que o proponente for declarado vencedor do certame, prorrogável por igual período, para a regularização da documentação, pagamento ou parcelamento de débito, e emissão de eventuais certidões negativas ou positivas com efeito de certidão negativa.</w:t>
      </w:r>
    </w:p>
    <w:p>
      <w:pPr>
        <w:pStyle w:val="Normal"/>
        <w:tabs>
          <w:tab w:val="left" w:pos="1800" w:leader="none"/>
        </w:tabs>
        <w:spacing w:before="120" w:after="0"/>
        <w:ind w:left="1620" w:hanging="720"/>
        <w:jc w:val="both"/>
        <w:rPr>
          <w:rFonts w:ascii="Verdana" w:hAnsi="Verdana" w:cs="Arial"/>
          <w:sz w:val="18"/>
          <w:szCs w:val="18"/>
        </w:rPr>
      </w:pPr>
      <w:r>
        <w:rPr>
          <w:rFonts w:cs="Arial" w:ascii="Verdana" w:hAnsi="Verdana"/>
          <w:sz w:val="18"/>
          <w:szCs w:val="18"/>
        </w:rPr>
        <w:t>10.4.2. A declaração do vencedor, de que trata o item 10.4.1 acontecerá no momento imediatamente posterior à fase de habilitação.</w:t>
      </w:r>
    </w:p>
    <w:p>
      <w:pPr>
        <w:pStyle w:val="Normal"/>
        <w:tabs>
          <w:tab w:val="left" w:pos="1800" w:leader="none"/>
        </w:tabs>
        <w:spacing w:before="120" w:after="0"/>
        <w:ind w:left="1620" w:hanging="720"/>
        <w:jc w:val="both"/>
        <w:rPr>
          <w:rFonts w:ascii="Verdana" w:hAnsi="Verdana" w:cs="Arial"/>
          <w:sz w:val="18"/>
          <w:szCs w:val="18"/>
        </w:rPr>
      </w:pPr>
      <w:r>
        <w:rPr>
          <w:rFonts w:cs="Arial" w:ascii="Verdana" w:hAnsi="Verdana"/>
          <w:sz w:val="18"/>
          <w:szCs w:val="18"/>
        </w:rPr>
        <w:t>10.4.3. A prorrogação do prazo previsto no item 10.4.1. será concedida pela administração quando requerida pelo licitante, a não ser que exista urgência na contratação ou prazo insuficiente para o pagamento, devidamente justificados.</w:t>
      </w:r>
    </w:p>
    <w:p>
      <w:pPr>
        <w:pStyle w:val="Normal"/>
        <w:tabs>
          <w:tab w:val="left" w:pos="1800" w:leader="none"/>
        </w:tabs>
        <w:spacing w:before="120" w:after="0"/>
        <w:ind w:left="1620" w:hanging="720"/>
        <w:jc w:val="both"/>
        <w:rPr>
          <w:rFonts w:ascii="Verdana" w:hAnsi="Verdana" w:cs="Arial"/>
          <w:b/>
          <w:b/>
          <w:sz w:val="18"/>
          <w:szCs w:val="18"/>
        </w:rPr>
      </w:pPr>
      <w:r>
        <w:rPr>
          <w:rFonts w:cs="Arial" w:ascii="Verdana" w:hAnsi="Verdana"/>
          <w:sz w:val="18"/>
          <w:szCs w:val="18"/>
        </w:rPr>
        <w:t>10.4.4. A não regularização da documentação no prazo previsto no item 10.3.1. implicará decadência do direito à contratação, sem prejuízo das sanções prevista no art. 81 da Lei 8.666/93 sendo facultado à administração convocar os licitantes remanescentes, na ordem de classificação, ou revogar a licitação.</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b/>
          <w:sz w:val="18"/>
          <w:szCs w:val="18"/>
        </w:rPr>
        <w:t>O CNPJ do participante na Licitação terá que ser obrigatoriamente, da mesma Empresa que efetivamente irá fornecer o objeto da presente licitação e emitir a respectiva Nota Fiscal / Fatura;</w:t>
      </w:r>
    </w:p>
    <w:p>
      <w:pPr>
        <w:pStyle w:val="Normal"/>
        <w:numPr>
          <w:ilvl w:val="1"/>
          <w:numId w:val="12"/>
        </w:numPr>
        <w:tabs>
          <w:tab w:val="left" w:pos="900" w:leader="none"/>
        </w:tabs>
        <w:spacing w:before="120" w:after="0"/>
        <w:ind w:left="901" w:hanging="544"/>
        <w:jc w:val="both"/>
        <w:rPr>
          <w:rFonts w:ascii="Verdana" w:hAnsi="Verdana" w:cs="Arial"/>
          <w:b/>
          <w:b/>
          <w:sz w:val="18"/>
          <w:szCs w:val="18"/>
        </w:rPr>
      </w:pPr>
      <w:r>
        <w:rPr>
          <w:rFonts w:cs="Arial" w:ascii="Verdana" w:hAnsi="Verdana"/>
          <w:sz w:val="18"/>
          <w:szCs w:val="18"/>
        </w:rPr>
        <w:t>A apresentação de declaração falsa relativa ao cumprimento dos requisitos de habilitação sujeitará a licitante às sanções previstas no artigo 28 do Decreto nº 5.450, de 31 de maio de 2005.</w:t>
      </w:r>
    </w:p>
    <w:p>
      <w:pPr>
        <w:pStyle w:val="Normal"/>
        <w:numPr>
          <w:ilvl w:val="1"/>
          <w:numId w:val="12"/>
        </w:numPr>
        <w:tabs>
          <w:tab w:val="left" w:pos="900" w:leader="none"/>
        </w:tabs>
        <w:spacing w:before="120" w:after="0"/>
        <w:ind w:left="901" w:hanging="544"/>
        <w:jc w:val="both"/>
        <w:rPr>
          <w:rFonts w:ascii="Verdana" w:hAnsi="Verdana" w:cs="Arial"/>
          <w:sz w:val="18"/>
          <w:szCs w:val="18"/>
        </w:rPr>
      </w:pPr>
      <w:r>
        <w:rPr>
          <w:rFonts w:cs="Arial" w:ascii="Verdana" w:hAnsi="Verdana"/>
          <w:b/>
          <w:sz w:val="18"/>
          <w:szCs w:val="18"/>
        </w:rPr>
        <w:t xml:space="preserve">É essencial a participação/conexão de todos os licitantes participantes na sessão pública de aceitabilidade e habilitação, para que os mesmos tomem conhecimento do andamento do presente pregão e seja informado sobre a situação cadastral da empresa junto ao SICAF; </w:t>
      </w:r>
    </w:p>
    <w:p>
      <w:pPr>
        <w:pStyle w:val="Normal"/>
        <w:numPr>
          <w:ilvl w:val="1"/>
          <w:numId w:val="12"/>
        </w:numPr>
        <w:tabs>
          <w:tab w:val="left" w:pos="993" w:leader="none"/>
        </w:tabs>
        <w:spacing w:before="120" w:after="0"/>
        <w:ind w:left="993" w:hanging="567"/>
        <w:jc w:val="both"/>
        <w:rPr>
          <w:rFonts w:ascii="Verdana" w:hAnsi="Verdana" w:cs="Arial"/>
          <w:sz w:val="18"/>
          <w:szCs w:val="18"/>
        </w:rPr>
      </w:pPr>
      <w:r>
        <w:rPr>
          <w:rFonts w:cs="Arial" w:ascii="Verdana" w:hAnsi="Verdana"/>
          <w:sz w:val="18"/>
          <w:szCs w:val="18"/>
        </w:rPr>
        <w:t>Os documentos exigidos para habilitação relacionados nos subitens acima, deverão ser apresentados pelos licitantes, via sistema eletrônico, no prazo de 02 (duas) horas. Posteriormente, deverão ser remetidos em original, por qualquer processo de cópia reprográfica, autenticada por tabelião de notas, ou por servidor da Administração, desde que conferido(s) com o original, ou publicação em órgão da imprensa oficial, no prazo estipulado pelo pregoeiro.</w:t>
      </w:r>
    </w:p>
    <w:p>
      <w:pPr>
        <w:pStyle w:val="Normal"/>
        <w:numPr>
          <w:ilvl w:val="1"/>
          <w:numId w:val="12"/>
        </w:numPr>
        <w:tabs>
          <w:tab w:val="left" w:pos="993" w:leader="none"/>
        </w:tabs>
        <w:spacing w:before="120" w:after="0"/>
        <w:ind w:left="993" w:hanging="567"/>
        <w:jc w:val="both"/>
        <w:rPr>
          <w:rFonts w:ascii="Verdana" w:hAnsi="Verdana" w:cs="Arial"/>
          <w:sz w:val="18"/>
          <w:szCs w:val="18"/>
        </w:rPr>
      </w:pPr>
      <w:r>
        <w:rPr>
          <w:rFonts w:cs="Arial" w:ascii="Verdana" w:hAnsi="Verdana"/>
          <w:sz w:val="18"/>
          <w:szCs w:val="18"/>
        </w:rPr>
        <w:t>Será inabilitado o licitante que não comprovar sua habilitação, seja por não apresentar quaisquer documentos exigidos, ou apresentá-los em desacordo com o estabelecido neste Edital.</w:t>
      </w:r>
    </w:p>
    <w:p>
      <w:pPr>
        <w:pStyle w:val="Normal"/>
        <w:numPr>
          <w:ilvl w:val="1"/>
          <w:numId w:val="12"/>
        </w:numPr>
        <w:tabs>
          <w:tab w:val="left" w:pos="993" w:leader="none"/>
        </w:tabs>
        <w:spacing w:before="120" w:after="0"/>
        <w:ind w:left="993" w:hanging="567"/>
        <w:jc w:val="both"/>
        <w:rPr>
          <w:rFonts w:ascii="Verdana" w:hAnsi="Verdana" w:cs="Arial"/>
          <w:sz w:val="18"/>
          <w:szCs w:val="18"/>
        </w:rPr>
      </w:pPr>
      <w:r>
        <w:rPr>
          <w:rFonts w:cs="Arial" w:ascii="Verdana" w:hAnsi="Verdana"/>
          <w:sz w:val="18"/>
          <w:szCs w:val="18"/>
        </w:rPr>
        <w:t>O pregoeiro consultará os sistemas de registros de sanções SICAF, CGU, CNJ, TCU visando aferir eventual sanção aplicada à licitante, cujo efeito torne-a proibida de participar deste certame.</w:t>
      </w:r>
    </w:p>
    <w:p>
      <w:pPr>
        <w:pStyle w:val="Normal"/>
        <w:numPr>
          <w:ilvl w:val="1"/>
          <w:numId w:val="12"/>
        </w:numPr>
        <w:tabs>
          <w:tab w:val="left" w:pos="993" w:leader="none"/>
        </w:tabs>
        <w:spacing w:before="120" w:after="0"/>
        <w:ind w:left="993" w:hanging="567"/>
        <w:jc w:val="both"/>
        <w:rPr>
          <w:rFonts w:ascii="Verdana" w:hAnsi="Verdana" w:cs="Arial"/>
          <w:b/>
          <w:b/>
          <w:sz w:val="18"/>
          <w:szCs w:val="18"/>
        </w:rPr>
      </w:pPr>
      <w:r>
        <w:rPr>
          <w:rFonts w:cs="Arial" w:ascii="Verdana" w:hAnsi="Verdana"/>
          <w:sz w:val="18"/>
          <w:szCs w:val="18"/>
        </w:rPr>
        <w:t>No caso de inabilitação, haverá nova verificação, pelo sistema, da eventual ocorrência do empate ficto, previsto nos artigos 44 e 45 da LC 123/2006, seguindo-se a disciplina antes estabelecida para aceitação da proposta subsequente.</w:t>
      </w:r>
    </w:p>
    <w:p>
      <w:pPr>
        <w:pStyle w:val="Normal"/>
        <w:tabs>
          <w:tab w:val="left" w:pos="1800" w:leader="none"/>
        </w:tabs>
        <w:ind w:left="360" w:hanging="0"/>
        <w:jc w:val="both"/>
        <w:rPr>
          <w:rFonts w:ascii="Verdana" w:hAnsi="Verdana" w:cs="Arial"/>
          <w:b/>
          <w:b/>
          <w:sz w:val="18"/>
          <w:szCs w:val="18"/>
        </w:rPr>
      </w:pPr>
      <w:r>
        <w:rPr>
          <w:rFonts w:cs="Arial" w:ascii="Verdana" w:hAnsi="Verdana"/>
          <w:b/>
          <w:sz w:val="18"/>
          <w:szCs w:val="18"/>
        </w:rPr>
      </w:r>
    </w:p>
    <w:p>
      <w:pPr>
        <w:pStyle w:val="Normal"/>
        <w:numPr>
          <w:ilvl w:val="0"/>
          <w:numId w:val="12"/>
        </w:numPr>
        <w:tabs>
          <w:tab w:val="left" w:pos="1800" w:leader="none"/>
        </w:tabs>
        <w:jc w:val="both"/>
        <w:rPr>
          <w:rFonts w:ascii="Verdana" w:hAnsi="Verdana" w:cs="Arial"/>
          <w:sz w:val="18"/>
          <w:szCs w:val="18"/>
        </w:rPr>
      </w:pPr>
      <w:r>
        <w:rPr>
          <w:rFonts w:cs="Arial" w:ascii="Verdana" w:hAnsi="Verdana"/>
          <w:b/>
          <w:sz w:val="18"/>
          <w:szCs w:val="18"/>
        </w:rPr>
        <w:t>DA INTERPOSIÇÃO DE RECURSOS</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As licitantes poderão interpor recursos, mediante manifestação prévia, após a declaração do vencedor, devendo apresentar sucintamente suas razões, exclusivamente no âmbito do sistema eletrônico, em formulários próprios.  A falta de manifestação imediata e motivada do licitante importará na decadência do recurso, sendo que, ao final da sessão pública, o pregoeiro informará os prazos legais para registro da razão do recurso para a licitante com intenção de recurso aceita e para os demais licitantes registrarem as contrarrazões;</w:t>
      </w:r>
    </w:p>
    <w:p>
      <w:pPr>
        <w:pStyle w:val="Normal"/>
        <w:tabs>
          <w:tab w:val="left" w:pos="900" w:leader="none"/>
        </w:tabs>
        <w:spacing w:before="120" w:after="0"/>
        <w:ind w:left="900" w:hanging="0"/>
        <w:jc w:val="both"/>
        <w:rPr>
          <w:rFonts w:ascii="Verdana" w:hAnsi="Verdana" w:cs="Arial"/>
          <w:sz w:val="18"/>
          <w:szCs w:val="18"/>
        </w:rPr>
      </w:pPr>
      <w:r>
        <w:rPr>
          <w:rFonts w:cs="Arial" w:ascii="Verdana" w:hAnsi="Verdana"/>
          <w:sz w:val="18"/>
          <w:szCs w:val="18"/>
        </w:rPr>
        <w:t>11.1 Havendo quem se manifeste, caberá ao pregoeiro verificar a existência de motivação da intenção de recorrer, para decidir se admite ou não o recurso, fundamentadamente.</w:t>
      </w:r>
    </w:p>
    <w:p>
      <w:pPr>
        <w:pStyle w:val="Normal"/>
        <w:tabs>
          <w:tab w:val="left" w:pos="900" w:leader="none"/>
        </w:tabs>
        <w:spacing w:before="120" w:after="0"/>
        <w:ind w:left="900" w:hanging="0"/>
        <w:jc w:val="both"/>
        <w:rPr>
          <w:rFonts w:ascii="Verdana" w:hAnsi="Verdana" w:cs="Arial"/>
          <w:sz w:val="18"/>
          <w:szCs w:val="18"/>
        </w:rPr>
      </w:pPr>
      <w:r>
        <w:rPr>
          <w:rFonts w:cs="Arial" w:ascii="Verdana" w:hAnsi="Verdana"/>
          <w:sz w:val="18"/>
          <w:szCs w:val="18"/>
        </w:rPr>
        <w:t>11.2 Neste momento o pregoeiro não adentrará no mérito recursal, mas apenas verificará as condições de admissibilidade do recurso.</w:t>
      </w:r>
    </w:p>
    <w:p>
      <w:pPr>
        <w:pStyle w:val="Normal"/>
        <w:tabs>
          <w:tab w:val="left" w:pos="900" w:leader="none"/>
        </w:tabs>
        <w:spacing w:before="120" w:after="0"/>
        <w:ind w:left="900" w:hanging="0"/>
        <w:jc w:val="both"/>
        <w:rPr>
          <w:rFonts w:ascii="Verdana" w:hAnsi="Verdana" w:cs="Arial"/>
          <w:sz w:val="18"/>
          <w:szCs w:val="18"/>
        </w:rPr>
      </w:pPr>
      <w:r>
        <w:rPr>
          <w:rFonts w:cs="Arial" w:ascii="Verdana" w:hAnsi="Verdana"/>
          <w:sz w:val="18"/>
          <w:szCs w:val="18"/>
        </w:rPr>
        <w:t>11.3 A falta de manifestação motivada do licitante quanto à intenção de recorrer importará a decadência deste direito.</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 licitante dispõe do prazo de 03 (três) dias para apresentação das razões dos recursos, sendo eles escritos por meio eletrônico, sendo disponibilizados a todos os participantes;</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As demais licitantes poderão apresentar contrarrazões em até 03 (três) dias contados a partir do término do prazo do recorrente;</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 decisão do Pregoeiro será motivada e submetida à apreciação da autoridade competente, em 05 (cinco) dias úteis;</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O acolhimento do recurso importará a invalidação apenas dos atos que não sejam passíveis de aproveitamento;</w:t>
      </w:r>
    </w:p>
    <w:p>
      <w:pPr>
        <w:pStyle w:val="Normal"/>
        <w:numPr>
          <w:ilvl w:val="1"/>
          <w:numId w:val="12"/>
        </w:numPr>
        <w:tabs>
          <w:tab w:val="left" w:pos="851" w:leader="none"/>
          <w:tab w:val="left" w:pos="900" w:leader="none"/>
        </w:tabs>
        <w:spacing w:before="120" w:after="0"/>
        <w:ind w:left="851" w:hanging="567"/>
        <w:jc w:val="both"/>
        <w:rPr>
          <w:rFonts w:ascii="Verdana" w:hAnsi="Verdana" w:cs="Arial"/>
          <w:b/>
          <w:b/>
          <w:sz w:val="18"/>
          <w:szCs w:val="18"/>
        </w:rPr>
      </w:pPr>
      <w:r>
        <w:rPr>
          <w:rFonts w:cs="Arial" w:ascii="Verdana" w:hAnsi="Verdana"/>
          <w:sz w:val="18"/>
          <w:szCs w:val="18"/>
        </w:rPr>
        <w:t>Os autos do processo permanecerão com vistas franqueadas aos interessados Divisão de Licitações da UFVJM, Campus JK, Prédio da Reitoria, BR 367, nº 5000, Diamantina/MG.</w:t>
      </w:r>
    </w:p>
    <w:p>
      <w:pPr>
        <w:pStyle w:val="Normal"/>
        <w:tabs>
          <w:tab w:val="left" w:pos="900" w:leader="none"/>
        </w:tabs>
        <w:spacing w:before="120" w:after="0"/>
        <w:ind w:left="360" w:hanging="0"/>
        <w:jc w:val="both"/>
        <w:rPr>
          <w:rFonts w:ascii="Verdana" w:hAnsi="Verdana" w:cs="Arial"/>
          <w:b/>
          <w:b/>
          <w:sz w:val="18"/>
          <w:szCs w:val="18"/>
        </w:rPr>
      </w:pPr>
      <w:r>
        <w:rPr>
          <w:rFonts w:cs="Arial" w:ascii="Verdana" w:hAnsi="Verdana"/>
          <w:b/>
          <w:sz w:val="18"/>
          <w:szCs w:val="18"/>
        </w:rPr>
      </w:r>
    </w:p>
    <w:p>
      <w:pPr>
        <w:pStyle w:val="Normal"/>
        <w:numPr>
          <w:ilvl w:val="0"/>
          <w:numId w:val="12"/>
        </w:numPr>
        <w:jc w:val="both"/>
        <w:rPr>
          <w:rFonts w:ascii="Verdana" w:hAnsi="Verdana" w:cs="Arial"/>
          <w:sz w:val="18"/>
          <w:szCs w:val="18"/>
        </w:rPr>
      </w:pPr>
      <w:r>
        <w:rPr>
          <w:rFonts w:cs="Arial" w:ascii="Verdana" w:hAnsi="Verdana"/>
          <w:b/>
          <w:sz w:val="18"/>
          <w:szCs w:val="18"/>
        </w:rPr>
        <w:t>DA ADJUDICAÇÃO E DA HOMOLOGAÇÃO</w:t>
      </w:r>
    </w:p>
    <w:p>
      <w:pPr>
        <w:pStyle w:val="Normal"/>
        <w:numPr>
          <w:ilvl w:val="1"/>
          <w:numId w:val="12"/>
        </w:numPr>
        <w:tabs>
          <w:tab w:val="left" w:pos="900" w:leader="none"/>
        </w:tabs>
        <w:spacing w:before="120" w:after="0"/>
        <w:ind w:left="900" w:hanging="543"/>
        <w:jc w:val="both"/>
        <w:rPr>
          <w:rFonts w:ascii="Verdana" w:hAnsi="Verdana" w:cs="Arial"/>
          <w:sz w:val="18"/>
          <w:szCs w:val="18"/>
        </w:rPr>
      </w:pPr>
      <w:r>
        <w:rPr>
          <w:rFonts w:cs="Arial" w:ascii="Verdana" w:hAnsi="Verdana"/>
          <w:sz w:val="18"/>
          <w:szCs w:val="18"/>
        </w:rPr>
        <w:t>A adjudicação do objeto do presente certame será realizada pelo Pregoeiro sempre que não houver recurso e a homologação é de responsabilidade da autoridade competente e será realizada após a adjudicação do objeto ao proponente vencedor ou, quando houver recursos, após o devido julgamento.</w:t>
      </w:r>
    </w:p>
    <w:p>
      <w:pPr>
        <w:pStyle w:val="Normal"/>
        <w:numPr>
          <w:ilvl w:val="2"/>
          <w:numId w:val="12"/>
        </w:numPr>
        <w:tabs>
          <w:tab w:val="left" w:pos="1701" w:leader="none"/>
        </w:tabs>
        <w:spacing w:before="120" w:after="0"/>
        <w:ind w:left="851" w:hanging="0"/>
        <w:jc w:val="both"/>
        <w:rPr>
          <w:rFonts w:ascii="Verdana" w:hAnsi="Verdana" w:cs="Arial"/>
          <w:sz w:val="18"/>
          <w:szCs w:val="18"/>
        </w:rPr>
      </w:pPr>
      <w:r>
        <w:rPr>
          <w:rFonts w:cs="Arial" w:ascii="Verdana" w:hAnsi="Verdana"/>
          <w:sz w:val="18"/>
          <w:szCs w:val="18"/>
        </w:rPr>
        <w:t>Quando houver recursos, assim que decididos, a autoridade competente fará a adjudicação do objeto a licitante vencedora.</w:t>
      </w:r>
    </w:p>
    <w:p>
      <w:pPr>
        <w:pStyle w:val="Normal"/>
        <w:spacing w:before="120" w:after="0"/>
        <w:ind w:left="1224" w:hanging="0"/>
        <w:jc w:val="both"/>
        <w:rPr>
          <w:rFonts w:ascii="Verdana" w:hAnsi="Verdana" w:cs="Arial"/>
          <w:sz w:val="18"/>
          <w:szCs w:val="18"/>
        </w:rPr>
      </w:pPr>
      <w:r>
        <w:rPr>
          <w:rFonts w:cs="Arial" w:ascii="Verdana" w:hAnsi="Verdana"/>
          <w:sz w:val="18"/>
          <w:szCs w:val="18"/>
        </w:rPr>
      </w:r>
    </w:p>
    <w:p>
      <w:pPr>
        <w:pStyle w:val="Normal"/>
        <w:numPr>
          <w:ilvl w:val="0"/>
          <w:numId w:val="12"/>
        </w:numPr>
        <w:spacing w:before="120" w:after="0"/>
        <w:jc w:val="both"/>
        <w:rPr>
          <w:rFonts w:ascii="Verdana" w:hAnsi="Verdana" w:cs="Arial"/>
          <w:b/>
          <w:b/>
          <w:sz w:val="20"/>
          <w:szCs w:val="20"/>
        </w:rPr>
      </w:pPr>
      <w:r>
        <w:rPr>
          <w:rFonts w:cs="Arial" w:ascii="Verdana" w:hAnsi="Verdana"/>
          <w:b/>
          <w:sz w:val="20"/>
          <w:szCs w:val="20"/>
        </w:rPr>
        <w:t>DA FORMAÇÃO DO CADASTRO DE RESERVA</w:t>
      </w:r>
    </w:p>
    <w:p>
      <w:pPr>
        <w:pStyle w:val="Default"/>
        <w:spacing w:before="120" w:after="0"/>
        <w:ind w:left="709" w:hanging="425"/>
        <w:jc w:val="both"/>
        <w:rPr>
          <w:rFonts w:ascii="Verdana" w:hAnsi="Verdana"/>
          <w:color w:val="00000A"/>
          <w:sz w:val="18"/>
          <w:szCs w:val="18"/>
        </w:rPr>
      </w:pPr>
      <w:r>
        <w:rPr>
          <w:rFonts w:ascii="Verdana" w:hAnsi="Verdana"/>
          <w:sz w:val="18"/>
          <w:szCs w:val="18"/>
        </w:rPr>
        <w:t>13.1</w:t>
      </w:r>
      <w:r>
        <w:rPr>
          <w:rFonts w:ascii="Verdana" w:hAnsi="Verdana"/>
          <w:b/>
          <w:sz w:val="18"/>
          <w:szCs w:val="18"/>
        </w:rPr>
        <w:t xml:space="preserve"> </w:t>
      </w:r>
      <w:r>
        <w:rPr>
          <w:rFonts w:eastAsia="Times New Roman" w:ascii="Verdana" w:hAnsi="Verdana"/>
          <w:color w:val="00000A"/>
          <w:sz w:val="18"/>
          <w:szCs w:val="18"/>
        </w:rPr>
        <w:t xml:space="preserve">No momento da Homologação, a autoridade competente, através de ferramenta disponível no sistema Comprasgovernamentais, convocará e estabelecerá data e hora para que os licitantes interessados possam aderir ao cadastro de reserva </w:t>
      </w:r>
      <w:r>
        <w:rPr>
          <w:rFonts w:ascii="Verdana" w:hAnsi="Verdana"/>
          <w:color w:val="00000A"/>
          <w:sz w:val="18"/>
          <w:szCs w:val="18"/>
        </w:rPr>
        <w:t>pelo preço do primeiro colocado desconsiderando margem de preferência.</w:t>
      </w:r>
    </w:p>
    <w:p>
      <w:pPr>
        <w:pStyle w:val="Default"/>
        <w:spacing w:before="120" w:after="0"/>
        <w:ind w:left="709" w:hanging="425"/>
        <w:jc w:val="both"/>
        <w:rPr>
          <w:rFonts w:ascii="Verdana" w:hAnsi="Verdana"/>
          <w:color w:val="00000A"/>
          <w:sz w:val="18"/>
          <w:szCs w:val="18"/>
        </w:rPr>
      </w:pPr>
      <w:r>
        <w:rPr>
          <w:rFonts w:ascii="Verdana" w:hAnsi="Verdana"/>
          <w:color w:val="00000A"/>
          <w:sz w:val="18"/>
          <w:szCs w:val="18"/>
        </w:rPr>
        <w:t>13.2 Constarão da ata de registro de preços, os licitantes que registrarem, via funcionalidade do sistema, a intenção de participar do cadastro de reserva.</w:t>
      </w:r>
    </w:p>
    <w:p>
      <w:pPr>
        <w:pStyle w:val="Default"/>
        <w:spacing w:before="120" w:after="0"/>
        <w:ind w:left="709" w:hanging="425"/>
        <w:jc w:val="both"/>
        <w:rPr>
          <w:rFonts w:ascii="Verdana" w:hAnsi="Verdana"/>
          <w:color w:val="00000A"/>
          <w:sz w:val="18"/>
          <w:szCs w:val="18"/>
        </w:rPr>
      </w:pPr>
      <w:r>
        <w:rPr>
          <w:rFonts w:ascii="Verdana" w:hAnsi="Verdana"/>
          <w:color w:val="00000A"/>
          <w:sz w:val="18"/>
          <w:szCs w:val="18"/>
        </w:rPr>
        <w:t>13.3 A apresentação de novas propostas na forma deste item não prejudicará o resultado do certame em relação ao licitante melhor classificado.</w:t>
      </w:r>
    </w:p>
    <w:p>
      <w:pPr>
        <w:pStyle w:val="Default"/>
        <w:spacing w:before="120" w:after="0"/>
        <w:ind w:left="709" w:hanging="425"/>
        <w:jc w:val="both"/>
        <w:rPr>
          <w:rFonts w:ascii="Verdana" w:hAnsi="Verdana"/>
          <w:color w:val="00000A"/>
          <w:sz w:val="18"/>
          <w:szCs w:val="18"/>
        </w:rPr>
      </w:pPr>
      <w:r>
        <w:rPr>
          <w:rFonts w:ascii="Verdana" w:hAnsi="Verdana"/>
          <w:color w:val="00000A"/>
          <w:sz w:val="18"/>
          <w:szCs w:val="18"/>
        </w:rPr>
        <w:t>13.4 Havendo um ou mais licitantes que aceitem cotar suas propostas em valor igual ao do licitante vencedor, estes serão classificados segundo a ordem da última proposta individual apresentada durante a fase competitiva.</w:t>
      </w:r>
    </w:p>
    <w:p>
      <w:pPr>
        <w:pStyle w:val="Default"/>
        <w:spacing w:before="120" w:after="0"/>
        <w:ind w:left="709" w:hanging="425"/>
        <w:jc w:val="both"/>
        <w:rPr>
          <w:rFonts w:ascii="Times New Roman" w:hAnsi="Times New Roman" w:eastAsia="Times New Roman" w:cs="Times New Roman"/>
          <w:sz w:val="18"/>
          <w:szCs w:val="18"/>
          <w:lang w:eastAsia="pt-BR"/>
        </w:rPr>
      </w:pPr>
      <w:r>
        <w:rPr>
          <w:rFonts w:ascii="Verdana" w:hAnsi="Verdana"/>
          <w:color w:val="00000A"/>
          <w:sz w:val="18"/>
          <w:szCs w:val="18"/>
        </w:rPr>
        <w:t>13.5 Esta ordem de classificação dos licitantes registrados deverá ser respeitada nas contratações e somente será utilizada acaso o melhor colocado no certame não assine a ata ou tenha seu registro cancelado nas hipóteses previstas nos artigos 20 e 21 do Decreto 7892/2013.</w:t>
      </w:r>
    </w:p>
    <w:p>
      <w:pPr>
        <w:pStyle w:val="Normal"/>
        <w:spacing w:before="120" w:after="0"/>
        <w:ind w:left="1224" w:hanging="0"/>
        <w:jc w:val="both"/>
        <w:rPr>
          <w:rFonts w:ascii="Verdana" w:hAnsi="Verdana" w:cs="Arial"/>
          <w:sz w:val="18"/>
          <w:szCs w:val="18"/>
        </w:rPr>
      </w:pPr>
      <w:r>
        <w:rPr>
          <w:rFonts w:cs="Arial" w:ascii="Verdana" w:hAnsi="Verdana"/>
          <w:sz w:val="18"/>
          <w:szCs w:val="18"/>
        </w:rPr>
      </w:r>
    </w:p>
    <w:p>
      <w:pPr>
        <w:pStyle w:val="Normal"/>
        <w:numPr>
          <w:ilvl w:val="0"/>
          <w:numId w:val="12"/>
        </w:numPr>
        <w:jc w:val="both"/>
        <w:rPr>
          <w:rFonts w:ascii="Verdana" w:hAnsi="Verdana" w:cs="Arial"/>
          <w:sz w:val="18"/>
          <w:szCs w:val="18"/>
        </w:rPr>
      </w:pPr>
      <w:r>
        <w:rPr>
          <w:rFonts w:cs="Arial" w:ascii="Verdana" w:hAnsi="Verdana"/>
          <w:b/>
          <w:sz w:val="18"/>
          <w:szCs w:val="18"/>
        </w:rPr>
        <w:t>DA ATA DE REGISTRO DE PREÇOS</w:t>
      </w:r>
    </w:p>
    <w:p>
      <w:pPr>
        <w:pStyle w:val="Normal"/>
        <w:numPr>
          <w:ilvl w:val="1"/>
          <w:numId w:val="12"/>
        </w:numPr>
        <w:tabs>
          <w:tab w:val="left" w:pos="900" w:leader="none"/>
        </w:tabs>
        <w:spacing w:before="120" w:after="0"/>
        <w:ind w:left="851" w:hanging="425"/>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 xml:space="preserve">A ata de registro de preços implicará compromisso de fornecimento nas condições aí estabelecidas, após cumpridos os requisitos de publicidade. </w:t>
      </w:r>
    </w:p>
    <w:p>
      <w:pPr>
        <w:pStyle w:val="Normal"/>
        <w:numPr>
          <w:ilvl w:val="1"/>
          <w:numId w:val="12"/>
        </w:numPr>
        <w:tabs>
          <w:tab w:val="left" w:pos="900" w:leader="none"/>
        </w:tabs>
        <w:spacing w:before="120" w:after="0"/>
        <w:ind w:left="900" w:hanging="540"/>
        <w:jc w:val="both"/>
        <w:rPr>
          <w:rFonts w:ascii="Verdana" w:hAnsi="Verdana" w:cs="Arial"/>
          <w:b/>
          <w:b/>
          <w:sz w:val="18"/>
          <w:szCs w:val="18"/>
        </w:rPr>
      </w:pPr>
      <w:r>
        <w:rPr>
          <w:rFonts w:cs="Arial" w:ascii="Verdana" w:hAnsi="Verdana"/>
          <w:sz w:val="18"/>
          <w:szCs w:val="18"/>
        </w:rPr>
        <w:t>A classificação será mantida durante o período de validade da Ata, a partir da data de sua publicação, exceto nos casos em que houver exclusão do SRP (Sistema de Registro de Preços), a título de penalidade imposta pela Administração;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b/>
          <w:sz w:val="18"/>
          <w:szCs w:val="18"/>
        </w:rPr>
        <w:t>Homologado o resultado da licitação, a UFVJM, convocará os interessados para assinatura da Ata de Registro de Preços, que terá efeito de compromisso de fornecimento nas condições estabelecidas;</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Constarão da Ata de Registro de Preços – ARP, todas as informações necessárias à:</w:t>
      </w:r>
    </w:p>
    <w:p>
      <w:pPr>
        <w:pStyle w:val="Normal"/>
        <w:keepLines/>
        <w:numPr>
          <w:ilvl w:val="0"/>
          <w:numId w:val="2"/>
        </w:numPr>
        <w:tabs>
          <w:tab w:val="left" w:pos="993" w:leader="none"/>
        </w:tabs>
        <w:spacing w:before="60" w:after="0"/>
        <w:ind w:left="1349" w:hanging="357"/>
        <w:jc w:val="both"/>
        <w:rPr>
          <w:rFonts w:ascii="Verdana" w:hAnsi="Verdana" w:cs="Arial"/>
          <w:sz w:val="18"/>
          <w:szCs w:val="18"/>
        </w:rPr>
      </w:pPr>
      <w:r>
        <w:rPr>
          <w:rFonts w:cs="Arial" w:ascii="Verdana" w:hAnsi="Verdana"/>
          <w:sz w:val="18"/>
          <w:szCs w:val="18"/>
        </w:rPr>
        <w:t>Identificação do processo;</w:t>
      </w:r>
    </w:p>
    <w:p>
      <w:pPr>
        <w:pStyle w:val="Normal"/>
        <w:keepLines/>
        <w:numPr>
          <w:ilvl w:val="0"/>
          <w:numId w:val="2"/>
        </w:numPr>
        <w:tabs>
          <w:tab w:val="left" w:pos="993" w:leader="none"/>
          <w:tab w:val="left" w:pos="1701" w:leader="none"/>
        </w:tabs>
        <w:spacing w:before="60" w:after="0"/>
        <w:ind w:left="1349" w:hanging="357"/>
        <w:jc w:val="both"/>
        <w:rPr>
          <w:rFonts w:ascii="Verdana" w:hAnsi="Verdana" w:cs="Arial"/>
          <w:sz w:val="18"/>
          <w:szCs w:val="18"/>
        </w:rPr>
      </w:pPr>
      <w:r>
        <w:rPr>
          <w:rFonts w:cs="Arial" w:ascii="Verdana" w:hAnsi="Verdana"/>
          <w:sz w:val="18"/>
          <w:szCs w:val="18"/>
        </w:rPr>
        <w:t>Caracterização do objeto;</w:t>
      </w:r>
    </w:p>
    <w:p>
      <w:pPr>
        <w:pStyle w:val="Normal"/>
        <w:keepLines/>
        <w:numPr>
          <w:ilvl w:val="0"/>
          <w:numId w:val="2"/>
        </w:numPr>
        <w:tabs>
          <w:tab w:val="left" w:pos="993" w:leader="none"/>
        </w:tabs>
        <w:spacing w:before="60" w:after="0"/>
        <w:ind w:left="1349" w:hanging="357"/>
        <w:jc w:val="both"/>
        <w:rPr>
          <w:rFonts w:ascii="Verdana" w:hAnsi="Verdana" w:cs="Arial"/>
          <w:sz w:val="18"/>
          <w:szCs w:val="18"/>
        </w:rPr>
      </w:pPr>
      <w:r>
        <w:rPr>
          <w:rFonts w:cs="Arial" w:ascii="Verdana" w:hAnsi="Verdana"/>
          <w:sz w:val="18"/>
          <w:szCs w:val="18"/>
        </w:rPr>
        <w:t>Identificação das empresas;</w:t>
      </w:r>
    </w:p>
    <w:p>
      <w:pPr>
        <w:pStyle w:val="Normal"/>
        <w:keepLines/>
        <w:numPr>
          <w:ilvl w:val="0"/>
          <w:numId w:val="2"/>
        </w:numPr>
        <w:tabs>
          <w:tab w:val="left" w:pos="993" w:leader="none"/>
        </w:tabs>
        <w:spacing w:before="60" w:after="0"/>
        <w:ind w:left="1349" w:hanging="357"/>
        <w:jc w:val="both"/>
        <w:rPr>
          <w:rFonts w:ascii="Verdana" w:hAnsi="Verdana" w:cs="Arial"/>
          <w:sz w:val="18"/>
          <w:szCs w:val="18"/>
        </w:rPr>
      </w:pPr>
      <w:r>
        <w:rPr>
          <w:rFonts w:cs="Arial" w:ascii="Verdana" w:hAnsi="Verdana"/>
          <w:sz w:val="18"/>
          <w:szCs w:val="18"/>
        </w:rPr>
        <w:t xml:space="preserve">Identificação dos licitantes que aceitarem cotar os materiais com preços iguais ao licitante vencedor na sequência da classificação; </w:t>
      </w:r>
    </w:p>
    <w:p>
      <w:pPr>
        <w:pStyle w:val="Normal"/>
        <w:keepLines/>
        <w:numPr>
          <w:ilvl w:val="0"/>
          <w:numId w:val="2"/>
        </w:numPr>
        <w:tabs>
          <w:tab w:val="left" w:pos="993" w:leader="none"/>
        </w:tabs>
        <w:spacing w:before="60" w:after="0"/>
        <w:ind w:left="1349" w:hanging="357"/>
        <w:jc w:val="both"/>
        <w:rPr>
          <w:rFonts w:ascii="Verdana" w:hAnsi="Verdana" w:cs="Arial"/>
          <w:sz w:val="18"/>
          <w:szCs w:val="18"/>
        </w:rPr>
      </w:pPr>
      <w:r>
        <w:rPr>
          <w:rFonts w:cs="Arial" w:ascii="Verdana" w:hAnsi="Verdana"/>
          <w:sz w:val="18"/>
          <w:szCs w:val="18"/>
        </w:rPr>
        <w:t>Preços ofertados pelas classificadas, item a item;</w:t>
      </w:r>
    </w:p>
    <w:p>
      <w:pPr>
        <w:pStyle w:val="Normal"/>
        <w:keepLines/>
        <w:numPr>
          <w:ilvl w:val="0"/>
          <w:numId w:val="2"/>
        </w:numPr>
        <w:tabs>
          <w:tab w:val="left" w:pos="993" w:leader="none"/>
        </w:tabs>
        <w:spacing w:before="60" w:after="0"/>
        <w:ind w:left="1349" w:hanging="357"/>
        <w:jc w:val="both"/>
        <w:rPr>
          <w:rFonts w:ascii="Verdana" w:hAnsi="Verdana" w:cs="Arial"/>
          <w:sz w:val="18"/>
          <w:szCs w:val="18"/>
        </w:rPr>
      </w:pPr>
      <w:r>
        <w:rPr>
          <w:rFonts w:cs="Arial" w:ascii="Verdana" w:hAnsi="Verdana"/>
          <w:sz w:val="18"/>
          <w:szCs w:val="18"/>
        </w:rPr>
        <w:t>Direitos e responsabilidades das partes.</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ARP será lavrada em tantas vias quantas forem as empresas classificadas;</w:t>
      </w:r>
    </w:p>
    <w:p>
      <w:pPr>
        <w:pStyle w:val="Normal"/>
        <w:numPr>
          <w:ilvl w:val="1"/>
          <w:numId w:val="12"/>
        </w:numPr>
        <w:tabs>
          <w:tab w:val="left" w:pos="900" w:leader="none"/>
          <w:tab w:val="left" w:pos="993" w:leader="none"/>
        </w:tabs>
        <w:spacing w:before="120" w:after="0"/>
        <w:ind w:left="900" w:hanging="540"/>
        <w:jc w:val="both"/>
        <w:rPr>
          <w:rFonts w:ascii="Verdana" w:hAnsi="Verdana" w:cs="Arial"/>
          <w:sz w:val="18"/>
          <w:szCs w:val="18"/>
        </w:rPr>
      </w:pPr>
      <w:r>
        <w:rPr>
          <w:rFonts w:cs="Arial" w:ascii="Verdana" w:hAnsi="Verdana"/>
          <w:sz w:val="18"/>
          <w:szCs w:val="18"/>
        </w:rPr>
        <w:t>É obrigatória a assinatura da ARP pelas partes envolvidas, no prazo máximo de 10 (dez) dias úteis a contar da convocação da UFVJM, aplicando-se, em caso de descumprimento, o disposto no Parágrafo Segundo, do art. 64, da Lei 8666/93.</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prazo estipulado no item acima poderá ser prorrogado, uma vez, por igual período, quando solicitado pelo fornecedor e desde que ocorra motivo justificado aceito pela UFVJM.</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É facultado à UFVJM, quando o convocado não assinar a ata de registro de preços no prazo e condições estabelecidos, convocar os licitantes remanescentes, na ordem de classificação, para fazê-lo em igual prazo e nas mesmas condições propostas pelo primeiro classificado.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recusa injustificada em assinar a ata, dentro do prazo estabelecido, ensejará a aplicação das penalidades descritas neste edital.</w:t>
      </w:r>
    </w:p>
    <w:p>
      <w:pPr>
        <w:pStyle w:val="Normal"/>
        <w:numPr>
          <w:ilvl w:val="1"/>
          <w:numId w:val="12"/>
        </w:numPr>
        <w:tabs>
          <w:tab w:val="left" w:pos="900" w:leader="none"/>
          <w:tab w:val="left" w:pos="993" w:leader="none"/>
        </w:tabs>
        <w:spacing w:before="120" w:after="0"/>
        <w:ind w:left="900" w:hanging="540"/>
        <w:jc w:val="both"/>
        <w:rPr>
          <w:rFonts w:ascii="Verdana" w:hAnsi="Verdana" w:cs="Arial"/>
          <w:sz w:val="18"/>
          <w:szCs w:val="18"/>
        </w:rPr>
      </w:pPr>
      <w:r>
        <w:rPr>
          <w:rFonts w:cs="Arial" w:ascii="Verdana" w:hAnsi="Verdana"/>
          <w:sz w:val="18"/>
          <w:szCs w:val="18"/>
        </w:rPr>
        <w:t>O prazo de validade da ata de registro de preços será de 12 (doze) meses contados da publicação de seu extrato.</w:t>
      </w:r>
    </w:p>
    <w:p>
      <w:pPr>
        <w:pStyle w:val="Normal"/>
        <w:numPr>
          <w:ilvl w:val="1"/>
          <w:numId w:val="12"/>
        </w:numPr>
        <w:tabs>
          <w:tab w:val="left" w:pos="900" w:leader="none"/>
          <w:tab w:val="left" w:pos="993" w:leader="none"/>
        </w:tabs>
        <w:spacing w:before="120" w:after="0"/>
        <w:ind w:left="900" w:hanging="540"/>
        <w:jc w:val="both"/>
        <w:rPr>
          <w:rFonts w:ascii="Verdana" w:hAnsi="Verdana" w:cs="Arial"/>
          <w:sz w:val="18"/>
          <w:szCs w:val="18"/>
        </w:rPr>
      </w:pPr>
      <w:r>
        <w:rPr>
          <w:rFonts w:cs="Arial" w:ascii="Verdana" w:hAnsi="Verdana"/>
          <w:sz w:val="18"/>
          <w:szCs w:val="18"/>
        </w:rPr>
        <w:t>É vedado efetuar acréscimos nos quantitativos fixados pela ata de registro de preços, inclusive o acréscimo de que trata o § 1º do art. 65 da Lei 8.666/93.</w:t>
      </w:r>
    </w:p>
    <w:p>
      <w:pPr>
        <w:pStyle w:val="Normal"/>
        <w:numPr>
          <w:ilvl w:val="1"/>
          <w:numId w:val="12"/>
        </w:numPr>
        <w:tabs>
          <w:tab w:val="left" w:pos="900" w:leader="none"/>
          <w:tab w:val="left" w:pos="993" w:leader="none"/>
        </w:tabs>
        <w:spacing w:before="120" w:after="0"/>
        <w:ind w:left="900" w:hanging="540"/>
        <w:jc w:val="both"/>
        <w:rPr>
          <w:rFonts w:ascii="Verdana" w:hAnsi="Verdana" w:cs="Arial"/>
          <w:sz w:val="18"/>
          <w:szCs w:val="18"/>
        </w:rPr>
      </w:pPr>
      <w:r>
        <w:rPr>
          <w:rFonts w:cs="Arial" w:ascii="Verdana" w:hAnsi="Verdana"/>
          <w:sz w:val="18"/>
          <w:szCs w:val="18"/>
        </w:rPr>
        <w:t>Será incluído, na respectiva ata, o registro dos licitantes que aceitarem cotar os bens com preços iguais ao licitante vencedor na sequência da classificação no certame.</w:t>
      </w:r>
    </w:p>
    <w:p>
      <w:pPr>
        <w:pStyle w:val="Normal"/>
        <w:tabs>
          <w:tab w:val="left" w:pos="900" w:leader="none"/>
          <w:tab w:val="left" w:pos="993" w:leader="none"/>
        </w:tabs>
        <w:spacing w:before="120" w:after="0"/>
        <w:ind w:left="900" w:hanging="0"/>
        <w:jc w:val="both"/>
        <w:rPr>
          <w:rFonts w:ascii="Verdana" w:hAnsi="Verdana" w:cs="Arial"/>
          <w:sz w:val="18"/>
          <w:szCs w:val="18"/>
        </w:rPr>
      </w:pPr>
      <w:r>
        <w:rPr>
          <w:rFonts w:cs="Arial" w:ascii="Verdana" w:hAnsi="Verdana"/>
          <w:sz w:val="18"/>
          <w:szCs w:val="18"/>
        </w:rPr>
        <w:t>14.12.1 O registro a que se refere o este item tem por objetivo a formação do cadastro de reserva, no caso de exclusão do primeiro colocado na ata, nas hipóteses previstas nos arts. 20 e 21 do decreto 7.892/2013.</w:t>
      </w:r>
    </w:p>
    <w:p>
      <w:pPr>
        <w:pStyle w:val="Normal"/>
        <w:tabs>
          <w:tab w:val="left" w:pos="900" w:leader="none"/>
          <w:tab w:val="left" w:pos="993" w:leader="none"/>
        </w:tabs>
        <w:spacing w:before="120" w:after="0"/>
        <w:ind w:left="900" w:hanging="0"/>
        <w:jc w:val="both"/>
        <w:rPr>
          <w:rFonts w:ascii="Verdana" w:hAnsi="Verdana" w:cs="Arial"/>
          <w:sz w:val="18"/>
          <w:szCs w:val="18"/>
        </w:rPr>
      </w:pPr>
      <w:r>
        <w:rPr>
          <w:rFonts w:cs="Arial" w:ascii="Verdana" w:hAnsi="Verdana"/>
          <w:sz w:val="18"/>
          <w:szCs w:val="18"/>
        </w:rPr>
        <w:t>14.12.2 Serão registrados na ata de registro de preços, nesta ordem:</w:t>
      </w:r>
    </w:p>
    <w:p>
      <w:pPr>
        <w:pStyle w:val="Normal"/>
        <w:tabs>
          <w:tab w:val="left" w:pos="900" w:leader="none"/>
          <w:tab w:val="left" w:pos="993" w:leader="none"/>
        </w:tabs>
        <w:spacing w:before="120" w:after="0"/>
        <w:ind w:left="900" w:hanging="0"/>
        <w:jc w:val="both"/>
        <w:rPr>
          <w:rFonts w:ascii="Verdana" w:hAnsi="Verdana" w:cs="Arial"/>
          <w:sz w:val="18"/>
          <w:szCs w:val="18"/>
        </w:rPr>
      </w:pPr>
      <w:r>
        <w:rPr>
          <w:rFonts w:cs="Arial" w:ascii="Verdana" w:hAnsi="Verdana"/>
          <w:sz w:val="18"/>
          <w:szCs w:val="18"/>
        </w:rPr>
        <w:t>I - os preços e os quantitativos do licitante mais bem classificado durante a etapa competitiva;</w:t>
      </w:r>
    </w:p>
    <w:p>
      <w:pPr>
        <w:pStyle w:val="Normal"/>
        <w:tabs>
          <w:tab w:val="left" w:pos="900" w:leader="none"/>
          <w:tab w:val="left" w:pos="993" w:leader="none"/>
        </w:tabs>
        <w:spacing w:before="120" w:after="0"/>
        <w:ind w:left="900" w:hanging="0"/>
        <w:jc w:val="both"/>
        <w:rPr>
          <w:rFonts w:ascii="Verdana" w:hAnsi="Verdana" w:cs="Arial"/>
          <w:sz w:val="18"/>
          <w:szCs w:val="18"/>
        </w:rPr>
      </w:pPr>
      <w:r>
        <w:rPr>
          <w:rFonts w:cs="Arial" w:ascii="Verdana" w:hAnsi="Verdana"/>
          <w:sz w:val="18"/>
          <w:szCs w:val="18"/>
        </w:rPr>
        <w:t>II - os preços e os quantitativos dos licitantes que tiverem aceito cotar seus bens em valor igual ao do licitante mais classificado;</w:t>
      </w:r>
    </w:p>
    <w:p>
      <w:pPr>
        <w:pStyle w:val="Normal"/>
        <w:tabs>
          <w:tab w:val="left" w:pos="900" w:leader="none"/>
          <w:tab w:val="left" w:pos="993" w:leader="none"/>
        </w:tabs>
        <w:spacing w:before="120" w:after="0"/>
        <w:ind w:left="900" w:hanging="0"/>
        <w:jc w:val="both"/>
        <w:rPr>
          <w:rFonts w:ascii="Verdana" w:hAnsi="Verdana" w:cs="Arial"/>
          <w:sz w:val="18"/>
          <w:szCs w:val="18"/>
        </w:rPr>
      </w:pPr>
      <w:r>
        <w:rPr>
          <w:rFonts w:cs="Arial" w:ascii="Verdana" w:hAnsi="Verdana"/>
          <w:sz w:val="18"/>
          <w:szCs w:val="18"/>
        </w:rPr>
        <w:t>III - se houver mais de um licitante na situação de que trata o item II serão classificados segundo a ordem da última proposta apresentada durante a fase competitiva do pregão.</w:t>
      </w:r>
    </w:p>
    <w:p>
      <w:pPr>
        <w:pStyle w:val="Normal"/>
        <w:tabs>
          <w:tab w:val="left" w:pos="567" w:leader="none"/>
        </w:tabs>
        <w:spacing w:before="120" w:after="0"/>
        <w:jc w:val="both"/>
        <w:rPr>
          <w:rFonts w:ascii="Verdana" w:hAnsi="Verdana" w:cs="Arial"/>
          <w:sz w:val="18"/>
          <w:szCs w:val="18"/>
        </w:rPr>
      </w:pPr>
      <w:r>
        <w:rPr>
          <w:rFonts w:cs="Arial" w:ascii="Verdana" w:hAnsi="Verdana"/>
          <w:sz w:val="18"/>
          <w:szCs w:val="18"/>
        </w:rPr>
      </w:r>
    </w:p>
    <w:p>
      <w:pPr>
        <w:pStyle w:val="Normal"/>
        <w:numPr>
          <w:ilvl w:val="0"/>
          <w:numId w:val="12"/>
        </w:numPr>
        <w:tabs>
          <w:tab w:val="left" w:pos="426" w:leader="none"/>
        </w:tabs>
        <w:jc w:val="both"/>
        <w:rPr>
          <w:rFonts w:ascii="Verdana" w:hAnsi="Verdana" w:cs="Arial"/>
          <w:sz w:val="18"/>
          <w:szCs w:val="18"/>
        </w:rPr>
      </w:pPr>
      <w:r>
        <w:rPr>
          <w:rFonts w:cs="Arial" w:ascii="Verdana" w:hAnsi="Verdana"/>
          <w:b/>
          <w:sz w:val="18"/>
          <w:szCs w:val="18"/>
        </w:rPr>
        <w:t>DA CONTRATAÇÃO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Termo de Contrato, amparado por condições exigidas neste Edital de Pregão, será substituído pela Nota de Empenho, conforme prevê o art. 62, § 4º da Lei 8.666/93.</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As contratações decorrentes da Ata de Registro de Preços poderão sofrer alterações, obedecidas às disposições contidas no art. 65 da lei 8.666/93 e no Decreto 7.892/13.</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Nota de Empenho será encaminhada ao 1° classificado para cada item da Ata de Registro de Preços, quando da necessidade da aquisição dos produtos.</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Antes da emissão da Nota de Empenho a Administração fará consulta “on line” ao SICAF, cujo resultado será anexado aos autos do processo.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Farão parte da contratação, além da Ata de Registro de Preços, todos os demais anexos que compõem o presente Processo Licitatório, além da Proposta de Preços da licitante apresentada neste certame.</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É facultado à UFVJM, quando a contratada não cumprir o contrato, convocar os licitantes remanescentes, na ordem de classificação, sem prejuízo da aplicação das sanções previstas na legislação pertinente e definidas neste Edital.</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contratação pretendida deverá ser executada em estrita conformidade com as prescrições deste Edital, e seus anexos, que são dele partes integrantes e inseparáveis.</w:t>
      </w:r>
    </w:p>
    <w:p>
      <w:pPr>
        <w:pStyle w:val="Normal"/>
        <w:suppressAutoHyphens w:val="false"/>
        <w:spacing w:before="120" w:after="0"/>
        <w:jc w:val="both"/>
        <w:rPr>
          <w:rFonts w:ascii="Verdana" w:hAnsi="Verdana" w:cs="Verdana"/>
          <w:sz w:val="18"/>
          <w:szCs w:val="18"/>
          <w:lang w:eastAsia="pt-BR"/>
        </w:rPr>
      </w:pPr>
      <w:r>
        <w:rPr>
          <w:rFonts w:cs="Verdana" w:ascii="Verdana" w:hAnsi="Verdana"/>
          <w:sz w:val="18"/>
          <w:szCs w:val="18"/>
          <w:lang w:eastAsia="pt-BR"/>
        </w:rPr>
        <w:t xml:space="preserve">   </w:t>
      </w:r>
      <w:r>
        <w:rPr>
          <w:rFonts w:cs="Verdana" w:ascii="Verdana" w:hAnsi="Verdana"/>
          <w:sz w:val="18"/>
          <w:szCs w:val="18"/>
          <w:lang w:eastAsia="pt-BR"/>
        </w:rPr>
        <w:t xml:space="preserve">15.8 Nas licitações realizadas sob a modelagem de </w:t>
      </w:r>
      <w:r>
        <w:rPr>
          <w:rFonts w:cs="Verdana" w:ascii="Verdana" w:hAnsi="Verdana"/>
          <w:b/>
          <w:bCs/>
          <w:sz w:val="18"/>
          <w:szCs w:val="18"/>
          <w:lang w:eastAsia="pt-BR"/>
        </w:rPr>
        <w:t>aquisição por preço global de grupo de itens,</w:t>
      </w:r>
      <w:r>
        <w:rPr>
          <w:rFonts w:cs="Verdana" w:ascii="Verdana" w:hAnsi="Verdana"/>
          <w:sz w:val="18"/>
          <w:szCs w:val="18"/>
          <w:lang w:eastAsia="pt-BR"/>
        </w:rPr>
        <w:t xml:space="preserve"> </w:t>
      </w:r>
      <w:r>
        <w:rPr>
          <w:rFonts w:cs="Verdana" w:ascii="Verdana" w:hAnsi="Verdana"/>
          <w:b/>
          <w:bCs/>
          <w:sz w:val="18"/>
          <w:szCs w:val="18"/>
          <w:u w:val="single"/>
          <w:lang w:eastAsia="pt-BR"/>
        </w:rPr>
        <w:t>somente</w:t>
      </w:r>
      <w:r>
        <w:rPr>
          <w:rFonts w:cs="Verdana" w:ascii="Verdana" w:hAnsi="Verdana"/>
          <w:b/>
          <w:bCs/>
          <w:sz w:val="18"/>
          <w:szCs w:val="18"/>
          <w:lang w:eastAsia="pt-BR"/>
        </w:rPr>
        <w:t xml:space="preserve"> será admitida a utilização as seguintes hipóteses</w:t>
      </w:r>
      <w:r>
        <w:rPr>
          <w:rFonts w:cs="Verdana" w:ascii="Verdana" w:hAnsi="Verdana"/>
          <w:sz w:val="18"/>
          <w:szCs w:val="18"/>
          <w:lang w:eastAsia="pt-BR"/>
        </w:rPr>
        <w:t>:</w:t>
      </w:r>
    </w:p>
    <w:p>
      <w:pPr>
        <w:pStyle w:val="Normal"/>
        <w:suppressAutoHyphens w:val="false"/>
        <w:spacing w:before="120" w:after="0"/>
        <w:ind w:left="851" w:hanging="0"/>
        <w:jc w:val="both"/>
        <w:rPr>
          <w:rFonts w:ascii="Verdana" w:hAnsi="Verdana" w:cs="Verdana"/>
          <w:sz w:val="18"/>
          <w:szCs w:val="18"/>
          <w:lang w:eastAsia="pt-BR"/>
        </w:rPr>
      </w:pPr>
      <w:r>
        <w:rPr>
          <w:rFonts w:cs="Verdana" w:ascii="Verdana" w:hAnsi="Verdana"/>
          <w:sz w:val="18"/>
          <w:szCs w:val="18"/>
          <w:lang w:eastAsia="pt-BR"/>
        </w:rPr>
        <w:t xml:space="preserve">a) </w:t>
      </w:r>
      <w:r>
        <w:rPr>
          <w:rFonts w:cs="Verdana" w:ascii="Verdana" w:hAnsi="Verdana"/>
          <w:b/>
          <w:bCs/>
          <w:sz w:val="18"/>
          <w:szCs w:val="18"/>
          <w:lang w:eastAsia="pt-BR"/>
        </w:rPr>
        <w:t>aquisição da</w:t>
      </w:r>
      <w:r>
        <w:rPr>
          <w:rFonts w:cs="Verdana" w:ascii="Verdana" w:hAnsi="Verdana"/>
          <w:sz w:val="18"/>
          <w:szCs w:val="18"/>
          <w:lang w:eastAsia="pt-BR"/>
        </w:rPr>
        <w:t xml:space="preserve"> </w:t>
      </w:r>
      <w:r>
        <w:rPr>
          <w:rFonts w:cs="Verdana" w:ascii="Verdana" w:hAnsi="Verdana"/>
          <w:b/>
          <w:bCs/>
          <w:sz w:val="18"/>
          <w:szCs w:val="18"/>
          <w:lang w:eastAsia="pt-BR"/>
        </w:rPr>
        <w:t>totalidade dos itens de grupo</w:t>
      </w:r>
      <w:r>
        <w:rPr>
          <w:rFonts w:cs="Verdana" w:ascii="Verdana" w:hAnsi="Verdana"/>
          <w:sz w:val="18"/>
          <w:szCs w:val="18"/>
          <w:lang w:eastAsia="pt-BR"/>
        </w:rPr>
        <w:t xml:space="preserve">, respeitadas as proporções de quantitativos definidos no certame; </w:t>
      </w:r>
      <w:r>
        <w:rPr>
          <w:rFonts w:cs="Verdana" w:ascii="Verdana" w:hAnsi="Verdana"/>
          <w:b/>
          <w:bCs/>
          <w:sz w:val="18"/>
          <w:szCs w:val="18"/>
          <w:u w:val="single"/>
          <w:lang w:eastAsia="pt-BR"/>
        </w:rPr>
        <w:t>ou</w:t>
      </w:r>
    </w:p>
    <w:p>
      <w:pPr>
        <w:pStyle w:val="Normal"/>
        <w:suppressAutoHyphens w:val="false"/>
        <w:spacing w:before="120" w:after="0"/>
        <w:ind w:left="851" w:hanging="0"/>
        <w:jc w:val="both"/>
        <w:rPr>
          <w:rFonts w:ascii="Verdana" w:hAnsi="Verdana" w:cs="Arial"/>
          <w:sz w:val="18"/>
          <w:szCs w:val="18"/>
          <w:lang w:eastAsia="pt-BR"/>
        </w:rPr>
      </w:pPr>
      <w:r>
        <w:rPr>
          <w:rFonts w:cs="Verdana" w:ascii="Verdana" w:hAnsi="Verdana"/>
          <w:sz w:val="18"/>
          <w:szCs w:val="18"/>
          <w:lang w:eastAsia="pt-BR"/>
        </w:rPr>
        <w:t>b) </w:t>
      </w:r>
      <w:r>
        <w:rPr>
          <w:rFonts w:cs="Verdana" w:ascii="Verdana" w:hAnsi="Verdana"/>
          <w:b/>
          <w:bCs/>
          <w:sz w:val="18"/>
          <w:szCs w:val="18"/>
          <w:lang w:eastAsia="pt-BR"/>
        </w:rPr>
        <w:t>aquisição de</w:t>
      </w:r>
      <w:r>
        <w:rPr>
          <w:rFonts w:cs="Verdana" w:ascii="Verdana" w:hAnsi="Verdana"/>
          <w:sz w:val="18"/>
          <w:szCs w:val="18"/>
          <w:lang w:eastAsia="pt-BR"/>
        </w:rPr>
        <w:t xml:space="preserve"> </w:t>
      </w:r>
      <w:r>
        <w:rPr>
          <w:rFonts w:cs="Verdana" w:ascii="Verdana" w:hAnsi="Verdana"/>
          <w:b/>
          <w:bCs/>
          <w:sz w:val="18"/>
          <w:szCs w:val="18"/>
          <w:lang w:eastAsia="pt-BR"/>
        </w:rPr>
        <w:t>item isolado</w:t>
      </w:r>
      <w:r>
        <w:rPr>
          <w:rFonts w:cs="Verdana" w:ascii="Verdana" w:hAnsi="Verdana"/>
          <w:sz w:val="18"/>
          <w:szCs w:val="18"/>
          <w:lang w:eastAsia="pt-BR"/>
        </w:rPr>
        <w:t xml:space="preserve"> para o qual o preço unitário adjudicado ao vencedor seja o </w:t>
      </w:r>
      <w:r>
        <w:rPr>
          <w:rFonts w:cs="Verdana" w:ascii="Verdana" w:hAnsi="Verdana"/>
          <w:b/>
          <w:bCs/>
          <w:sz w:val="18"/>
          <w:szCs w:val="18"/>
          <w:lang w:eastAsia="pt-BR"/>
        </w:rPr>
        <w:t>menor preço válido ofertado para o mesmo item na fase de lances.</w:t>
      </w:r>
    </w:p>
    <w:p>
      <w:pPr>
        <w:pStyle w:val="Normal"/>
        <w:keepLines/>
        <w:spacing w:before="80" w:after="0"/>
        <w:jc w:val="both"/>
        <w:rPr>
          <w:rFonts w:ascii="Verdana" w:hAnsi="Verdana" w:cs="Arial"/>
          <w:sz w:val="18"/>
          <w:szCs w:val="18"/>
        </w:rPr>
      </w:pPr>
      <w:r>
        <w:rPr>
          <w:rFonts w:cs="Arial" w:ascii="Verdana" w:hAnsi="Verdana"/>
          <w:sz w:val="18"/>
          <w:szCs w:val="18"/>
        </w:rPr>
      </w:r>
    </w:p>
    <w:p>
      <w:pPr>
        <w:pStyle w:val="Normal"/>
        <w:numPr>
          <w:ilvl w:val="0"/>
          <w:numId w:val="12"/>
        </w:numPr>
        <w:ind w:left="426" w:hanging="426"/>
        <w:jc w:val="both"/>
        <w:rPr>
          <w:rFonts w:ascii="Verdana" w:hAnsi="Verdana" w:cs="Arial"/>
          <w:sz w:val="18"/>
          <w:szCs w:val="18"/>
        </w:rPr>
      </w:pPr>
      <w:r>
        <w:rPr>
          <w:rFonts w:cs="Arial" w:ascii="Verdana" w:hAnsi="Verdana"/>
          <w:b/>
          <w:sz w:val="18"/>
          <w:szCs w:val="18"/>
        </w:rPr>
        <w:t>DO FORNECIMENTO E RECEBIMENTO DOS MATERIAIS</w:t>
      </w:r>
    </w:p>
    <w:p>
      <w:pPr>
        <w:pStyle w:val="Normal"/>
        <w:numPr>
          <w:ilvl w:val="1"/>
          <w:numId w:val="15"/>
        </w:numPr>
        <w:tabs>
          <w:tab w:val="left" w:pos="900" w:leader="none"/>
          <w:tab w:val="left" w:pos="1142" w:leader="none"/>
        </w:tabs>
        <w:spacing w:before="120" w:after="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A licitante vencedora deverá executar fielmente os serviços conforme as especificações deste Edital e seus anexos;</w:t>
      </w:r>
    </w:p>
    <w:p>
      <w:pPr>
        <w:pStyle w:val="Normal"/>
        <w:numPr>
          <w:ilvl w:val="2"/>
          <w:numId w:val="9"/>
        </w:numPr>
        <w:tabs>
          <w:tab w:val="left" w:pos="1701" w:leader="none"/>
        </w:tabs>
        <w:spacing w:before="120" w:after="0"/>
        <w:jc w:val="both"/>
        <w:rPr>
          <w:rFonts w:ascii="Verdana" w:hAnsi="Verdana" w:cs="Arial"/>
          <w:sz w:val="18"/>
          <w:szCs w:val="18"/>
        </w:rPr>
      </w:pPr>
      <w:r>
        <w:rPr>
          <w:rFonts w:cs="Arial" w:ascii="Verdana" w:hAnsi="Verdana"/>
          <w:sz w:val="18"/>
          <w:szCs w:val="18"/>
        </w:rPr>
        <w:t xml:space="preserve">Quaisquer notificações, encaminhamento de documentos ou esclarecimentos devem ser destinados à </w:t>
      </w:r>
      <w:r>
        <w:rPr>
          <w:rFonts w:cs="Arial" w:ascii="Verdana" w:hAnsi="Verdana"/>
          <w:b/>
          <w:sz w:val="18"/>
          <w:szCs w:val="18"/>
        </w:rPr>
        <w:t>Diretoria de Patrimônio e Materiais da UFVJM</w:t>
      </w:r>
      <w:r>
        <w:rPr>
          <w:rFonts w:cs="Arial" w:ascii="Verdana" w:hAnsi="Verdana"/>
          <w:sz w:val="18"/>
          <w:szCs w:val="18"/>
        </w:rPr>
        <w:t>.</w:t>
      </w:r>
    </w:p>
    <w:p>
      <w:pPr>
        <w:pStyle w:val="Normal"/>
        <w:numPr>
          <w:ilvl w:val="1"/>
          <w:numId w:val="15"/>
        </w:numPr>
        <w:tabs>
          <w:tab w:val="left" w:pos="900" w:leader="none"/>
        </w:tabs>
        <w:spacing w:before="120" w:after="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O prazo de entrega dos materiais se efetuará em até 30 (trinta) dias corridos para produtos nacionais e no máximo 60 (sessenta) dias corridos para produtos importados, a partir do envio da Nota de Empenho ao Licitante. No caso de descumprimento, o licitante será notificado extrajudicialmente, pelas vias administrativas, para que em 72 (setenta e duas) horas, contados da data do recebimento da notificação, faça a entrega do material ou venha apresentar justificativa de impossibilidade de cumprir o compromisso contratual. Em ambos os casos, fica desde já estabelecido que a UFVJM, poderá, a seu critério, cancelar a Nota de Empenho e convocar o segundo colocado, sem entretanto, declinar do seu direito de promover o devido processo administrativo visando aplicação das sanções cabíveis e cobrança administrativa, na forma da Lei 8.666/93: multa, registro de inadimplência no SICAF e, se necessário, promover cobrança judicial e apuração das perdas e danos na forma da lei.</w:t>
      </w:r>
    </w:p>
    <w:p>
      <w:pPr>
        <w:pStyle w:val="Normal"/>
        <w:numPr>
          <w:ilvl w:val="1"/>
          <w:numId w:val="15"/>
        </w:numPr>
        <w:tabs>
          <w:tab w:val="left" w:pos="900" w:leader="none"/>
        </w:tabs>
        <w:spacing w:before="120" w:after="0"/>
        <w:ind w:left="900" w:hanging="540"/>
        <w:jc w:val="both"/>
        <w:rPr>
          <w:rFonts w:ascii="Verdana" w:hAnsi="Verdana" w:cs="Arial"/>
          <w:sz w:val="18"/>
          <w:szCs w:val="18"/>
        </w:rPr>
      </w:pPr>
      <w:r>
        <w:rPr>
          <w:rFonts w:ascii="Verdana" w:hAnsi="Verdana"/>
          <w:color w:val="000000"/>
          <w:sz w:val="18"/>
          <w:szCs w:val="18"/>
        </w:rPr>
        <w:t>O local de entrega será: Fazenda Experimental do Moura, situada na Rodovia MGT 421, s/n, sentido Curvelo/Codisburgo, CEP 35790-000, Curvelo (MG), das 08:00 as 11:30 e de 13:00 as 16:30 horas, em dias úteis.</w:t>
      </w:r>
      <w:r>
        <w:rPr>
          <w:rFonts w:cs="Arial" w:ascii="Verdana" w:hAnsi="Verdana"/>
          <w:sz w:val="18"/>
          <w:szCs w:val="18"/>
        </w:rPr>
        <w:t>.</w:t>
      </w:r>
    </w:p>
    <w:p>
      <w:pPr>
        <w:pStyle w:val="Normal"/>
        <w:numPr>
          <w:ilvl w:val="1"/>
          <w:numId w:val="15"/>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Além da entrega no local indicado no item acima, a licitante vencedora deverá também descarregar e alocar os materiais nos locais indicados pelo servidor estipulado, comprometendo-se ainda integralmente com eventuais danos ou perdas causados aos mesmos. </w:t>
      </w:r>
    </w:p>
    <w:p>
      <w:pPr>
        <w:pStyle w:val="Normal"/>
        <w:numPr>
          <w:ilvl w:val="1"/>
          <w:numId w:val="15"/>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Os produtos entregues através de transportadora deverão, obrigatoriamente, possuir pessoal para descarregar e alocar os equipamentos, sob pena de rejeição de seu recebimento pela UFVJM.</w:t>
      </w:r>
    </w:p>
    <w:p>
      <w:pPr>
        <w:pStyle w:val="Normal"/>
        <w:numPr>
          <w:ilvl w:val="1"/>
          <w:numId w:val="15"/>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A </w:t>
      </w:r>
      <w:r>
        <w:rPr>
          <w:rFonts w:cs="Arial" w:ascii="Verdana" w:hAnsi="Verdana"/>
          <w:b/>
          <w:sz w:val="18"/>
          <w:szCs w:val="18"/>
        </w:rPr>
        <w:t>Diretoria Patrimônio e Materiais, através de setor designado,</w:t>
      </w:r>
      <w:r>
        <w:rPr>
          <w:rFonts w:cs="Arial" w:ascii="Verdana" w:hAnsi="Verdana"/>
          <w:sz w:val="18"/>
          <w:szCs w:val="18"/>
        </w:rPr>
        <w:t xml:space="preserve"> irá gerenciar as aquisições decorrentes deste Sistema de Registro de Preços, sendo responsável por:</w:t>
      </w:r>
    </w:p>
    <w:p>
      <w:pPr>
        <w:pStyle w:val="Normal"/>
        <w:spacing w:before="120" w:after="0"/>
        <w:ind w:left="1620" w:hanging="720"/>
        <w:jc w:val="both"/>
        <w:rPr>
          <w:rFonts w:ascii="Verdana" w:hAnsi="Verdana" w:cs="Arial"/>
          <w:sz w:val="18"/>
          <w:szCs w:val="18"/>
        </w:rPr>
      </w:pPr>
      <w:r>
        <w:rPr>
          <w:rFonts w:cs="Arial" w:ascii="Verdana" w:hAnsi="Verdana"/>
          <w:sz w:val="18"/>
          <w:szCs w:val="18"/>
        </w:rPr>
        <w:t>16.6.1. Entrar em contato com a empresa, agendando a entrega dos materiais, à medida que forem necessários;</w:t>
      </w:r>
    </w:p>
    <w:p>
      <w:pPr>
        <w:pStyle w:val="Normal"/>
        <w:spacing w:before="120" w:after="0"/>
        <w:ind w:left="1620" w:hanging="720"/>
        <w:jc w:val="both"/>
        <w:rPr>
          <w:rFonts w:ascii="Verdana" w:hAnsi="Verdana" w:cs="Arial"/>
          <w:sz w:val="18"/>
          <w:szCs w:val="18"/>
        </w:rPr>
      </w:pPr>
      <w:r>
        <w:rPr>
          <w:rFonts w:cs="Arial" w:ascii="Verdana" w:hAnsi="Verdana"/>
          <w:sz w:val="18"/>
          <w:szCs w:val="18"/>
        </w:rPr>
        <w:t>16.6.2. Solicitar a emissão da Nota de Empenho;</w:t>
      </w:r>
    </w:p>
    <w:p>
      <w:pPr>
        <w:pStyle w:val="Normal"/>
        <w:spacing w:before="120" w:after="0"/>
        <w:ind w:left="1620" w:hanging="720"/>
        <w:jc w:val="both"/>
        <w:rPr>
          <w:rFonts w:ascii="Verdana" w:hAnsi="Verdana" w:cs="Arial"/>
          <w:sz w:val="18"/>
          <w:szCs w:val="18"/>
        </w:rPr>
      </w:pPr>
      <w:r>
        <w:rPr>
          <w:rFonts w:cs="Arial" w:ascii="Verdana" w:hAnsi="Verdana"/>
          <w:sz w:val="18"/>
          <w:szCs w:val="18"/>
        </w:rPr>
        <w:t>16.6.3. Receber as Notas Fiscais/Faturas e conferir se estão de acordo com os produtos licitados. Devendo, posteriormente, encaminhá-las para pagamento;</w:t>
      </w:r>
    </w:p>
    <w:p>
      <w:pPr>
        <w:pStyle w:val="Normal"/>
        <w:spacing w:before="120" w:after="120"/>
        <w:ind w:left="1622" w:hanging="720"/>
        <w:jc w:val="both"/>
        <w:rPr>
          <w:rFonts w:ascii="Verdana" w:hAnsi="Verdana" w:cs="Arial"/>
          <w:sz w:val="18"/>
          <w:szCs w:val="18"/>
        </w:rPr>
      </w:pPr>
      <w:r>
        <w:rPr>
          <w:rFonts w:cs="Arial" w:ascii="Verdana" w:hAnsi="Verdana"/>
          <w:sz w:val="18"/>
          <w:szCs w:val="18"/>
        </w:rPr>
        <w:t>16.6.4. Fiscalizar todo o processo, buscando garantir que os fornecimentos sejam realizados em conformidade com as especificações deste Edital e seus anexos.</w:t>
      </w:r>
    </w:p>
    <w:p>
      <w:pPr>
        <w:pStyle w:val="Normal"/>
        <w:spacing w:before="0" w:after="120"/>
        <w:ind w:left="426" w:hanging="0"/>
        <w:jc w:val="both"/>
        <w:rPr>
          <w:rFonts w:ascii="Verdana" w:hAnsi="Verdana" w:cs="Arial"/>
          <w:sz w:val="18"/>
          <w:szCs w:val="18"/>
        </w:rPr>
      </w:pPr>
      <w:r>
        <w:rPr>
          <w:rFonts w:cs="Arial" w:ascii="Verdana" w:hAnsi="Verdana"/>
          <w:sz w:val="18"/>
          <w:szCs w:val="18"/>
        </w:rPr>
        <w:t xml:space="preserve">16.7 Os materiais serão recebidos </w:t>
      </w:r>
      <w:r>
        <w:rPr>
          <w:rFonts w:cs="Arial" w:ascii="Verdana" w:hAnsi="Verdana"/>
          <w:b/>
          <w:bCs/>
          <w:sz w:val="18"/>
          <w:szCs w:val="18"/>
        </w:rPr>
        <w:t>provisoriamente</w:t>
      </w:r>
      <w:r>
        <w:rPr>
          <w:rFonts w:cs="Arial" w:ascii="Verdana" w:hAnsi="Verdana"/>
          <w:sz w:val="18"/>
          <w:szCs w:val="18"/>
        </w:rPr>
        <w:t>, para efeito de posterior verificação da conformidade do material com a especificação, mediante recibo no documento Fiscal, no momento da entrega da mercadoria, desde que:</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Esteja compatível com esta licitação e não exista a cobrança de frete;</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Estejam os produtos embalados de acordo com a nota fiscal/empenho, não enviando materiais/produtos de notas fiscais/empenhos diferentes numa mesma embalagem;</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Não apresente avaria ou adulteração;</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Seja o material da mesma marca e oferecida na proposta inicial, possua as mesmas características da amostra enviada, sob pena de devolução;</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Seja entregue em embalagem original, contendo a data e número do lote de fabricação, informando, inclusive, seu prazo de validade:</w:t>
      </w:r>
    </w:p>
    <w:p>
      <w:pPr>
        <w:pStyle w:val="Corpodetexto"/>
        <w:numPr>
          <w:ilvl w:val="0"/>
          <w:numId w:val="4"/>
        </w:numPr>
        <w:tabs>
          <w:tab w:val="left" w:pos="993" w:leader="none"/>
        </w:tabs>
        <w:suppressAutoHyphens w:val="false"/>
        <w:spacing w:before="0" w:after="0"/>
        <w:ind w:left="720" w:hanging="11"/>
        <w:jc w:val="both"/>
        <w:rPr>
          <w:rFonts w:ascii="Verdana" w:hAnsi="Verdana" w:cs="Arial"/>
          <w:sz w:val="18"/>
          <w:szCs w:val="18"/>
        </w:rPr>
      </w:pPr>
      <w:r>
        <w:rPr>
          <w:rFonts w:cs="Arial" w:ascii="Verdana" w:hAnsi="Verdana"/>
          <w:sz w:val="18"/>
          <w:szCs w:val="18"/>
        </w:rPr>
        <w:t>Esteja identificado quanto ao número da licitação, nome da Empresa, número do item a que se refere e outras informações de acordo com a legislação pertinente.</w:t>
      </w:r>
    </w:p>
    <w:p>
      <w:pPr>
        <w:pStyle w:val="Normal"/>
        <w:numPr>
          <w:ilvl w:val="0"/>
          <w:numId w:val="4"/>
        </w:numPr>
        <w:tabs>
          <w:tab w:val="left" w:pos="993" w:leader="none"/>
        </w:tabs>
        <w:suppressAutoHyphens w:val="false"/>
        <w:ind w:left="720" w:hanging="11"/>
        <w:jc w:val="both"/>
        <w:rPr>
          <w:rFonts w:ascii="Verdana" w:hAnsi="Verdana" w:cs="Arial"/>
          <w:sz w:val="18"/>
          <w:szCs w:val="18"/>
        </w:rPr>
      </w:pPr>
      <w:r>
        <w:rPr>
          <w:rFonts w:cs="Arial" w:ascii="Verdana" w:hAnsi="Verdana"/>
          <w:sz w:val="18"/>
          <w:szCs w:val="18"/>
        </w:rPr>
        <w:t>Serão aceitos somente os produtos cujos prazos de validade tenham, no mínimo, 80% de validade no ato da entrega.</w:t>
      </w:r>
    </w:p>
    <w:p>
      <w:pPr>
        <w:pStyle w:val="Normal"/>
        <w:tabs>
          <w:tab w:val="left" w:pos="993" w:leader="none"/>
        </w:tabs>
        <w:suppressAutoHyphens w:val="false"/>
        <w:ind w:left="720" w:hanging="0"/>
        <w:jc w:val="both"/>
        <w:rPr>
          <w:rFonts w:ascii="Verdana" w:hAnsi="Verdana" w:cs="Arial"/>
          <w:sz w:val="18"/>
          <w:szCs w:val="18"/>
        </w:rPr>
      </w:pPr>
      <w:r>
        <w:rPr>
          <w:rFonts w:cs="Arial" w:ascii="Verdana" w:hAnsi="Verdana"/>
          <w:sz w:val="18"/>
          <w:szCs w:val="18"/>
        </w:rPr>
      </w:r>
    </w:p>
    <w:p>
      <w:pPr>
        <w:pStyle w:val="Normal"/>
        <w:numPr>
          <w:ilvl w:val="1"/>
          <w:numId w:val="5"/>
        </w:numPr>
        <w:spacing w:before="0" w:after="120"/>
        <w:jc w:val="both"/>
        <w:rPr>
          <w:rFonts w:ascii="Verdana" w:hAnsi="Verdana" w:cs="Arial"/>
          <w:sz w:val="18"/>
          <w:szCs w:val="18"/>
        </w:rPr>
      </w:pPr>
      <w:r>
        <w:rPr>
          <w:rFonts w:eastAsia="Verdana" w:cs="Verdana" w:ascii="Verdana" w:hAnsi="Verdana"/>
          <w:sz w:val="18"/>
          <w:szCs w:val="18"/>
        </w:rPr>
        <w:t xml:space="preserve"> </w:t>
      </w:r>
      <w:r>
        <w:rPr>
          <w:rFonts w:cs="Arial" w:ascii="Verdana" w:hAnsi="Verdana"/>
          <w:sz w:val="18"/>
          <w:szCs w:val="18"/>
        </w:rPr>
        <w:t>A UFVJM se reserva o prazo de 30 (trinta) dias úteis para promover as análises necessárias à verificação da conformidade do material com a especificação do Edital, podendo prorrogar tal prazo por igual período quando o exame qualitativo requerer testes mais elaborados.</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 xml:space="preserve">Os materiais serão recebidos </w:t>
      </w:r>
      <w:r>
        <w:rPr>
          <w:rFonts w:cs="Arial" w:ascii="Verdana" w:hAnsi="Verdana"/>
          <w:b/>
          <w:bCs/>
          <w:sz w:val="18"/>
          <w:szCs w:val="18"/>
        </w:rPr>
        <w:t>definitivamente</w:t>
      </w:r>
      <w:r>
        <w:rPr>
          <w:rFonts w:cs="Arial" w:ascii="Verdana" w:hAnsi="Verdana"/>
          <w:sz w:val="18"/>
          <w:szCs w:val="18"/>
        </w:rPr>
        <w:t>, após a verificação da qualidade e quantidade do material e consequente aceitação, quando a UFVJM encaminhará o documento fiscal para pagamento, sem prejuízo, entretanto, do disposto no Código de Defesa do Consumidor a respeito da qualidade de produtos e reparação de danos.</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O recebimento provisório ou definitivo não exclui a responsabilidade civil do contratado pela solidez e segurança do material. Também não exclui a responsabilidade ético-profissional pela perfeita execução do contrato, dentro dos limites estabelecidos pela lei ou pelo contrato.</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O contratado é obrigado a substituir, reparar, corrigir, remover ou reconstruir, às suas expensas, no todo ou em parte, o objeto em que se verificarem vícios, defeitos ou incorreções resultantes da execução ou de materiais empregados, mesmo após ter sido recebido definitivamente o objeto do contrato.</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Caso seja constatada alguma irregularidade na entrega do material, após o recebimento provisório, a UFVJM notificará a empresa para substituição do material, suspendendo-se o prazo estipulado no item 16.8, que voltará a correr, por inteiro, após novo recebimento provisório;</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O prazo para correção das imperfeições será determinado pela Administração.</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O material rejeitado ficará a disposição do fornecedor até o fim do prazo determinado para correção das imperfeições, correndo os custos de recolhimento e nova entrega por conta do fornecedor.</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Os produtos serão substituídos, sem ônus para a UFVJM, caso não estejam de acordo com a proposta aceita no momento da licitação.</w:t>
      </w:r>
    </w:p>
    <w:p>
      <w:pPr>
        <w:pStyle w:val="Normal"/>
        <w:numPr>
          <w:ilvl w:val="1"/>
          <w:numId w:val="5"/>
        </w:numPr>
        <w:spacing w:before="0" w:after="120"/>
        <w:jc w:val="both"/>
        <w:rPr>
          <w:rFonts w:ascii="Verdana" w:hAnsi="Verdana" w:eastAsia="Verdana" w:cs="Verdana"/>
          <w:sz w:val="18"/>
          <w:szCs w:val="18"/>
        </w:rPr>
      </w:pPr>
      <w:r>
        <w:rPr>
          <w:rFonts w:cs="Arial" w:ascii="Verdana" w:hAnsi="Verdana"/>
          <w:sz w:val="18"/>
          <w:szCs w:val="18"/>
        </w:rPr>
        <w:t>Não havendo substituição ou recolhimento do material rejeitado, os produtos ficarão a disposição das suas respectivas empresas, pelo prazo máximo de 15 (quinze) dias corridos, contados do prazo final concedido pela UFVJM, findo o qual terão a sua destinação determinada pela UFVJM.</w:t>
      </w:r>
    </w:p>
    <w:p>
      <w:pPr>
        <w:pStyle w:val="Normal"/>
        <w:numPr>
          <w:ilvl w:val="1"/>
          <w:numId w:val="5"/>
        </w:numPr>
        <w:spacing w:before="0" w:after="120"/>
        <w:jc w:val="both"/>
        <w:rPr>
          <w:rFonts w:ascii="Verdana" w:hAnsi="Verdana" w:cs="Arial"/>
          <w:sz w:val="18"/>
          <w:szCs w:val="18"/>
        </w:rPr>
      </w:pPr>
      <w:r>
        <w:rPr>
          <w:rFonts w:eastAsia="Verdana" w:cs="Verdana" w:ascii="Verdana" w:hAnsi="Verdana"/>
          <w:sz w:val="18"/>
          <w:szCs w:val="18"/>
        </w:rPr>
        <w:t xml:space="preserve"> </w:t>
      </w:r>
      <w:r>
        <w:rPr>
          <w:rFonts w:cs="Arial" w:ascii="Verdana" w:hAnsi="Verdana"/>
          <w:sz w:val="18"/>
          <w:szCs w:val="18"/>
        </w:rPr>
        <w:t>Após o recebimento definitivo, o Setor Responsável, encaminhará no prazo máximo 01 (um) dia útil o documento Fiscal para pagamento.</w:t>
      </w:r>
    </w:p>
    <w:p>
      <w:pPr>
        <w:pStyle w:val="Normal"/>
        <w:numPr>
          <w:ilvl w:val="1"/>
          <w:numId w:val="5"/>
        </w:numPr>
        <w:spacing w:before="0" w:after="120"/>
        <w:jc w:val="both"/>
        <w:rPr>
          <w:rFonts w:ascii="Verdana" w:hAnsi="Verdana" w:cs="Arial"/>
          <w:sz w:val="18"/>
          <w:szCs w:val="18"/>
        </w:rPr>
      </w:pPr>
      <w:r>
        <w:rPr>
          <w:rFonts w:cs="Arial" w:ascii="Verdana" w:hAnsi="Verdana"/>
          <w:sz w:val="18"/>
          <w:szCs w:val="18"/>
        </w:rPr>
        <w:t>Eventuais necessidades de correção de notas fiscais deverão se atendidas no prazo de 02 (dois) dias úteis.</w:t>
      </w:r>
    </w:p>
    <w:p>
      <w:pPr>
        <w:pStyle w:val="Normal"/>
        <w:spacing w:before="120" w:after="0"/>
        <w:ind w:left="1620" w:hanging="720"/>
        <w:jc w:val="both"/>
        <w:rPr>
          <w:rFonts w:ascii="Verdana" w:hAnsi="Verdana" w:cs="Arial"/>
          <w:sz w:val="18"/>
          <w:szCs w:val="18"/>
        </w:rPr>
      </w:pPr>
      <w:r>
        <w:rPr>
          <w:rFonts w:cs="Arial" w:ascii="Verdana" w:hAnsi="Verdana"/>
          <w:sz w:val="18"/>
          <w:szCs w:val="18"/>
        </w:rPr>
      </w:r>
    </w:p>
    <w:p>
      <w:pPr>
        <w:pStyle w:val="Normal"/>
        <w:numPr>
          <w:ilvl w:val="0"/>
          <w:numId w:val="12"/>
        </w:numPr>
        <w:tabs>
          <w:tab w:val="left" w:pos="1800" w:leader="none"/>
        </w:tabs>
        <w:jc w:val="both"/>
        <w:rPr>
          <w:rFonts w:ascii="Verdana" w:hAnsi="Verdana" w:cs="Arial"/>
          <w:sz w:val="18"/>
          <w:szCs w:val="18"/>
        </w:rPr>
      </w:pPr>
      <w:r>
        <w:rPr>
          <w:rFonts w:cs="Arial" w:ascii="Verdana" w:hAnsi="Verdana"/>
          <w:b/>
          <w:sz w:val="18"/>
          <w:szCs w:val="18"/>
        </w:rPr>
        <w:t>DO PAGAMENTO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documento fiscal terá que ser emitido, obrigatoriamente, com o número de inscrição no CNPJ apresentado para a Habilitação, não se admitindo Notas Fiscais/Faturas emitidas com outros CNPJ’s, mesmo aqueles de filiais ou matriz da licitante vencedora;</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pagamento será efetuado no prazo máximo de 12 (doze) dias úteis, contados da data do recebimento do original do documento fiscal com o Termo de Recebimento Definitivo emitido pelo setor competente, desde que atendidas às exigências deste Edital e o disposto no item 8.8 da Instrução Normativa nº 05, de 21/07/95, do Ministério da Administração Federal e Reforma do Estado, mediante crédito em Conta corrente bancária da LICITANTE VENCEDORA;</w:t>
      </w:r>
    </w:p>
    <w:p>
      <w:pPr>
        <w:pStyle w:val="Normal"/>
        <w:tabs>
          <w:tab w:val="left" w:pos="900" w:leader="none"/>
        </w:tabs>
        <w:spacing w:before="120" w:after="0"/>
        <w:ind w:left="900" w:hanging="0"/>
        <w:jc w:val="both"/>
        <w:rPr>
          <w:rFonts w:ascii="Verdana" w:hAnsi="Verdana" w:cs="Arial"/>
          <w:sz w:val="18"/>
          <w:szCs w:val="18"/>
        </w:rPr>
      </w:pPr>
      <w:r>
        <w:rPr>
          <w:rFonts w:cs="Arial" w:ascii="Verdana" w:hAnsi="Verdana"/>
          <w:sz w:val="18"/>
          <w:szCs w:val="18"/>
        </w:rPr>
        <w:t>17.2.1 Os pagamentos decorrentes de despesas de cujos valores não ultrapassem o limite que trata o inciso II do art. 24 da Lei 8.666/93, deverão ser efetuados no prazo de até 05 (cinco) dias úteis, contados da data da apresentação da Nota Fiscal, nos termos do art. 5º, § 3º da Lei 8.666/93.</w:t>
      </w:r>
    </w:p>
    <w:p>
      <w:pPr>
        <w:pStyle w:val="Normal"/>
        <w:tabs>
          <w:tab w:val="left" w:pos="900" w:leader="none"/>
        </w:tabs>
        <w:spacing w:before="120" w:after="0"/>
        <w:ind w:left="900" w:hanging="0"/>
        <w:jc w:val="both"/>
        <w:rPr>
          <w:rFonts w:ascii="Verdana" w:hAnsi="Verdana" w:cs="Arial"/>
          <w:sz w:val="18"/>
          <w:szCs w:val="18"/>
        </w:rPr>
      </w:pPr>
      <w:r>
        <w:rPr>
          <w:rFonts w:cs="Arial" w:ascii="Verdana" w:hAnsi="Verdana"/>
          <w:sz w:val="18"/>
          <w:szCs w:val="18"/>
        </w:rPr>
        <w:t>17.2.2 Poderá ser deduzido da Nota Fiscal/Fatura o valor de multas aplicadas após regular processo administrativo.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Conforme disposto na Instrução Normativa nº 04, de 16/10/2013, do Ministério do Planejamento, Orçamento e Gestão, será feita, pela UFVJM, a consulta junto ao SICAF (Sistema de Cadastramento Unificado de Fornecedores), previamente à contratação a ser feito para a LICITANTE VENCEDORA, a qual </w:t>
      </w:r>
      <w:r>
        <w:rPr>
          <w:rFonts w:cs="Arial" w:ascii="Verdana" w:hAnsi="Verdana"/>
          <w:b/>
          <w:sz w:val="18"/>
          <w:szCs w:val="18"/>
        </w:rPr>
        <w:t>deverá manter este seu Cadastro atualizado, durante a vigência da ARP</w:t>
      </w:r>
      <w:r>
        <w:rPr>
          <w:rFonts w:cs="Arial" w:ascii="Verdana" w:hAnsi="Verdana"/>
          <w:sz w:val="18"/>
          <w:szCs w:val="18"/>
        </w:rPr>
        <w:t>;</w:t>
      </w:r>
    </w:p>
    <w:p>
      <w:pPr>
        <w:pStyle w:val="Normal"/>
        <w:numPr>
          <w:ilvl w:val="2"/>
          <w:numId w:val="12"/>
        </w:numPr>
        <w:spacing w:before="120" w:after="0"/>
        <w:jc w:val="both"/>
        <w:rPr>
          <w:rFonts w:ascii="Verdana" w:hAnsi="Verdana" w:cs="Arial"/>
          <w:sz w:val="18"/>
          <w:szCs w:val="18"/>
        </w:rPr>
      </w:pPr>
      <w:r>
        <w:rPr>
          <w:rFonts w:cs="Arial" w:ascii="Verdana" w:hAnsi="Verdana"/>
          <w:sz w:val="18"/>
          <w:szCs w:val="18"/>
        </w:rPr>
        <w:t>Constatada a situação de irregularidade junto ao SICAF, a contratada será advertida, por escrito, para que no prazo de 05 (cinco) dias úteis, regularize sua situação, ou no mesmo prazo apresente sua defesa, sob pena de rescisão do contrato.</w:t>
      </w:r>
    </w:p>
    <w:p>
      <w:pPr>
        <w:pStyle w:val="Normal"/>
        <w:numPr>
          <w:ilvl w:val="2"/>
          <w:numId w:val="12"/>
        </w:numPr>
        <w:spacing w:before="120" w:after="0"/>
        <w:jc w:val="both"/>
        <w:rPr>
          <w:rFonts w:ascii="Verdana" w:hAnsi="Verdana" w:cs="Arial"/>
          <w:sz w:val="18"/>
          <w:szCs w:val="18"/>
        </w:rPr>
      </w:pPr>
      <w:r>
        <w:rPr>
          <w:rFonts w:cs="Arial" w:ascii="Verdana" w:hAnsi="Verdana"/>
          <w:sz w:val="18"/>
          <w:szCs w:val="18"/>
        </w:rPr>
        <w:t>O prazo descrito no item 17.3.1 poderá ser prorrogado a critério da administração.</w:t>
      </w:r>
    </w:p>
    <w:p>
      <w:pPr>
        <w:pStyle w:val="Normal"/>
        <w:numPr>
          <w:ilvl w:val="2"/>
          <w:numId w:val="12"/>
        </w:numPr>
        <w:spacing w:before="120" w:after="0"/>
        <w:jc w:val="both"/>
        <w:rPr>
          <w:rFonts w:ascii="Verdana" w:hAnsi="Verdana" w:cs="Arial"/>
          <w:sz w:val="18"/>
          <w:szCs w:val="18"/>
        </w:rPr>
      </w:pPr>
      <w:r>
        <w:rPr>
          <w:rFonts w:cs="Arial" w:ascii="Verdana" w:hAnsi="Verdana"/>
          <w:sz w:val="18"/>
          <w:szCs w:val="18"/>
        </w:rPr>
        <w:t>Caso a contratada, não regularize sua situação junto ao SICAF, ou apresente defesa, no prazo descrito no item 17.3.1 será providenciada a abertura de processo administrativo visando a aplicação das penalidades cabíveis.</w:t>
      </w:r>
    </w:p>
    <w:p>
      <w:pPr>
        <w:pStyle w:val="Normal"/>
        <w:numPr>
          <w:ilvl w:val="2"/>
          <w:numId w:val="12"/>
        </w:numPr>
        <w:spacing w:before="120" w:after="0"/>
        <w:jc w:val="both"/>
        <w:rPr>
          <w:rFonts w:ascii="Verdana" w:hAnsi="Verdana" w:cs="Arial"/>
          <w:sz w:val="18"/>
          <w:szCs w:val="18"/>
        </w:rPr>
      </w:pPr>
      <w:r>
        <w:rPr>
          <w:rFonts w:cs="Arial" w:ascii="Verdana" w:hAnsi="Verdana"/>
          <w:sz w:val="18"/>
          <w:szCs w:val="18"/>
        </w:rPr>
        <w:t>Somente por motivo de economicidade, segurança nacional ou outro interesse público de alta relevância, devidamente justificado, em qualquer caso, pela máxima autoridade da contratante, não será rescindido o contrato em execução com a contratada inadimplente com o SICAF.</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Considerar-se-á como último dia útil para pagamento, o de emissão da respectiva Ordem Bancária pelo SIAFI (Sistema da administração Financeira do Governo Federal);</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No pagamento serão observadas as retenções, de acordo com a legislação e normas vigentes, no âmbito da União, Estado e Município;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Na Nota Fiscal deverá constar banco, agência e conta corrente para efeito de pagamento;</w:t>
      </w:r>
    </w:p>
    <w:p>
      <w:pPr>
        <w:pStyle w:val="Normal"/>
        <w:numPr>
          <w:ilvl w:val="1"/>
          <w:numId w:val="12"/>
        </w:numPr>
        <w:tabs>
          <w:tab w:val="left" w:pos="900" w:leader="none"/>
        </w:tabs>
        <w:spacing w:before="120" w:after="0"/>
        <w:ind w:left="900" w:hanging="540"/>
        <w:jc w:val="both"/>
        <w:rPr>
          <w:rFonts w:ascii="Verdana" w:hAnsi="Verdana" w:cs="Arial"/>
          <w:bCs/>
          <w:sz w:val="18"/>
          <w:szCs w:val="18"/>
        </w:rPr>
      </w:pPr>
      <w:r>
        <w:rPr>
          <w:rFonts w:cs="Arial" w:ascii="Verdana" w:hAnsi="Verdana"/>
          <w:sz w:val="18"/>
          <w:szCs w:val="18"/>
        </w:rPr>
        <w:t>Nenhum pagamento será efetuado à LICITANTE VENCEDORA enquanto pendente de liquidação ou qualquer obrigação financeira que lhe for imposta, em virtude de penalidade ou inadimplência.</w:t>
      </w:r>
    </w:p>
    <w:p>
      <w:pPr>
        <w:pStyle w:val="Normal"/>
        <w:numPr>
          <w:ilvl w:val="1"/>
          <w:numId w:val="12"/>
        </w:numPr>
        <w:tabs>
          <w:tab w:val="left" w:pos="900" w:leader="none"/>
        </w:tabs>
        <w:spacing w:before="120" w:after="0"/>
        <w:ind w:left="851" w:hanging="425"/>
        <w:jc w:val="both"/>
        <w:rPr>
          <w:rFonts w:ascii="Verdana" w:hAnsi="Verdana" w:cs="Arial"/>
          <w:color w:val="000000"/>
          <w:sz w:val="18"/>
          <w:szCs w:val="18"/>
        </w:rPr>
      </w:pPr>
      <w:r>
        <w:rPr>
          <w:rFonts w:cs="Arial" w:ascii="Verdana" w:hAnsi="Verdana"/>
          <w:color w:val="000000"/>
          <w:sz w:val="18"/>
          <w:szCs w:val="18"/>
        </w:rPr>
        <w:t>Nos casos de eventuais atrasos de pagamento, desde que a Contratada não tenha concorrido, de alguma forma, para tanto</w:t>
      </w:r>
      <w:r>
        <w:rPr>
          <w:rFonts w:cs="Arial" w:ascii="Verdana" w:hAnsi="Verdana"/>
          <w:bCs/>
          <w:sz w:val="18"/>
          <w:szCs w:val="18"/>
        </w:rPr>
        <w:t xml:space="preserve">, </w:t>
      </w:r>
      <w:r>
        <w:rPr>
          <w:rFonts w:cs="Arial" w:ascii="Verdana" w:hAnsi="Verdana"/>
          <w:color w:val="000000"/>
          <w:sz w:val="18"/>
          <w:szCs w:val="18"/>
        </w:rPr>
        <w:t>fica convencionado que a taxa de compensação financeira devida pela Contratante, entre a data do vencimento e o efetivo adimplemento da parcela, é calculada mediante a aplicação da seguinte fórmula:</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EM = I x N x VP, sendo:</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EM = Encargos moratórios;</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N = Número de dias entre a data prevista para o pagamento e a do efetivo pagamento;</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VP = Valor da parcela a ser paga.</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 xml:space="preserve">I = Índice de compensação financeira = </w:t>
      </w:r>
      <w:r>
        <w:rPr>
          <w:rFonts w:ascii="Verdana" w:hAnsi="Verdana"/>
          <w:sz w:val="18"/>
          <w:szCs w:val="18"/>
        </w:rPr>
        <w:t>0,00016438, assim apurado:</w:t>
      </w:r>
    </w:p>
    <w:tbl>
      <w:tblPr>
        <w:tblW w:w="8895" w:type="dxa"/>
        <w:jc w:val="left"/>
        <w:tblInd w:w="459" w:type="dxa"/>
        <w:tblBorders/>
        <w:tblCellMar>
          <w:top w:w="0" w:type="dxa"/>
          <w:left w:w="70" w:type="dxa"/>
          <w:bottom w:w="0" w:type="dxa"/>
          <w:right w:w="70" w:type="dxa"/>
        </w:tblCellMar>
        <w:tblLook w:val="0000"/>
      </w:tblPr>
      <w:tblGrid>
        <w:gridCol w:w="1700"/>
        <w:gridCol w:w="2409"/>
        <w:gridCol w:w="4786"/>
      </w:tblGrid>
      <w:tr>
        <w:trPr/>
        <w:tc>
          <w:tcPr>
            <w:tcW w:w="1700" w:type="dxa"/>
            <w:tcBorders/>
            <w:shd w:fill="auto" w:val="clear"/>
            <w:vAlign w:val="center"/>
          </w:tcPr>
          <w:p>
            <w:pPr>
              <w:pStyle w:val="Normal"/>
              <w:tabs>
                <w:tab w:val="left" w:pos="1701" w:leader="none"/>
              </w:tabs>
              <w:spacing w:before="120" w:after="0"/>
              <w:ind w:left="851" w:firstLine="66"/>
              <w:jc w:val="both"/>
              <w:rPr>
                <w:rFonts w:ascii="Verdana" w:hAnsi="Verdana" w:eastAsia="Arial" w:cs="Arial"/>
                <w:color w:val="000000"/>
                <w:sz w:val="18"/>
                <w:szCs w:val="18"/>
                <w:lang w:val="en-US"/>
              </w:rPr>
            </w:pPr>
            <w:r>
              <w:rPr>
                <w:rFonts w:cs="Arial" w:ascii="Verdana" w:hAnsi="Verdana"/>
                <w:color w:val="000000"/>
                <w:sz w:val="18"/>
                <w:szCs w:val="18"/>
                <w:lang w:val="en-US"/>
              </w:rPr>
              <w:t>I =   (TX)</w:t>
            </w:r>
          </w:p>
          <w:p>
            <w:pPr>
              <w:pStyle w:val="Normal"/>
              <w:tabs>
                <w:tab w:val="left" w:pos="1701" w:leader="none"/>
              </w:tabs>
              <w:spacing w:before="120" w:after="0"/>
              <w:ind w:left="851" w:firstLine="66"/>
              <w:jc w:val="both"/>
              <w:rPr>
                <w:rFonts w:ascii="Verdana" w:hAnsi="Verdana" w:cs="Arial"/>
                <w:color w:val="000000"/>
                <w:sz w:val="18"/>
                <w:szCs w:val="18"/>
                <w:lang w:val="en-US"/>
              </w:rPr>
            </w:pPr>
            <w:r>
              <w:rPr>
                <w:rFonts w:eastAsia="Arial" w:cs="Arial" w:ascii="Verdana" w:hAnsi="Verdana"/>
                <w:color w:val="000000"/>
                <w:sz w:val="18"/>
                <w:szCs w:val="18"/>
                <w:lang w:val="en-US"/>
              </w:rPr>
              <w:t xml:space="preserve">     </w:t>
            </w:r>
          </w:p>
        </w:tc>
        <w:tc>
          <w:tcPr>
            <w:tcW w:w="2409" w:type="dxa"/>
            <w:tcBorders/>
            <w:shd w:fill="auto" w:val="clear"/>
            <w:vAlign w:val="center"/>
          </w:tcPr>
          <w:p>
            <w:pPr>
              <w:pStyle w:val="Normal"/>
              <w:tabs>
                <w:tab w:val="left" w:pos="1701" w:leader="none"/>
              </w:tabs>
              <w:spacing w:before="120" w:after="0"/>
              <w:ind w:left="851" w:firstLine="66"/>
              <w:jc w:val="both"/>
              <w:rPr>
                <w:rFonts w:ascii="Verdana" w:hAnsi="Verdana" w:eastAsia="Arial" w:cs="Arial"/>
                <w:color w:val="000000"/>
                <w:sz w:val="18"/>
                <w:szCs w:val="18"/>
                <w:lang w:val="en-US"/>
              </w:rPr>
            </w:pPr>
            <w:r>
              <w:rPr>
                <w:rFonts w:cs="Arial" w:ascii="Verdana" w:hAnsi="Verdana"/>
                <w:color w:val="000000"/>
                <w:sz w:val="18"/>
                <w:szCs w:val="18"/>
                <w:lang w:val="en-US"/>
              </w:rPr>
              <w:t xml:space="preserve">I = </w:t>
            </w:r>
            <w:r>
              <w:rPr>
                <w:rFonts w:cs="Arial" w:ascii="Verdana" w:hAnsi="Verdana"/>
                <w:color w:val="000000"/>
                <w:sz w:val="18"/>
                <w:szCs w:val="18"/>
                <w:u w:val="single"/>
                <w:lang w:val="en-US"/>
              </w:rPr>
              <w:t>(6/100)</w:t>
            </w:r>
          </w:p>
          <w:p>
            <w:pPr>
              <w:pStyle w:val="Normal"/>
              <w:tabs>
                <w:tab w:val="left" w:pos="1701" w:leader="none"/>
              </w:tabs>
              <w:spacing w:before="120" w:after="0"/>
              <w:ind w:left="851" w:firstLine="66"/>
              <w:jc w:val="both"/>
              <w:rPr>
                <w:rFonts w:ascii="Verdana" w:hAnsi="Verdana" w:cs="Arial"/>
                <w:color w:val="000000"/>
                <w:sz w:val="18"/>
                <w:szCs w:val="18"/>
              </w:rPr>
            </w:pPr>
            <w:r>
              <w:rPr>
                <w:rFonts w:eastAsia="Arial" w:cs="Arial" w:ascii="Verdana" w:hAnsi="Verdana"/>
                <w:color w:val="000000"/>
                <w:sz w:val="18"/>
                <w:szCs w:val="18"/>
                <w:lang w:val="en-US"/>
              </w:rPr>
              <w:t xml:space="preserve">     </w:t>
            </w:r>
            <w:r>
              <w:rPr>
                <w:rFonts w:cs="Arial" w:ascii="Verdana" w:hAnsi="Verdana"/>
                <w:color w:val="000000"/>
                <w:sz w:val="18"/>
                <w:szCs w:val="18"/>
              </w:rPr>
              <w:t>365</w:t>
            </w:r>
          </w:p>
          <w:p>
            <w:pPr>
              <w:pStyle w:val="Normal"/>
              <w:tabs>
                <w:tab w:val="left" w:pos="1701" w:leader="none"/>
              </w:tabs>
              <w:spacing w:before="120" w:after="0"/>
              <w:ind w:firstLine="66"/>
              <w:jc w:val="both"/>
              <w:rPr>
                <w:rFonts w:ascii="Verdana" w:hAnsi="Verdana" w:cs="Arial"/>
                <w:color w:val="000000"/>
                <w:sz w:val="18"/>
                <w:szCs w:val="18"/>
              </w:rPr>
            </w:pPr>
            <w:r>
              <w:rPr>
                <w:rFonts w:cs="Arial" w:ascii="Verdana" w:hAnsi="Verdana"/>
                <w:color w:val="000000"/>
                <w:sz w:val="18"/>
                <w:szCs w:val="18"/>
              </w:rPr>
            </w:r>
          </w:p>
        </w:tc>
        <w:tc>
          <w:tcPr>
            <w:tcW w:w="4786" w:type="dxa"/>
            <w:tcBorders/>
            <w:shd w:fill="auto" w:val="clear"/>
            <w:vAlign w:val="center"/>
          </w:tcPr>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I = 0,00016438</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t>TX = Percentual da taxa anual = 6%.</w:t>
            </w:r>
          </w:p>
          <w:p>
            <w:pPr>
              <w:pStyle w:val="Normal"/>
              <w:tabs>
                <w:tab w:val="left" w:pos="1701" w:leader="none"/>
              </w:tabs>
              <w:spacing w:before="120" w:after="0"/>
              <w:ind w:left="851" w:firstLine="66"/>
              <w:jc w:val="both"/>
              <w:rPr>
                <w:rFonts w:ascii="Verdana" w:hAnsi="Verdana" w:cs="Arial"/>
                <w:color w:val="000000"/>
                <w:sz w:val="18"/>
                <w:szCs w:val="18"/>
              </w:rPr>
            </w:pPr>
            <w:r>
              <w:rPr>
                <w:rFonts w:cs="Arial" w:ascii="Verdana" w:hAnsi="Verdana"/>
                <w:color w:val="000000"/>
                <w:sz w:val="18"/>
                <w:szCs w:val="18"/>
              </w:rPr>
            </w:r>
          </w:p>
        </w:tc>
      </w:tr>
    </w:tbl>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No caso de incorreção, nas Notas Fiscais, serão restituídas ao </w:t>
      </w:r>
      <w:r>
        <w:rPr>
          <w:rFonts w:cs="Arial" w:ascii="Verdana" w:hAnsi="Verdana"/>
          <w:b/>
          <w:bCs/>
          <w:sz w:val="18"/>
          <w:szCs w:val="18"/>
        </w:rPr>
        <w:t xml:space="preserve">CONTRATADO </w:t>
      </w:r>
      <w:r>
        <w:rPr>
          <w:rFonts w:cs="Arial" w:ascii="Verdana" w:hAnsi="Verdana"/>
          <w:sz w:val="18"/>
          <w:szCs w:val="18"/>
        </w:rPr>
        <w:t xml:space="preserve">para as correções solicitadas. O prazo de pagamento será contado a partir da data da regularização do serviço ou do documento fiscal, a depender do evento, não respondendo a </w:t>
      </w:r>
      <w:r>
        <w:rPr>
          <w:rFonts w:cs="Arial" w:ascii="Verdana" w:hAnsi="Verdana"/>
          <w:b/>
          <w:sz w:val="18"/>
          <w:szCs w:val="18"/>
        </w:rPr>
        <w:t>CONTRATANTE</w:t>
      </w:r>
      <w:r>
        <w:rPr>
          <w:rFonts w:cs="Arial" w:ascii="Verdana" w:hAnsi="Verdana"/>
          <w:sz w:val="18"/>
          <w:szCs w:val="18"/>
        </w:rPr>
        <w:t xml:space="preserve"> por quaisquer encargos resultantes de atrasos na liquidação dos pagamentos correspondentes.</w:t>
      </w:r>
    </w:p>
    <w:p>
      <w:pPr>
        <w:pStyle w:val="Normal"/>
        <w:tabs>
          <w:tab w:val="left" w:pos="1992" w:leader="none"/>
        </w:tabs>
        <w:spacing w:before="120" w:after="0"/>
        <w:ind w:left="900" w:hanging="0"/>
        <w:jc w:val="both"/>
        <w:rPr>
          <w:rFonts w:ascii="Verdana" w:hAnsi="Verdana" w:cs="Arial"/>
          <w:sz w:val="18"/>
          <w:szCs w:val="18"/>
        </w:rPr>
      </w:pPr>
      <w:r>
        <w:rPr>
          <w:rFonts w:cs="Arial" w:ascii="Verdana" w:hAnsi="Verdana"/>
          <w:sz w:val="18"/>
          <w:szCs w:val="18"/>
        </w:rPr>
      </w:r>
    </w:p>
    <w:p>
      <w:pPr>
        <w:pStyle w:val="Normal"/>
        <w:numPr>
          <w:ilvl w:val="0"/>
          <w:numId w:val="12"/>
        </w:numPr>
        <w:tabs>
          <w:tab w:val="left" w:pos="1800" w:leader="none"/>
        </w:tabs>
        <w:jc w:val="both"/>
        <w:rPr>
          <w:rFonts w:ascii="Verdana" w:hAnsi="Verdana" w:cs="Arial"/>
          <w:sz w:val="18"/>
          <w:szCs w:val="18"/>
        </w:rPr>
      </w:pPr>
      <w:r>
        <w:rPr>
          <w:rFonts w:cs="Arial" w:ascii="Verdana" w:hAnsi="Verdana"/>
          <w:b/>
          <w:sz w:val="18"/>
          <w:szCs w:val="18"/>
        </w:rPr>
        <w:t>DA REVISÃO E DO CANCELAMENTO DOS PREÇOS REGISTRADOS</w:t>
      </w:r>
    </w:p>
    <w:p>
      <w:pPr>
        <w:pStyle w:val="Normal"/>
        <w:tabs>
          <w:tab w:val="left" w:pos="786" w:leader="none"/>
          <w:tab w:val="left" w:pos="900" w:leader="none"/>
        </w:tabs>
        <w:ind w:left="426" w:hanging="0"/>
        <w:jc w:val="both"/>
        <w:rPr>
          <w:rFonts w:ascii="Verdana" w:hAnsi="Verdana" w:cs="Arial"/>
          <w:sz w:val="18"/>
          <w:szCs w:val="18"/>
        </w:rPr>
      </w:pPr>
      <w:r>
        <w:rPr>
          <w:rFonts w:cs="Arial" w:ascii="Verdana" w:hAnsi="Verdana"/>
          <w:sz w:val="18"/>
          <w:szCs w:val="18"/>
        </w:rPr>
        <w:t>18.1 – Os preços permanecerão, em regra, invariáveis durante o prazo de validade da ata podendo ser revistos em decorrência de eventual redução dos preços praticados no mercado ou de fato que eleve o custo dos bens registrados, observadas as disposições contidas na alínea “d” do inciso II do caput do art. 65 da Lei 8.666/93.</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18.1.1 – A revisão de preços só será admitida no caso de comprovação de desequilíbrio econômico-financeiro, por meio de planilha de custos demonstrativa da majoração e após ampla pesquisa de mercado.</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18.1.2 – Para a concessão da revisão dos preços, a empresa deverá comunicar à UFVJM a variação dos preços, por escrito e imediatamente, com pedido justificado de revisão do preço registrado, anexando documentos comprobatórios da majoração e/ou planilha de custos.</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18.1.3 – Caso a UFVJM já tenha emitido a nota de empenho respectiva, para que a empresa realize a entrega dos produtos, e a empresa ainda não tenha solicitado a revisão dos preços, esta não incidirá sobre os pedidos já empenhados e formalizados.</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18.1.4 – A UFVJM terá o prazo de 30 (trinta) dias, a partir do recebimento do pleito, para análise dos pedidos de revisão recebidos.</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18.1.5 – Durante este período a empresa deverá entregar os produtos pelo preço registrado e no prazo ajustado, mesmo que a revisão seja julgada procedente pela UFVJM. Nesse caso a UFVJM procederá ao reforço dos valores pertinentes aos produtos empenhados após o pedido de revisão.</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18.1.6 – A empresa obrigar-se-á a realizar a entrega dos produtos pelo preço registrado caso o pedido de revisão seja julgado improcedente.</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18.1.7 – Os preços decorrentes da revisão não poderão ultrapassar os praticados no mercado, mantendo-se a diferença percentual apurada entre o valor originalmente constante da proposta de preços do fornecedor e aquela vigente no mercado à época do registro.</w:t>
      </w:r>
    </w:p>
    <w:p>
      <w:pPr>
        <w:pStyle w:val="Normal"/>
        <w:tabs>
          <w:tab w:val="left" w:pos="786" w:leader="none"/>
          <w:tab w:val="left" w:pos="900" w:leader="none"/>
        </w:tabs>
        <w:ind w:left="851" w:hanging="0"/>
        <w:jc w:val="both"/>
        <w:rPr>
          <w:rFonts w:ascii="Verdana" w:hAnsi="Verdana" w:cs="Arial"/>
          <w:sz w:val="18"/>
          <w:szCs w:val="18"/>
        </w:rPr>
      </w:pPr>
      <w:r>
        <w:rPr>
          <w:rFonts w:cs="Arial" w:ascii="Verdana" w:hAnsi="Verdana"/>
          <w:sz w:val="18"/>
          <w:szCs w:val="18"/>
        </w:rPr>
        <w:t>18.1.8 – Será considerado preço de mercado o que for igual ou inferior a média daqueles apurados pela UFVJM para o objeto pesquisado.</w:t>
      </w:r>
    </w:p>
    <w:p>
      <w:pPr>
        <w:pStyle w:val="Normal"/>
        <w:tabs>
          <w:tab w:val="left" w:pos="786" w:leader="none"/>
          <w:tab w:val="left" w:pos="900" w:leader="none"/>
        </w:tabs>
        <w:ind w:left="426" w:hanging="0"/>
        <w:jc w:val="both"/>
        <w:rPr>
          <w:rFonts w:ascii="Verdana" w:hAnsi="Verdana" w:cs="Arial"/>
          <w:sz w:val="18"/>
          <w:szCs w:val="18"/>
        </w:rPr>
      </w:pPr>
      <w:r>
        <w:rPr>
          <w:rFonts w:cs="Arial" w:ascii="Verdana" w:hAnsi="Verdana"/>
          <w:sz w:val="18"/>
          <w:szCs w:val="18"/>
        </w:rPr>
      </w:r>
    </w:p>
    <w:p>
      <w:pPr>
        <w:pStyle w:val="Normal"/>
        <w:tabs>
          <w:tab w:val="left" w:pos="786" w:leader="none"/>
          <w:tab w:val="left" w:pos="900" w:leader="none"/>
        </w:tabs>
        <w:ind w:left="426" w:hanging="0"/>
        <w:jc w:val="both"/>
        <w:rPr>
          <w:rFonts w:ascii="Verdana" w:hAnsi="Verdana" w:cs="Arial"/>
          <w:sz w:val="18"/>
          <w:szCs w:val="18"/>
        </w:rPr>
      </w:pPr>
      <w:r>
        <w:rPr>
          <w:rFonts w:cs="Arial" w:ascii="Verdana" w:hAnsi="Verdana"/>
          <w:sz w:val="18"/>
          <w:szCs w:val="18"/>
        </w:rPr>
        <w:t>18.2 - Quando o preço inicialmente registrado tornar-se superior ao preço praticado no mercado, por motivo superveniente, o órgão gerenciador da ata convocará os fornecedores visando a negociação para redução de preços e sua adequação ao praticado pelo mercado.</w:t>
      </w:r>
    </w:p>
    <w:p>
      <w:pPr>
        <w:pStyle w:val="Normal"/>
        <w:tabs>
          <w:tab w:val="left" w:pos="900" w:leader="none"/>
        </w:tabs>
        <w:ind w:left="851" w:hanging="0"/>
        <w:jc w:val="both"/>
        <w:rPr>
          <w:rFonts w:ascii="Verdana" w:hAnsi="Verdana" w:cs="Arial"/>
          <w:sz w:val="18"/>
          <w:szCs w:val="18"/>
        </w:rPr>
      </w:pPr>
      <w:r>
        <w:rPr>
          <w:rFonts w:cs="Arial" w:ascii="Verdana" w:hAnsi="Verdana"/>
          <w:sz w:val="18"/>
          <w:szCs w:val="18"/>
        </w:rPr>
        <w:t>18.2.1 - Os fornecedores que não aceitarem reduzir seus preços aos valores praticados pelo mercado serão liberados do compromisso assumido, sem aplicação de penalidade.</w:t>
      </w:r>
    </w:p>
    <w:p>
      <w:pPr>
        <w:pStyle w:val="Normal"/>
        <w:numPr>
          <w:ilvl w:val="2"/>
          <w:numId w:val="13"/>
        </w:numPr>
        <w:tabs>
          <w:tab w:val="left" w:pos="900" w:leader="none"/>
        </w:tabs>
        <w:ind w:left="851" w:hanging="0"/>
        <w:jc w:val="both"/>
        <w:rPr>
          <w:rFonts w:ascii="Verdana" w:hAnsi="Verdana" w:cs="Arial"/>
          <w:sz w:val="18"/>
          <w:szCs w:val="18"/>
        </w:rPr>
      </w:pPr>
      <w:r>
        <w:rPr>
          <w:rFonts w:cs="Arial" w:ascii="Verdana" w:hAnsi="Verdana"/>
          <w:sz w:val="18"/>
          <w:szCs w:val="18"/>
        </w:rPr>
        <w:t>- A ordem de classificação dos fornecedores que aceitarem reduzir seus preços aos valores de mercado observará a classificação original.</w:t>
      </w:r>
    </w:p>
    <w:p>
      <w:pPr>
        <w:pStyle w:val="Normal"/>
        <w:tabs>
          <w:tab w:val="left" w:pos="786" w:leader="none"/>
          <w:tab w:val="left" w:pos="900" w:leader="none"/>
        </w:tabs>
        <w:ind w:left="426" w:hanging="0"/>
        <w:jc w:val="both"/>
        <w:rPr>
          <w:rFonts w:ascii="Verdana" w:hAnsi="Verdana" w:cs="Arial"/>
          <w:sz w:val="18"/>
          <w:szCs w:val="18"/>
        </w:rPr>
      </w:pPr>
      <w:r>
        <w:rPr>
          <w:rFonts w:cs="Arial" w:ascii="Verdana" w:hAnsi="Verdana"/>
          <w:sz w:val="18"/>
          <w:szCs w:val="18"/>
        </w:rPr>
      </w:r>
    </w:p>
    <w:p>
      <w:pPr>
        <w:pStyle w:val="Normal"/>
        <w:tabs>
          <w:tab w:val="left" w:pos="786" w:leader="none"/>
          <w:tab w:val="left" w:pos="900" w:leader="none"/>
        </w:tabs>
        <w:ind w:left="426" w:hanging="0"/>
        <w:jc w:val="both"/>
        <w:rPr>
          <w:rFonts w:ascii="Verdana" w:hAnsi="Verdana" w:cs="Arial"/>
          <w:sz w:val="18"/>
          <w:szCs w:val="18"/>
        </w:rPr>
      </w:pPr>
      <w:r>
        <w:rPr>
          <w:rFonts w:cs="Arial" w:ascii="Verdana" w:hAnsi="Verdana"/>
          <w:sz w:val="18"/>
          <w:szCs w:val="18"/>
        </w:rPr>
        <w:t xml:space="preserve">18.3 - Quando o preço de mercado tornar-se superior aos preços registrados e o fornecedor não puder cumprir o compromisso assumido, o órgão gerenciador poderá: </w:t>
      </w:r>
    </w:p>
    <w:p>
      <w:pPr>
        <w:pStyle w:val="Normal"/>
        <w:tabs>
          <w:tab w:val="left" w:pos="900" w:leader="none"/>
        </w:tabs>
        <w:ind w:left="851" w:hanging="0"/>
        <w:jc w:val="both"/>
        <w:rPr>
          <w:rFonts w:ascii="Verdana" w:hAnsi="Verdana" w:cs="Arial"/>
          <w:sz w:val="18"/>
          <w:szCs w:val="18"/>
        </w:rPr>
      </w:pPr>
      <w:r>
        <w:rPr>
          <w:rFonts w:cs="Arial" w:ascii="Verdana" w:hAnsi="Verdana"/>
          <w:sz w:val="18"/>
          <w:szCs w:val="18"/>
        </w:rPr>
        <w:t>18.3.1 - Liberar o fornecedor do compromisso assumido, caso a comunicação ocorra antes do pedido de fornecimento, e sem aplicação da penalidade se confirmada a veracidade dos motivos e comprovantes apresentados, desde que a comunicação ocorra antes do pedido de fornecimento.</w:t>
      </w:r>
    </w:p>
    <w:p>
      <w:pPr>
        <w:pStyle w:val="Normal"/>
        <w:tabs>
          <w:tab w:val="left" w:pos="900" w:leader="none"/>
        </w:tabs>
        <w:ind w:left="851" w:hanging="0"/>
        <w:jc w:val="both"/>
        <w:rPr>
          <w:rFonts w:ascii="Verdana" w:hAnsi="Verdana" w:cs="Arial"/>
          <w:sz w:val="18"/>
          <w:szCs w:val="18"/>
        </w:rPr>
      </w:pPr>
      <w:r>
        <w:rPr>
          <w:rFonts w:cs="Arial" w:ascii="Verdana" w:hAnsi="Verdana"/>
          <w:sz w:val="18"/>
          <w:szCs w:val="18"/>
        </w:rPr>
        <w:t>18.3.2 - Convocar os demais fornecedores para assegurar igual oportunidade de negociação.</w:t>
      </w:r>
    </w:p>
    <w:p>
      <w:pPr>
        <w:pStyle w:val="Normal"/>
        <w:tabs>
          <w:tab w:val="left" w:pos="0" w:leader="none"/>
          <w:tab w:val="left" w:pos="142" w:leader="none"/>
        </w:tabs>
        <w:ind w:left="426" w:hanging="0"/>
        <w:jc w:val="both"/>
        <w:rPr>
          <w:rFonts w:ascii="Verdana" w:hAnsi="Verdana" w:cs="Arial"/>
          <w:sz w:val="18"/>
          <w:szCs w:val="18"/>
        </w:rPr>
      </w:pPr>
      <w:r>
        <w:rPr>
          <w:rFonts w:cs="Arial" w:ascii="Verdana" w:hAnsi="Verdana"/>
          <w:sz w:val="18"/>
          <w:szCs w:val="18"/>
        </w:rPr>
      </w:r>
    </w:p>
    <w:p>
      <w:pPr>
        <w:pStyle w:val="Normal"/>
        <w:tabs>
          <w:tab w:val="left" w:pos="0" w:leader="none"/>
          <w:tab w:val="left" w:pos="142" w:leader="none"/>
        </w:tabs>
        <w:ind w:left="426" w:hanging="0"/>
        <w:jc w:val="both"/>
        <w:rPr>
          <w:rFonts w:ascii="Verdana" w:hAnsi="Verdana" w:cs="Arial"/>
          <w:sz w:val="18"/>
          <w:szCs w:val="18"/>
        </w:rPr>
      </w:pPr>
      <w:r>
        <w:rPr>
          <w:rFonts w:cs="Arial" w:ascii="Verdana" w:hAnsi="Verdana"/>
          <w:sz w:val="18"/>
          <w:szCs w:val="18"/>
        </w:rPr>
        <w:t>18.4 - Não havendo êxito nas negociações, o órgão gerenciador da ata revogará a Ata de Registro de Preços, adotando as medidas cabíveis para obtenção da contratação mais vantajosa.</w:t>
      </w:r>
    </w:p>
    <w:p>
      <w:pPr>
        <w:pStyle w:val="Normal"/>
        <w:tabs>
          <w:tab w:val="left" w:pos="0" w:leader="none"/>
          <w:tab w:val="left" w:pos="142" w:leader="none"/>
        </w:tabs>
        <w:ind w:left="426" w:hanging="0"/>
        <w:jc w:val="both"/>
        <w:rPr>
          <w:rFonts w:ascii="Verdana" w:hAnsi="Verdana" w:cs="Arial"/>
          <w:sz w:val="18"/>
          <w:szCs w:val="18"/>
        </w:rPr>
      </w:pPr>
      <w:r>
        <w:rPr>
          <w:rFonts w:cs="Arial" w:ascii="Verdana" w:hAnsi="Verdana"/>
          <w:sz w:val="18"/>
          <w:szCs w:val="18"/>
        </w:rPr>
      </w:r>
    </w:p>
    <w:p>
      <w:pPr>
        <w:pStyle w:val="Normal"/>
        <w:tabs>
          <w:tab w:val="left" w:pos="0" w:leader="none"/>
          <w:tab w:val="left" w:pos="142" w:leader="none"/>
        </w:tabs>
        <w:ind w:left="426" w:hanging="0"/>
        <w:jc w:val="both"/>
        <w:rPr>
          <w:rFonts w:ascii="Verdana" w:hAnsi="Verdana" w:cs="Arial"/>
          <w:sz w:val="18"/>
          <w:szCs w:val="18"/>
        </w:rPr>
      </w:pPr>
      <w:r>
        <w:rPr>
          <w:rFonts w:cs="Arial" w:ascii="Verdana" w:hAnsi="Verdana"/>
          <w:sz w:val="18"/>
          <w:szCs w:val="18"/>
        </w:rPr>
        <w:t>18.5 - O registro do fornecedor será cancelado quando:</w:t>
      </w:r>
    </w:p>
    <w:p>
      <w:pPr>
        <w:pStyle w:val="Normal"/>
        <w:tabs>
          <w:tab w:val="left" w:pos="709" w:leader="none"/>
        </w:tabs>
        <w:ind w:left="851" w:hanging="0"/>
        <w:jc w:val="both"/>
        <w:rPr>
          <w:rFonts w:ascii="Verdana" w:hAnsi="Verdana" w:cs="Arial"/>
          <w:sz w:val="18"/>
          <w:szCs w:val="18"/>
        </w:rPr>
      </w:pPr>
      <w:r>
        <w:rPr>
          <w:rFonts w:cs="Arial" w:ascii="Verdana" w:hAnsi="Verdana"/>
          <w:sz w:val="18"/>
          <w:szCs w:val="18"/>
        </w:rPr>
        <w:t>18.5.1 descumprir as condições da ata de registro de preços.</w:t>
      </w:r>
    </w:p>
    <w:p>
      <w:pPr>
        <w:pStyle w:val="Normal"/>
        <w:tabs>
          <w:tab w:val="left" w:pos="709" w:leader="none"/>
        </w:tabs>
        <w:ind w:left="851" w:hanging="0"/>
        <w:jc w:val="both"/>
        <w:rPr>
          <w:rFonts w:ascii="Verdana" w:hAnsi="Verdana" w:cs="Arial"/>
          <w:sz w:val="18"/>
          <w:szCs w:val="18"/>
        </w:rPr>
      </w:pPr>
      <w:r>
        <w:rPr>
          <w:rFonts w:cs="Arial" w:ascii="Verdana" w:hAnsi="Verdana"/>
          <w:sz w:val="18"/>
          <w:szCs w:val="18"/>
        </w:rPr>
        <w:t>18.5.2 não retirar a nota de empenho ou instrumento equivalente no prazo estabelecido pela UFVJM, sem justificativa aceitável.</w:t>
      </w:r>
    </w:p>
    <w:p>
      <w:pPr>
        <w:pStyle w:val="Normal"/>
        <w:tabs>
          <w:tab w:val="left" w:pos="709" w:leader="none"/>
        </w:tabs>
        <w:ind w:left="851" w:hanging="0"/>
        <w:jc w:val="both"/>
        <w:rPr>
          <w:rFonts w:ascii="Verdana" w:hAnsi="Verdana" w:cs="Arial"/>
          <w:sz w:val="18"/>
          <w:szCs w:val="18"/>
        </w:rPr>
      </w:pPr>
      <w:r>
        <w:rPr>
          <w:rFonts w:cs="Arial" w:ascii="Verdana" w:hAnsi="Verdana"/>
          <w:sz w:val="18"/>
          <w:szCs w:val="18"/>
        </w:rPr>
        <w:t>18.5.3 não aceitar reduzir seu preço registro, na hipótese deste se tornar superior àqueles praticados no mercado.</w:t>
      </w:r>
    </w:p>
    <w:p>
      <w:pPr>
        <w:pStyle w:val="Normal"/>
        <w:tabs>
          <w:tab w:val="left" w:pos="709" w:leader="none"/>
        </w:tabs>
        <w:ind w:left="851" w:hanging="0"/>
        <w:jc w:val="both"/>
        <w:rPr>
          <w:rFonts w:ascii="Verdana" w:hAnsi="Verdana" w:cs="Arial"/>
          <w:sz w:val="18"/>
          <w:szCs w:val="18"/>
        </w:rPr>
      </w:pPr>
      <w:r>
        <w:rPr>
          <w:rFonts w:cs="Arial" w:ascii="Verdana" w:hAnsi="Verdana"/>
          <w:sz w:val="18"/>
          <w:szCs w:val="18"/>
        </w:rPr>
        <w:t>18.5.4 sofrer sanção prevista nos incisos III ou IV do caput do art. 87 da Lei 8.666/93, ou no art. 7º da Lei 10.520/02.</w:t>
      </w:r>
    </w:p>
    <w:p>
      <w:pPr>
        <w:pStyle w:val="Normal"/>
        <w:tabs>
          <w:tab w:val="left" w:pos="0" w:leader="none"/>
        </w:tabs>
        <w:ind w:left="426" w:hanging="0"/>
        <w:jc w:val="both"/>
        <w:rPr>
          <w:rFonts w:ascii="Verdana" w:hAnsi="Verdana" w:cs="Arial"/>
          <w:sz w:val="18"/>
          <w:szCs w:val="18"/>
        </w:rPr>
      </w:pPr>
      <w:r>
        <w:rPr>
          <w:rFonts w:cs="Arial" w:ascii="Verdana" w:hAnsi="Verdana"/>
          <w:sz w:val="18"/>
          <w:szCs w:val="18"/>
        </w:rPr>
      </w:r>
    </w:p>
    <w:p>
      <w:pPr>
        <w:pStyle w:val="Normal"/>
        <w:tabs>
          <w:tab w:val="left" w:pos="0" w:leader="none"/>
        </w:tabs>
        <w:ind w:left="426" w:hanging="0"/>
        <w:jc w:val="both"/>
        <w:rPr>
          <w:rFonts w:ascii="Verdana" w:hAnsi="Verdana" w:cs="Arial"/>
          <w:sz w:val="18"/>
          <w:szCs w:val="18"/>
        </w:rPr>
      </w:pPr>
      <w:r>
        <w:rPr>
          <w:rFonts w:cs="Arial" w:ascii="Verdana" w:hAnsi="Verdana"/>
          <w:sz w:val="18"/>
          <w:szCs w:val="18"/>
        </w:rPr>
        <w:t>18.6 - O cancelamento de registros de preços nas hipóteses previstas nos itens 18.5.1, 18.5.2 e 18.5.4 será formalizado por despacho do órgão gerenciador, assegurado o contraditório e a ampla defesa, no prazo de 05 (cinco) dias úteis, a contar do recebimento da notificação.</w:t>
      </w:r>
    </w:p>
    <w:p>
      <w:pPr>
        <w:pStyle w:val="Normal"/>
        <w:tabs>
          <w:tab w:val="left" w:pos="0" w:leader="none"/>
          <w:tab w:val="left" w:pos="851" w:leader="none"/>
        </w:tabs>
        <w:ind w:left="426" w:hanging="0"/>
        <w:jc w:val="both"/>
        <w:rPr>
          <w:rFonts w:ascii="Verdana" w:hAnsi="Verdana" w:cs="Arial"/>
          <w:sz w:val="18"/>
          <w:szCs w:val="18"/>
        </w:rPr>
      </w:pPr>
      <w:r>
        <w:rPr>
          <w:rFonts w:cs="Arial" w:ascii="Verdana" w:hAnsi="Verdana"/>
          <w:sz w:val="18"/>
          <w:szCs w:val="18"/>
        </w:rPr>
      </w:r>
    </w:p>
    <w:p>
      <w:pPr>
        <w:pStyle w:val="Normal"/>
        <w:tabs>
          <w:tab w:val="left" w:pos="0" w:leader="none"/>
          <w:tab w:val="left" w:pos="851" w:leader="none"/>
        </w:tabs>
        <w:ind w:left="426" w:hanging="0"/>
        <w:jc w:val="both"/>
        <w:rPr>
          <w:rFonts w:ascii="Verdana" w:hAnsi="Verdana" w:cs="Arial"/>
          <w:sz w:val="18"/>
          <w:szCs w:val="18"/>
        </w:rPr>
      </w:pPr>
      <w:r>
        <w:rPr>
          <w:rFonts w:cs="Arial" w:ascii="Verdana" w:hAnsi="Verdana"/>
          <w:sz w:val="18"/>
          <w:szCs w:val="18"/>
        </w:rPr>
        <w:t>18.7 - O cancelamento do registro de preços poderá ocorrer por fato superveniente, decorrente de caso fortuito ou força maior, que prejudique o cumprimento da ata, devidamente comprovados e justificados, por razões de interesse público e nas seguintes hipóteses:</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18.7.1 A pedido da Administração, quando:</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a) o fornecedor não cumprir as exigências contidas no presente edital ou na ata de registro de preços;</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b) o fornecedor der causa a rescisão administrativa, da contratação decorrente do registro de preços, por um dos motivos elencados no art. 78 e seus incisos da Lei 8.666/93 e suas alterações;</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c) o fornecedor não aceitar reduzir o seu preço registrado, quando este se apresentar superior ao praticado no mercado;</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d) por razões de interesse público, devidamente fundamentadas na forma do inciso XII, do art. 78 da Lei 8.666/93 e suas alterações.</w:t>
      </w:r>
    </w:p>
    <w:p>
      <w:pPr>
        <w:pStyle w:val="Normal"/>
        <w:tabs>
          <w:tab w:val="left" w:pos="709" w:leader="none"/>
          <w:tab w:val="left" w:pos="851" w:leader="none"/>
        </w:tabs>
        <w:ind w:left="851" w:hanging="0"/>
        <w:jc w:val="both"/>
        <w:rPr>
          <w:rFonts w:ascii="Verdana" w:hAnsi="Verdana" w:cs="Arial"/>
          <w:sz w:val="18"/>
          <w:szCs w:val="18"/>
        </w:rPr>
      </w:pPr>
      <w:r>
        <w:rPr>
          <w:rFonts w:cs="Arial" w:ascii="Verdana" w:hAnsi="Verdana"/>
          <w:sz w:val="18"/>
          <w:szCs w:val="18"/>
        </w:rPr>
        <w:t>18.7.2 A pedido do fornecedor, quando, mediante solicitação por escrito, comprovar estar impossibilitado de cumprir as exigências do edital que deu origem ao registro de preços.</w:t>
      </w:r>
    </w:p>
    <w:p>
      <w:pPr>
        <w:pStyle w:val="Normal"/>
        <w:tabs>
          <w:tab w:val="left" w:pos="0" w:leader="none"/>
          <w:tab w:val="left" w:pos="851" w:leader="none"/>
        </w:tabs>
        <w:ind w:left="426" w:hanging="0"/>
        <w:jc w:val="both"/>
        <w:rPr>
          <w:rFonts w:ascii="Verdana" w:hAnsi="Verdana" w:cs="Arial"/>
          <w:sz w:val="18"/>
          <w:szCs w:val="18"/>
        </w:rPr>
      </w:pPr>
      <w:r>
        <w:rPr>
          <w:rFonts w:cs="Arial" w:ascii="Verdana" w:hAnsi="Verdana"/>
          <w:sz w:val="18"/>
          <w:szCs w:val="18"/>
        </w:rPr>
      </w:r>
    </w:p>
    <w:p>
      <w:pPr>
        <w:pStyle w:val="Normal"/>
        <w:tabs>
          <w:tab w:val="left" w:pos="426" w:leader="none"/>
          <w:tab w:val="left" w:pos="851" w:leader="none"/>
        </w:tabs>
        <w:ind w:left="426" w:hanging="0"/>
        <w:jc w:val="both"/>
        <w:rPr>
          <w:rFonts w:ascii="Verdana" w:hAnsi="Verdana" w:cs="Arial"/>
          <w:sz w:val="18"/>
          <w:szCs w:val="18"/>
        </w:rPr>
      </w:pPr>
      <w:r>
        <w:rPr>
          <w:rFonts w:cs="Arial" w:ascii="Verdana" w:hAnsi="Verdana"/>
          <w:sz w:val="18"/>
          <w:szCs w:val="18"/>
        </w:rPr>
        <w:t>18.8 - Serão realizadas, periodicamente, pesquisas de mercado para comprovação da vantajosidade da manutenção da ata de registro de preços.</w:t>
      </w:r>
    </w:p>
    <w:p>
      <w:pPr>
        <w:pStyle w:val="Normal"/>
        <w:tabs>
          <w:tab w:val="left" w:pos="426" w:leader="none"/>
          <w:tab w:val="left" w:pos="851" w:leader="none"/>
        </w:tabs>
        <w:ind w:left="426" w:hanging="0"/>
        <w:jc w:val="both"/>
        <w:rPr>
          <w:rFonts w:ascii="Verdana" w:hAnsi="Verdana" w:cs="Arial"/>
          <w:sz w:val="18"/>
          <w:szCs w:val="18"/>
        </w:rPr>
      </w:pPr>
      <w:r>
        <w:rPr>
          <w:rFonts w:cs="Arial" w:ascii="Verdana" w:hAnsi="Verdana"/>
          <w:sz w:val="18"/>
          <w:szCs w:val="18"/>
        </w:rPr>
      </w:r>
    </w:p>
    <w:p>
      <w:pPr>
        <w:pStyle w:val="Normal"/>
        <w:numPr>
          <w:ilvl w:val="0"/>
          <w:numId w:val="12"/>
        </w:numPr>
        <w:tabs>
          <w:tab w:val="left" w:pos="1620" w:leader="none"/>
        </w:tabs>
        <w:spacing w:before="80" w:after="0"/>
        <w:jc w:val="both"/>
        <w:rPr>
          <w:rFonts w:ascii="Verdana" w:hAnsi="Verdana" w:cs="Arial"/>
          <w:sz w:val="18"/>
          <w:szCs w:val="18"/>
        </w:rPr>
      </w:pPr>
      <w:r>
        <w:rPr>
          <w:rFonts w:eastAsia="Verdana" w:cs="Verdana" w:ascii="Verdana" w:hAnsi="Verdana"/>
          <w:b/>
          <w:sz w:val="18"/>
          <w:szCs w:val="18"/>
        </w:rPr>
        <w:t xml:space="preserve"> </w:t>
      </w:r>
      <w:r>
        <w:rPr>
          <w:rFonts w:cs="Arial" w:ascii="Verdana" w:hAnsi="Verdana"/>
          <w:b/>
          <w:sz w:val="18"/>
          <w:szCs w:val="18"/>
        </w:rPr>
        <w:t>DO ÓRGÃO GERENCIADOR E DOS ÓRGÃOS PARTICIPANTES:</w:t>
      </w:r>
    </w:p>
    <w:p>
      <w:pPr>
        <w:pStyle w:val="Normal"/>
        <w:tabs>
          <w:tab w:val="left" w:pos="1620" w:leader="none"/>
        </w:tabs>
        <w:spacing w:before="80" w:after="0"/>
        <w:ind w:left="360" w:hanging="0"/>
        <w:jc w:val="both"/>
        <w:rPr>
          <w:rFonts w:ascii="Verdana" w:hAnsi="Verdana" w:cs="Arial"/>
          <w:sz w:val="18"/>
          <w:szCs w:val="18"/>
        </w:rPr>
      </w:pPr>
      <w:r>
        <w:rPr>
          <w:rFonts w:cs="Arial" w:ascii="Verdana" w:hAnsi="Verdana"/>
          <w:sz w:val="18"/>
          <w:szCs w:val="18"/>
        </w:rPr>
        <w:t>19.1 O órgão gerenciador será a Universidade Federal dos Vales do Jequitinhonha e Mucuri/UFVJM.</w:t>
      </w:r>
    </w:p>
    <w:p>
      <w:pPr>
        <w:pStyle w:val="Normal"/>
        <w:tabs>
          <w:tab w:val="left" w:pos="1620" w:leader="none"/>
        </w:tabs>
        <w:spacing w:before="80" w:after="0"/>
        <w:ind w:left="360" w:hanging="0"/>
        <w:jc w:val="both"/>
        <w:rPr>
          <w:rFonts w:ascii="Verdana" w:hAnsi="Verdana" w:cs="Arial"/>
          <w:sz w:val="18"/>
          <w:szCs w:val="18"/>
        </w:rPr>
      </w:pPr>
      <w:r>
        <w:rPr>
          <w:rFonts w:cs="Arial" w:ascii="Verdana" w:hAnsi="Verdana"/>
          <w:sz w:val="18"/>
          <w:szCs w:val="18"/>
        </w:rPr>
        <w:t>19.2 Foi divulgada a IRP 014/2018 e não houve participantes interessados.</w:t>
      </w:r>
    </w:p>
    <w:p>
      <w:pPr>
        <w:pStyle w:val="Normal"/>
        <w:tabs>
          <w:tab w:val="left" w:pos="1620" w:leader="none"/>
        </w:tabs>
        <w:spacing w:before="80" w:after="0"/>
        <w:ind w:left="360" w:hanging="0"/>
        <w:jc w:val="both"/>
        <w:rPr>
          <w:rFonts w:ascii="Verdana" w:hAnsi="Verdana" w:cs="Arial"/>
          <w:sz w:val="18"/>
          <w:szCs w:val="18"/>
        </w:rPr>
      </w:pPr>
      <w:r>
        <w:rPr>
          <w:rFonts w:cs="Arial" w:ascii="Verdana" w:hAnsi="Verdana"/>
          <w:sz w:val="18"/>
          <w:szCs w:val="18"/>
        </w:rPr>
      </w:r>
    </w:p>
    <w:p>
      <w:pPr>
        <w:pStyle w:val="Normal"/>
        <w:numPr>
          <w:ilvl w:val="0"/>
          <w:numId w:val="12"/>
        </w:numPr>
        <w:tabs>
          <w:tab w:val="left" w:pos="1620" w:leader="none"/>
        </w:tabs>
        <w:spacing w:before="80" w:after="0"/>
        <w:jc w:val="both"/>
        <w:rPr>
          <w:rFonts w:ascii="Verdana" w:hAnsi="Verdana" w:cs="Arial"/>
          <w:sz w:val="18"/>
          <w:szCs w:val="18"/>
        </w:rPr>
      </w:pPr>
      <w:r>
        <w:rPr>
          <w:rFonts w:cs="Arial" w:ascii="Verdana" w:hAnsi="Verdana"/>
          <w:b/>
          <w:sz w:val="18"/>
          <w:szCs w:val="18"/>
        </w:rPr>
        <w:t>DA UTILIZAÇÃO DA ATA DE REGISTRO DE PREÇOS POR ÓRGÃO OU ENTIDADES NÃO PARTICIPANTES</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20.1 Considerando que os produtos, objeto deste certame, referem-se a itens de uso comum e que não possuem grande variação de condições de comercialização, desde que devidamente justificada a vantagem, a ata de registro de preços, durante sua vigência, poderá ser utilizada por qualquer órgão ou entidade da administração pública federal que não tenha participado do certame licitatório, mediante anuência da UFVJM, desde que devidamente justificada a vantagem e respeitadas, no que couber, as condições e as regras estabelecidas na Lei 8.666/93 e no Decreto 7.892/2013.</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20.2 Os órgãos ou entidades que não participaram do registro de preços, quando desejarem fazer uso da ata de registro de preços, deverão consultar a UFVJM para manifestação sobre a possibilidade de adesão.</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20.3 Caberá ao fornecedor beneficiário da ata de registro de preços, observadas as condições nela estabelecidas, optar pela aceitação ou não do fornecimento decorrente da adesão, desde que não prejudique as obrigações presentes e futuras decorrentes da ata, assumidas com a UFVJM e órgãos participantes.</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 xml:space="preserve">20.4 </w:t>
      </w:r>
      <w:r>
        <w:rPr>
          <w:rFonts w:ascii="Verdana" w:hAnsi="Verdana"/>
          <w:color w:val="000000"/>
          <w:sz w:val="18"/>
          <w:szCs w:val="18"/>
        </w:rPr>
        <w:t>As aquisições adicionais não poderão exceder, por órgãos ou entidade, a cem por cento dos quantitativos dos itens do instrumento convocatório e registrados na ata de registros de preços para o UFVJM e órgãos participantes.</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 xml:space="preserve">20.5 </w:t>
      </w:r>
      <w:r>
        <w:rPr>
          <w:rFonts w:ascii="Verdana" w:hAnsi="Verdana"/>
          <w:color w:val="000000"/>
          <w:sz w:val="18"/>
          <w:szCs w:val="18"/>
        </w:rPr>
        <w:t>O quantitativo máximo a ser disponibilizado para as adesões às atas de registros de preços será, na totalidade, o quíntuplo do quantitativo de cada item registrado na ata para a UFVJM e órgãos participantes, independente do número de órgãos não participantes que aderirem.</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20.6 Após autorização o órgão não participante deverá efetivar a aquisição em até noventa dias, observado o prazo de vigência da ata.</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à UFVJM.</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 xml:space="preserve">20.8 Em cada fornecimento decorrente da ata serão observados, quanto ao preço, as cláusulas e condições constantes neste Edital e seus Anexos, independente de transcrição os quais integram a Ata de Registro de Preços.  </w:t>
      </w:r>
    </w:p>
    <w:p>
      <w:pPr>
        <w:pStyle w:val="Normal"/>
        <w:tabs>
          <w:tab w:val="left" w:pos="1620" w:leader="none"/>
        </w:tabs>
        <w:spacing w:before="80" w:after="0"/>
        <w:ind w:left="851" w:hanging="491"/>
        <w:jc w:val="both"/>
        <w:rPr>
          <w:rFonts w:ascii="Verdana" w:hAnsi="Verdana" w:cs="Arial"/>
          <w:sz w:val="18"/>
          <w:szCs w:val="18"/>
        </w:rPr>
      </w:pPr>
      <w:r>
        <w:rPr>
          <w:rFonts w:cs="Arial" w:ascii="Verdana" w:hAnsi="Verdana"/>
          <w:sz w:val="18"/>
          <w:szCs w:val="18"/>
        </w:rPr>
        <w:t>20.9 É facultada aos órgãos municipais, distritais ou estaduais a adesão a ata de registro de preços da Administração Pública Federal.</w:t>
      </w:r>
    </w:p>
    <w:p>
      <w:pPr>
        <w:pStyle w:val="Normal"/>
        <w:tabs>
          <w:tab w:val="left" w:pos="1620" w:leader="none"/>
        </w:tabs>
        <w:spacing w:before="80" w:after="0"/>
        <w:ind w:left="902" w:hanging="0"/>
        <w:jc w:val="both"/>
        <w:rPr>
          <w:rFonts w:ascii="Verdana" w:hAnsi="Verdana" w:cs="Arial"/>
          <w:sz w:val="18"/>
          <w:szCs w:val="18"/>
        </w:rPr>
      </w:pPr>
      <w:r>
        <w:rPr>
          <w:rFonts w:cs="Arial" w:ascii="Verdana" w:hAnsi="Verdana"/>
          <w:sz w:val="18"/>
          <w:szCs w:val="18"/>
        </w:rPr>
      </w:r>
    </w:p>
    <w:p>
      <w:pPr>
        <w:pStyle w:val="Normal"/>
        <w:numPr>
          <w:ilvl w:val="0"/>
          <w:numId w:val="12"/>
        </w:numPr>
        <w:tabs>
          <w:tab w:val="left" w:pos="1800" w:leader="none"/>
        </w:tabs>
        <w:jc w:val="both"/>
        <w:rPr>
          <w:rFonts w:ascii="Verdana" w:hAnsi="Verdana" w:cs="Arial"/>
          <w:sz w:val="18"/>
          <w:szCs w:val="18"/>
        </w:rPr>
      </w:pPr>
      <w:r>
        <w:rPr>
          <w:rFonts w:cs="Arial" w:ascii="Verdana" w:hAnsi="Verdana"/>
          <w:b/>
          <w:sz w:val="18"/>
          <w:szCs w:val="18"/>
        </w:rPr>
        <w:t>DAS PENALIDADES</w:t>
      </w:r>
    </w:p>
    <w:p>
      <w:pPr>
        <w:pStyle w:val="Normal"/>
        <w:numPr>
          <w:ilvl w:val="1"/>
          <w:numId w:val="14"/>
        </w:numPr>
        <w:tabs>
          <w:tab w:val="left" w:pos="900" w:leader="none"/>
        </w:tabs>
        <w:spacing w:before="120" w:after="0"/>
        <w:ind w:left="993" w:hanging="567"/>
        <w:jc w:val="both"/>
        <w:rPr>
          <w:rFonts w:ascii="Verdana" w:hAnsi="Verdana" w:cs="Arial"/>
          <w:sz w:val="18"/>
          <w:szCs w:val="18"/>
        </w:rPr>
      </w:pPr>
      <w:r>
        <w:rPr>
          <w:rFonts w:cs="Arial" w:ascii="Verdana" w:hAnsi="Verdana"/>
          <w:sz w:val="18"/>
          <w:szCs w:val="18"/>
        </w:rPr>
        <w:t>No caso de recusa de assinatura da ata de registro de preços, de inadimplência ou inexecução total ou parcial do compromisso assumido com a Universidade Federal dos Vales do Jequitinhonha e Mucuri – UFVJM, não manutenção das condições de habilitação, garantida a prévia defesa, aplicar-se-á, as seguintes sanções:</w:t>
      </w:r>
    </w:p>
    <w:p>
      <w:pPr>
        <w:pStyle w:val="Normal"/>
        <w:spacing w:before="120" w:after="0"/>
        <w:ind w:left="993" w:right="-81" w:hanging="567"/>
        <w:jc w:val="both"/>
        <w:rPr>
          <w:rFonts w:ascii="Verdana" w:hAnsi="Verdana" w:cs="Arial"/>
          <w:sz w:val="18"/>
          <w:szCs w:val="18"/>
        </w:rPr>
      </w:pPr>
      <w:r>
        <w:rPr>
          <w:rFonts w:cs="Arial" w:ascii="Verdana" w:hAnsi="Verdana"/>
          <w:sz w:val="18"/>
          <w:szCs w:val="18"/>
        </w:rPr>
        <w:t>21.2 O atraso injustificado na execução do contrato sujeitará o contratado às seguintes penalidades: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21.2.1 Advertência por escrito;</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21.2.2 Multa de mora de 0,33% sobre o valor do contrato por dia de atraso, até o limite de 30 (trinta) dias, após o qual será caracterizada a inexecução do contrato (que poderá ser parcial quando se referir a algum(uns) item(s) do contrato ou total quando se referir a todo o contrato).</w:t>
      </w:r>
    </w:p>
    <w:p>
      <w:pPr>
        <w:pStyle w:val="Normal"/>
        <w:spacing w:before="120" w:after="0"/>
        <w:ind w:left="993" w:right="-81" w:hanging="567"/>
        <w:jc w:val="both"/>
        <w:rPr>
          <w:rFonts w:ascii="Verdana" w:hAnsi="Verdana" w:cs="Arial"/>
          <w:sz w:val="18"/>
          <w:szCs w:val="18"/>
        </w:rPr>
      </w:pPr>
      <w:r>
        <w:rPr>
          <w:rFonts w:cs="Arial" w:ascii="Verdana" w:hAnsi="Verdana"/>
          <w:sz w:val="18"/>
          <w:szCs w:val="18"/>
        </w:rPr>
        <w:t>21.3 A inexecução total ou parcial do contrato sujeitará o contratado as seguintes penalidades: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21.3.1 Em caso de inexecução parcial, multa compensatória de 10% sobre o valor do contrato.</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21.3.2 Em caso de inexecução total, multa compensatória de 20% sobre o valor do contrato.</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21.3.3 Em caso de não manutenção das condições de habilitação, multa compensatória de 10% sobre o valor do contrato.</w:t>
      </w:r>
    </w:p>
    <w:p>
      <w:pPr>
        <w:pStyle w:val="Normal"/>
        <w:spacing w:before="120" w:after="0"/>
        <w:ind w:left="993" w:right="-81" w:hanging="567"/>
        <w:jc w:val="both"/>
        <w:rPr>
          <w:rFonts w:ascii="Verdana" w:hAnsi="Verdana" w:cs="Arial"/>
          <w:sz w:val="18"/>
          <w:szCs w:val="18"/>
        </w:rPr>
      </w:pPr>
      <w:r>
        <w:rPr>
          <w:rFonts w:cs="Arial" w:ascii="Verdana" w:hAnsi="Verdana"/>
          <w:sz w:val="18"/>
          <w:szCs w:val="18"/>
        </w:rPr>
        <w:t>21.4 Suspensão temporária de participação em licitação e impedimento de contratar com a UFVJM nos seguintes casos: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21.4.1 No caso de inexecução parcial do contrato – até 02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21.4.2 Quando as multas aplicadas, após regular processo administrativo não forem quitadas - até a quitação do débito, limitada a 02 anos.</w:t>
      </w:r>
    </w:p>
    <w:p>
      <w:pPr>
        <w:pStyle w:val="Normal"/>
        <w:spacing w:before="120" w:after="0"/>
        <w:ind w:left="993" w:right="-81" w:hanging="567"/>
        <w:jc w:val="both"/>
        <w:rPr>
          <w:rFonts w:ascii="Verdana" w:hAnsi="Verdana" w:cs="Arial"/>
          <w:sz w:val="18"/>
          <w:szCs w:val="18"/>
        </w:rPr>
      </w:pPr>
      <w:r>
        <w:rPr>
          <w:rFonts w:cs="Arial" w:ascii="Verdana" w:hAnsi="Verdana"/>
          <w:sz w:val="18"/>
          <w:szCs w:val="18"/>
        </w:rPr>
        <w:t>21.5 Impedimento de licitar e contratar com a União e descredenciamento do SICAF nos seguintes casos: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21.5.1 Quem convocado dentro do prazo de validade de sua proposta não celebrar contrato ou não assinar a ata de registro de preços – até 05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21.5.2 Quem deixar de entregar ou apresentar documentação falsa exigida para o certame – até 05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21.5.3 Quem comportar-se de modo inidôneo ou cometer fraude fiscal – até 05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21.5.4 Quem fraudar na execução do contrato – até 05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21.5.5 Quem não mantiver a proposta – até 05 anos;</w:t>
      </w:r>
    </w:p>
    <w:p>
      <w:pPr>
        <w:pStyle w:val="Normal"/>
        <w:spacing w:before="120" w:after="0"/>
        <w:ind w:left="993" w:right="-81" w:hanging="0"/>
        <w:jc w:val="both"/>
        <w:rPr>
          <w:rFonts w:ascii="Verdana" w:hAnsi="Verdana" w:cs="Arial"/>
          <w:sz w:val="18"/>
          <w:szCs w:val="18"/>
        </w:rPr>
      </w:pPr>
      <w:r>
        <w:rPr>
          <w:rFonts w:cs="Arial" w:ascii="Verdana" w:hAnsi="Verdana"/>
          <w:sz w:val="18"/>
          <w:szCs w:val="18"/>
        </w:rPr>
        <w:t>21.5.6 Quem falhar na execução do contrato (inexecução total do contrato) – até 05 anos;</w:t>
      </w:r>
    </w:p>
    <w:p>
      <w:pPr>
        <w:pStyle w:val="Normal"/>
        <w:spacing w:before="120" w:after="0"/>
        <w:ind w:left="993" w:right="-81" w:hanging="0"/>
        <w:jc w:val="both"/>
        <w:rPr>
          <w:rFonts w:ascii="Verdana" w:hAnsi="Verdana" w:eastAsia="Verdana" w:cs="Verdana"/>
          <w:sz w:val="18"/>
          <w:szCs w:val="18"/>
        </w:rPr>
      </w:pPr>
      <w:r>
        <w:rPr>
          <w:rFonts w:cs="Arial" w:ascii="Verdana" w:hAnsi="Verdana"/>
          <w:sz w:val="18"/>
          <w:szCs w:val="18"/>
        </w:rPr>
        <w:t>21.5.7 Quem ensejar o retardamento da execução do objeto do contrato – até 05 anos.</w:t>
      </w:r>
    </w:p>
    <w:p>
      <w:pPr>
        <w:pStyle w:val="Normal"/>
        <w:numPr>
          <w:ilvl w:val="1"/>
          <w:numId w:val="10"/>
        </w:numPr>
        <w:tabs>
          <w:tab w:val="left" w:pos="993" w:leader="none"/>
        </w:tabs>
        <w:spacing w:before="120" w:after="0"/>
        <w:ind w:left="1130" w:hanging="704"/>
        <w:jc w:val="both"/>
        <w:rPr>
          <w:rFonts w:ascii="Verdana" w:hAnsi="Verdana" w:eastAsia="Verdana" w:cs="Verdana"/>
          <w:sz w:val="18"/>
          <w:szCs w:val="18"/>
          <w:lang w:eastAsia="pt-BR"/>
        </w:rPr>
      </w:pPr>
      <w:r>
        <w:rPr>
          <w:rFonts w:eastAsia="Verdana" w:cs="Verdana" w:ascii="Verdana" w:hAnsi="Verdana"/>
          <w:sz w:val="18"/>
          <w:szCs w:val="18"/>
        </w:rPr>
        <w:t xml:space="preserve"> </w:t>
      </w:r>
      <w:r>
        <w:rPr>
          <w:rFonts w:cs="Arial" w:ascii="Verdana" w:hAnsi="Verdana"/>
          <w:sz w:val="18"/>
          <w:szCs w:val="18"/>
        </w:rPr>
        <w:t xml:space="preserve">Nenhuma sanção ou penalidade deverá ser aplicada sem a garantia de prazo prévio para o exercício do contraditório e ampla defesa. </w:t>
      </w:r>
    </w:p>
    <w:p>
      <w:pPr>
        <w:pStyle w:val="Normal"/>
        <w:numPr>
          <w:ilvl w:val="1"/>
          <w:numId w:val="10"/>
        </w:numPr>
        <w:tabs>
          <w:tab w:val="left" w:pos="993" w:leader="none"/>
        </w:tabs>
        <w:spacing w:before="120" w:after="0"/>
        <w:ind w:left="1130" w:hanging="704"/>
        <w:jc w:val="both"/>
        <w:rPr>
          <w:rFonts w:ascii="Verdana" w:hAnsi="Verdana" w:eastAsia="Verdana" w:cs="Verdana"/>
          <w:sz w:val="18"/>
          <w:szCs w:val="18"/>
        </w:rPr>
      </w:pPr>
      <w:r>
        <w:rPr>
          <w:rFonts w:eastAsia="Verdana" w:cs="Verdana" w:ascii="Verdana" w:hAnsi="Verdana"/>
          <w:sz w:val="18"/>
          <w:szCs w:val="18"/>
          <w:lang w:eastAsia="pt-BR"/>
        </w:rPr>
        <w:t xml:space="preserve"> </w:t>
      </w:r>
      <w:r>
        <w:rPr>
          <w:rFonts w:cs="Arial" w:ascii="Verdana" w:hAnsi="Verdana"/>
          <w:sz w:val="18"/>
          <w:szCs w:val="18"/>
          <w:lang w:eastAsia="pt-BR"/>
        </w:rPr>
        <w:t>As multas deverão ser recolhidas no prazo máximo de 10 (dez) dias corridos, a contar da data do recebimento da notificação enviada pela UFVJM.</w:t>
      </w:r>
    </w:p>
    <w:p>
      <w:pPr>
        <w:pStyle w:val="Normal"/>
        <w:numPr>
          <w:ilvl w:val="1"/>
          <w:numId w:val="10"/>
        </w:numPr>
        <w:tabs>
          <w:tab w:val="left" w:pos="993" w:leader="none"/>
        </w:tabs>
        <w:spacing w:before="120" w:after="0"/>
        <w:ind w:left="1130" w:hanging="704"/>
        <w:jc w:val="both"/>
        <w:rPr>
          <w:rFonts w:ascii="Verdana" w:hAnsi="Verdana" w:cs="Arial"/>
          <w:sz w:val="18"/>
          <w:szCs w:val="18"/>
          <w:lang w:eastAsia="pt-BR"/>
        </w:rPr>
      </w:pPr>
      <w:r>
        <w:rPr>
          <w:rFonts w:eastAsia="Verdana" w:cs="Verdana" w:ascii="Verdana" w:hAnsi="Verdana"/>
          <w:sz w:val="18"/>
          <w:szCs w:val="18"/>
        </w:rPr>
        <w:t xml:space="preserve"> </w:t>
      </w:r>
      <w:r>
        <w:rPr>
          <w:rFonts w:cs="Arial" w:ascii="Verdana" w:hAnsi="Verdana"/>
          <w:sz w:val="18"/>
          <w:szCs w:val="18"/>
          <w:lang w:eastAsia="pt-BR"/>
        </w:rPr>
        <w:t>O valor das multas poderá ser descontado da nota fiscal, da garantia ou do crédito existente na UFVJM em relação à contratada. Caso o valor da multa seja superior ao crédito existente, a diferença será cobrada na forma da lei.</w:t>
      </w:r>
    </w:p>
    <w:p>
      <w:pPr>
        <w:pStyle w:val="Normal"/>
        <w:numPr>
          <w:ilvl w:val="1"/>
          <w:numId w:val="10"/>
        </w:numPr>
        <w:tabs>
          <w:tab w:val="left" w:pos="993" w:leader="none"/>
        </w:tabs>
        <w:spacing w:before="120" w:after="0"/>
        <w:ind w:left="1130" w:hanging="704"/>
        <w:jc w:val="both"/>
        <w:rPr>
          <w:rFonts w:ascii="Verdana" w:hAnsi="Verdana" w:cs="Arial"/>
          <w:sz w:val="18"/>
          <w:szCs w:val="18"/>
          <w:lang w:eastAsia="pt-BR"/>
        </w:rPr>
      </w:pPr>
      <w:r>
        <w:rPr>
          <w:rFonts w:cs="Arial" w:ascii="Verdana" w:hAnsi="Verdana"/>
          <w:sz w:val="18"/>
          <w:szCs w:val="18"/>
          <w:lang w:eastAsia="pt-BR"/>
        </w:rPr>
        <w:t>As multas, aplicadas após regular processo administrativo e não quitadas, após observado o item 21.8, serão encaminhadas para a Dívida Ativa da União e a empresa estará suspensa temporariamente de participação em licitação e impedimento de contratar com a UFVJM até que o valor da multa seja pago.</w:t>
      </w:r>
    </w:p>
    <w:p>
      <w:pPr>
        <w:pStyle w:val="Normal"/>
        <w:numPr>
          <w:ilvl w:val="1"/>
          <w:numId w:val="10"/>
        </w:numPr>
        <w:tabs>
          <w:tab w:val="left" w:pos="993" w:leader="none"/>
        </w:tabs>
        <w:spacing w:before="120" w:after="0"/>
        <w:ind w:left="1130" w:hanging="704"/>
        <w:jc w:val="both"/>
        <w:rPr>
          <w:rFonts w:ascii="Verdana" w:hAnsi="Verdana" w:cs="Arial"/>
          <w:sz w:val="18"/>
          <w:szCs w:val="18"/>
          <w:lang w:eastAsia="pt-BR"/>
        </w:rPr>
      </w:pPr>
      <w:r>
        <w:rPr>
          <w:rFonts w:cs="Arial" w:ascii="Verdana" w:hAnsi="Verdana"/>
          <w:sz w:val="18"/>
          <w:szCs w:val="18"/>
          <w:lang w:eastAsia="pt-BR"/>
        </w:rPr>
        <w:t>As penalidades serão obrigatoriamente registradas no SICAF.</w:t>
      </w:r>
    </w:p>
    <w:p>
      <w:pPr>
        <w:pStyle w:val="Normal"/>
        <w:numPr>
          <w:ilvl w:val="1"/>
          <w:numId w:val="10"/>
        </w:numPr>
        <w:tabs>
          <w:tab w:val="left" w:pos="993" w:leader="none"/>
        </w:tabs>
        <w:spacing w:before="120" w:after="0"/>
        <w:ind w:left="1130" w:hanging="704"/>
        <w:jc w:val="both"/>
        <w:rPr>
          <w:rFonts w:ascii="Verdana" w:hAnsi="Verdana" w:cs="Arial"/>
          <w:sz w:val="18"/>
          <w:szCs w:val="18"/>
        </w:rPr>
      </w:pPr>
      <w:r>
        <w:rPr>
          <w:rFonts w:cs="Arial" w:ascii="Verdana" w:hAnsi="Verdana"/>
          <w:sz w:val="18"/>
          <w:szCs w:val="18"/>
          <w:lang w:eastAsia="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
        <w:tabs>
          <w:tab w:val="left" w:pos="993" w:leader="none"/>
        </w:tabs>
        <w:spacing w:before="80" w:after="0"/>
        <w:ind w:left="432" w:hanging="6"/>
        <w:jc w:val="both"/>
        <w:rPr>
          <w:rFonts w:ascii="Verdana" w:hAnsi="Verdana" w:cs="Arial"/>
          <w:sz w:val="18"/>
          <w:szCs w:val="18"/>
        </w:rPr>
      </w:pPr>
      <w:r>
        <w:rPr>
          <w:rFonts w:cs="Arial" w:ascii="Verdana" w:hAnsi="Verdana"/>
          <w:sz w:val="18"/>
          <w:szCs w:val="18"/>
        </w:rPr>
      </w:r>
    </w:p>
    <w:p>
      <w:pPr>
        <w:pStyle w:val="Normal"/>
        <w:numPr>
          <w:ilvl w:val="0"/>
          <w:numId w:val="12"/>
        </w:numPr>
        <w:tabs>
          <w:tab w:val="left" w:pos="1800" w:leader="none"/>
        </w:tabs>
        <w:jc w:val="both"/>
        <w:rPr>
          <w:rFonts w:ascii="Verdana" w:hAnsi="Verdana" w:cs="Arial"/>
          <w:sz w:val="18"/>
          <w:szCs w:val="18"/>
        </w:rPr>
      </w:pPr>
      <w:r>
        <w:rPr>
          <w:rFonts w:cs="Arial" w:ascii="Verdana" w:hAnsi="Verdana"/>
          <w:b/>
          <w:sz w:val="18"/>
          <w:szCs w:val="18"/>
        </w:rPr>
        <w:t>DAS DISPOSIÇÕES GERAIS</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participação neste certame implica na aceitação de todas as condições estabelecidas neste Edital, bem como no Decreto 5.450 de 31 de maio de 2005;</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presente Licitação somente poderá vir a ser revogada por razões de interesse público, decorrente de fato superveniente devidamente comprovado, ou anulada no todo ou em parte, por ilegalidade de ofício ou por provocação de terceiros, mediante parecer escrito e devidamente fundamentado;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Pregoeiro, no interesse da Administração, poderá relevar omissões puramente formais observadas na documentação e Proposta, desde que não contrariem a Legislação vigente e não comprometa a lisura da Licitação, sendo possível a promoção de diligência destinada a esclarecer ou a complementar a instrução do processo;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 desatendimento de exigências formais não essenciais não importará o afastamento do licitante, desde que seja possível o aproveitamento do ato, observados os princípios da isonomia e do interesse público.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A homologação do resultado desta licitação não implicará direito à contratação.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Ocorrendo, em qualquer hipótese, a negativa do fornecimento do Objeto desta licitação por parte da LICITANTE VENCEDORA, o mesmo poderá ser adjudicado às Licitantes remanescentes, na ordem de classificação e de acordo com as Propostas apresentadas, sem prejuízo às demais sanções previstas em lei;</w:t>
      </w:r>
    </w:p>
    <w:p>
      <w:pPr>
        <w:pStyle w:val="Normal"/>
        <w:numPr>
          <w:ilvl w:val="1"/>
          <w:numId w:val="12"/>
        </w:numPr>
        <w:tabs>
          <w:tab w:val="left" w:pos="900" w:leader="none"/>
        </w:tabs>
        <w:spacing w:before="120" w:after="0"/>
        <w:ind w:left="900" w:hanging="540"/>
        <w:jc w:val="both"/>
        <w:rPr/>
      </w:pPr>
      <w:r>
        <w:rPr>
          <w:rFonts w:cs="Arial" w:ascii="Verdana" w:hAnsi="Verdana"/>
          <w:sz w:val="18"/>
          <w:szCs w:val="18"/>
        </w:rPr>
        <w:t xml:space="preserve">Quaisquer esclarecimentos sobre dúvidas eventualmente suscitadas, relativas às orientações contidas no presente Edital, poderão ser solicitadas, por escrito, ao pregoeiro, exclusivamente por meio eletrônico via internet, através do e-mail: </w:t>
      </w:r>
      <w:hyperlink r:id="rId23">
        <w:r>
          <w:rPr>
            <w:rStyle w:val="LinkdaInternet"/>
            <w:rFonts w:cs="Arial" w:ascii="Verdana" w:hAnsi="Verdana"/>
            <w:sz w:val="18"/>
            <w:szCs w:val="18"/>
          </w:rPr>
          <w:t>andersen.nascimento@ufvjm.edu.br</w:t>
        </w:r>
      </w:hyperlink>
      <w:r>
        <w:rPr>
          <w:rFonts w:cs="Arial" w:ascii="Verdana" w:hAnsi="Verdana"/>
          <w:sz w:val="18"/>
          <w:szCs w:val="18"/>
        </w:rPr>
        <w:t xml:space="preserve">.    </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No caso de ocorrência de feriado nacional, estadual ou municipal, ou de falta de expediente na Instituição, no dia previsto para a Abertura da Sessão Pública, o ato ficará automaticamente transferido para o primeiro dia útil seguinte, no mesmo horário anteriormente estabelecido, desde que não haja comunicação em contrário pelo pregoeiro;</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As Licitantes arcarão com todos os custos decorrentes da elaboração e apresentação das propostas, independente da condução ou resultado do Processo Licitatório e a Administração não será, em nenhum caso, responsável por esses custos;</w:t>
      </w:r>
    </w:p>
    <w:p>
      <w:pPr>
        <w:pStyle w:val="Normal"/>
        <w:numPr>
          <w:ilvl w:val="1"/>
          <w:numId w:val="12"/>
        </w:numPr>
        <w:tabs>
          <w:tab w:val="left" w:pos="900" w:leader="none"/>
        </w:tabs>
        <w:spacing w:before="120" w:after="0"/>
        <w:ind w:left="900" w:hanging="540"/>
        <w:jc w:val="both"/>
        <w:rPr>
          <w:rFonts w:ascii="Verdana" w:hAnsi="Verdana" w:cs="Arial"/>
          <w:sz w:val="18"/>
          <w:szCs w:val="18"/>
        </w:rPr>
      </w:pPr>
      <w:r>
        <w:rPr>
          <w:rFonts w:cs="Arial" w:ascii="Verdana" w:hAnsi="Verdana"/>
          <w:sz w:val="18"/>
          <w:szCs w:val="18"/>
        </w:rPr>
        <w:t xml:space="preserve"> </w:t>
      </w:r>
      <w:r>
        <w:rPr>
          <w:rFonts w:cs="Arial" w:ascii="Verdana" w:hAnsi="Verdana"/>
          <w:sz w:val="18"/>
          <w:szCs w:val="18"/>
        </w:rPr>
        <w:t>Na contagem dos prazos estabelecidos neste Edital excluir-se-á o dia do início e se incluirá o do vencimento. Só se iniciam e vencem os prazos em dias de expediente da Administração;</w:t>
      </w:r>
    </w:p>
    <w:p>
      <w:pPr>
        <w:pStyle w:val="Normal"/>
        <w:numPr>
          <w:ilvl w:val="1"/>
          <w:numId w:val="12"/>
        </w:numPr>
        <w:tabs>
          <w:tab w:val="left" w:pos="1080" w:leader="none"/>
        </w:tabs>
        <w:spacing w:before="120" w:after="0"/>
        <w:ind w:left="1080" w:hanging="720"/>
        <w:jc w:val="both"/>
        <w:rPr>
          <w:rFonts w:ascii="Verdana" w:hAnsi="Verdana" w:cs="Arial"/>
          <w:sz w:val="18"/>
          <w:szCs w:val="18"/>
        </w:rPr>
      </w:pPr>
      <w:r>
        <w:rPr>
          <w:rFonts w:cs="Arial" w:ascii="Verdana" w:hAnsi="Verdana"/>
          <w:sz w:val="18"/>
          <w:szCs w:val="18"/>
        </w:rPr>
        <w:t>Os casos omissos serão resolvidos com base na Lei 8.666/1993, 10.520/2002, 8.078/1990, Decreto 5.450/2005 e Decreto 7.892/2013, nos regulamentos que vierem a ser adotados e, ainda, nas normas técnicas gerais ou especiais aplicáveis.</w:t>
      </w:r>
    </w:p>
    <w:p>
      <w:pPr>
        <w:pStyle w:val="Normal"/>
        <w:numPr>
          <w:ilvl w:val="1"/>
          <w:numId w:val="12"/>
        </w:numPr>
        <w:tabs>
          <w:tab w:val="left" w:pos="1080" w:leader="none"/>
        </w:tabs>
        <w:spacing w:before="120" w:after="0"/>
        <w:ind w:left="1080" w:hanging="720"/>
        <w:jc w:val="both"/>
        <w:rPr>
          <w:rFonts w:ascii="Verdana" w:hAnsi="Verdana" w:cs="Arial"/>
          <w:sz w:val="18"/>
          <w:szCs w:val="18"/>
        </w:rPr>
      </w:pPr>
      <w:r>
        <w:rPr>
          <w:rFonts w:cs="Arial" w:ascii="Verdana" w:hAnsi="Verdana"/>
          <w:sz w:val="18"/>
          <w:szCs w:val="18"/>
        </w:rPr>
        <w:t>Fica eleito o Foro da Justiça Federal, Seção Judiciária de Minas, em Belo Horizonte, para dirimir qualquer controvérsia não resolvida entre as partes.</w:t>
      </w:r>
    </w:p>
    <w:p>
      <w:pPr>
        <w:pStyle w:val="BodyText21"/>
        <w:keepLines/>
        <w:tabs>
          <w:tab w:val="left" w:pos="993" w:leader="none"/>
        </w:tabs>
        <w:spacing w:before="120" w:after="0"/>
        <w:jc w:val="center"/>
        <w:rPr>
          <w:rFonts w:ascii="Verdana" w:hAnsi="Verdana" w:cs="Arial"/>
          <w:sz w:val="18"/>
          <w:szCs w:val="18"/>
        </w:rPr>
      </w:pPr>
      <w:r>
        <w:rPr>
          <w:rFonts w:cs="Arial" w:ascii="Verdana" w:hAnsi="Verdana"/>
          <w:sz w:val="18"/>
          <w:szCs w:val="18"/>
        </w:rPr>
      </w:r>
    </w:p>
    <w:p>
      <w:pPr>
        <w:pStyle w:val="BodyText21"/>
        <w:keepLines/>
        <w:tabs>
          <w:tab w:val="left" w:pos="993" w:leader="none"/>
        </w:tabs>
        <w:spacing w:before="120" w:after="0"/>
        <w:jc w:val="center"/>
        <w:rPr>
          <w:rFonts w:ascii="Verdana" w:hAnsi="Verdana" w:cs="Arial"/>
          <w:sz w:val="18"/>
          <w:szCs w:val="18"/>
        </w:rPr>
      </w:pPr>
      <w:r>
        <w:rPr>
          <w:rFonts w:cs="Arial" w:ascii="Verdana" w:hAnsi="Verdana"/>
          <w:sz w:val="18"/>
          <w:szCs w:val="18"/>
        </w:rPr>
        <w:t>Diamantina, 18 de setembro de 2018.</w:t>
      </w:r>
    </w:p>
    <w:p>
      <w:pPr>
        <w:pStyle w:val="Normal"/>
        <w:keepLines/>
        <w:tabs>
          <w:tab w:val="left" w:pos="6521" w:leader="none"/>
        </w:tabs>
        <w:jc w:val="center"/>
        <w:rPr>
          <w:rFonts w:ascii="Verdana" w:hAnsi="Verdana" w:cs="Arial"/>
          <w:sz w:val="18"/>
          <w:szCs w:val="18"/>
        </w:rPr>
      </w:pPr>
      <w:r>
        <w:rPr>
          <w:rFonts w:cs="Arial" w:ascii="Verdana" w:hAnsi="Verdana"/>
          <w:sz w:val="18"/>
          <w:szCs w:val="18"/>
        </w:rPr>
      </w:r>
    </w:p>
    <w:p>
      <w:pPr>
        <w:pStyle w:val="Normal"/>
        <w:keepLines/>
        <w:tabs>
          <w:tab w:val="left" w:pos="6521" w:leader="none"/>
        </w:tabs>
        <w:jc w:val="center"/>
        <w:rPr>
          <w:rFonts w:ascii="Verdana" w:hAnsi="Verdana" w:cs="Arial"/>
          <w:sz w:val="18"/>
          <w:szCs w:val="18"/>
        </w:rPr>
      </w:pPr>
      <w:r>
        <w:rPr>
          <w:rFonts w:cs="Arial" w:ascii="Verdana" w:hAnsi="Verdana"/>
          <w:sz w:val="18"/>
          <w:szCs w:val="18"/>
        </w:rPr>
      </w:r>
    </w:p>
    <w:p>
      <w:pPr>
        <w:pStyle w:val="Normal"/>
        <w:keepLines/>
        <w:tabs>
          <w:tab w:val="left" w:pos="6521" w:leader="none"/>
        </w:tabs>
        <w:jc w:val="center"/>
        <w:rPr>
          <w:rFonts w:ascii="Verdana" w:hAnsi="Verdana" w:cs="Arial"/>
          <w:sz w:val="18"/>
          <w:szCs w:val="18"/>
        </w:rPr>
      </w:pPr>
      <w:r>
        <w:rPr>
          <w:rFonts w:cs="Arial" w:ascii="Verdana" w:hAnsi="Verdana"/>
          <w:sz w:val="18"/>
          <w:szCs w:val="18"/>
        </w:rPr>
      </w:r>
    </w:p>
    <w:p>
      <w:pPr>
        <w:pStyle w:val="Normal"/>
        <w:keepLines/>
        <w:tabs>
          <w:tab w:val="left" w:pos="6521" w:leader="none"/>
        </w:tabs>
        <w:jc w:val="center"/>
        <w:rPr>
          <w:rFonts w:ascii="Verdana" w:hAnsi="Verdana" w:cs="Arial"/>
          <w:sz w:val="18"/>
          <w:szCs w:val="18"/>
        </w:rPr>
      </w:pPr>
      <w:r>
        <w:rPr>
          <w:rFonts w:cs="Arial" w:ascii="Verdana" w:hAnsi="Verdana"/>
          <w:sz w:val="18"/>
          <w:szCs w:val="18"/>
        </w:rPr>
        <w:t>Lilian Moreira Fernandes</w:t>
      </w:r>
    </w:p>
    <w:p>
      <w:pPr>
        <w:pStyle w:val="BodyText21"/>
        <w:keepLines/>
        <w:tabs>
          <w:tab w:val="left" w:pos="993" w:leader="none"/>
        </w:tabs>
        <w:jc w:val="center"/>
        <w:rPr>
          <w:rFonts w:ascii="Verdana" w:hAnsi="Verdana" w:cs="Arial"/>
          <w:sz w:val="18"/>
          <w:szCs w:val="18"/>
        </w:rPr>
      </w:pPr>
      <w:r>
        <w:rPr>
          <w:rFonts w:cs="Arial" w:ascii="Verdana" w:hAnsi="Verdana"/>
          <w:sz w:val="18"/>
          <w:szCs w:val="18"/>
        </w:rPr>
        <w:t>Diretora de Logística – UFVJM</w:t>
      </w:r>
    </w:p>
    <w:p>
      <w:pPr>
        <w:pStyle w:val="BodyText21"/>
        <w:keepLines/>
        <w:tabs>
          <w:tab w:val="left" w:pos="993" w:leader="none"/>
        </w:tabs>
        <w:jc w:val="left"/>
        <w:rPr>
          <w:rFonts w:ascii="Verdana" w:hAnsi="Verdana" w:cs="Arial"/>
          <w:sz w:val="18"/>
          <w:szCs w:val="18"/>
        </w:rPr>
      </w:pPr>
      <w:r>
        <w:rPr>
          <w:rFonts w:cs="Arial" w:ascii="Verdana" w:hAnsi="Verdana"/>
          <w:sz w:val="18"/>
          <w:szCs w:val="18"/>
        </w:rPr>
      </w:r>
    </w:p>
    <w:p>
      <w:pPr>
        <w:pStyle w:val="BodyText21"/>
        <w:keepLines/>
        <w:tabs>
          <w:tab w:val="left" w:pos="993" w:leader="none"/>
        </w:tabs>
        <w:jc w:val="left"/>
        <w:rPr>
          <w:rFonts w:ascii="Verdana" w:hAnsi="Verdana" w:cs="Arial"/>
          <w:sz w:val="18"/>
          <w:szCs w:val="18"/>
        </w:rPr>
      </w:pPr>
      <w:r>
        <w:rPr>
          <w:rFonts w:cs="Arial" w:ascii="Verdana" w:hAnsi="Verdana"/>
          <w:sz w:val="18"/>
          <w:szCs w:val="18"/>
        </w:rPr>
      </w:r>
    </w:p>
    <w:p>
      <w:pPr>
        <w:pStyle w:val="BodyText21"/>
        <w:keepLines/>
        <w:tabs>
          <w:tab w:val="left" w:pos="993" w:leader="none"/>
        </w:tabs>
        <w:jc w:val="left"/>
        <w:rPr>
          <w:rFonts w:ascii="Verdana" w:hAnsi="Verdana" w:cs="Arial"/>
          <w:sz w:val="18"/>
          <w:szCs w:val="18"/>
        </w:rPr>
      </w:pPr>
      <w:r>
        <w:rPr>
          <w:rFonts w:cs="Arial" w:ascii="Verdana" w:hAnsi="Verdana"/>
          <w:sz w:val="18"/>
          <w:szCs w:val="18"/>
        </w:rPr>
      </w:r>
    </w:p>
    <w:p>
      <w:pPr>
        <w:pStyle w:val="BodyText21"/>
        <w:keepLines/>
        <w:tabs>
          <w:tab w:val="left" w:pos="993" w:leader="none"/>
        </w:tabs>
        <w:jc w:val="left"/>
        <w:rPr>
          <w:rFonts w:ascii="Verdana" w:hAnsi="Verdana" w:cs="Arial"/>
          <w:sz w:val="18"/>
          <w:szCs w:val="18"/>
        </w:rPr>
      </w:pPr>
      <w:r>
        <w:rPr>
          <w:rFonts w:cs="Arial" w:ascii="Verdana" w:hAnsi="Verdana"/>
          <w:sz w:val="18"/>
          <w:szCs w:val="18"/>
        </w:rPr>
        <w:t>Pregoeiro responsável pela condução do certame:</w:t>
      </w:r>
    </w:p>
    <w:p>
      <w:pPr>
        <w:pStyle w:val="BodyText21"/>
        <w:keepLines/>
        <w:tabs>
          <w:tab w:val="left" w:pos="993" w:leader="none"/>
        </w:tabs>
        <w:jc w:val="left"/>
        <w:rPr>
          <w:rFonts w:ascii="Verdana" w:hAnsi="Verdana" w:cs="Arial"/>
          <w:sz w:val="18"/>
          <w:szCs w:val="18"/>
        </w:rPr>
      </w:pPr>
      <w:r>
        <w:rPr>
          <w:rFonts w:cs="Arial" w:ascii="Verdana" w:hAnsi="Verdana"/>
          <w:sz w:val="18"/>
          <w:szCs w:val="18"/>
        </w:rPr>
      </w:r>
    </w:p>
    <w:p>
      <w:pPr>
        <w:pStyle w:val="BodyText21"/>
        <w:keepLines/>
        <w:tabs>
          <w:tab w:val="left" w:pos="993" w:leader="none"/>
        </w:tabs>
        <w:jc w:val="left"/>
        <w:rPr>
          <w:rFonts w:ascii="Verdana" w:hAnsi="Verdana" w:cs="Arial"/>
          <w:sz w:val="18"/>
          <w:szCs w:val="18"/>
        </w:rPr>
      </w:pPr>
      <w:r>
        <w:rPr>
          <w:rFonts w:cs="Arial" w:ascii="Verdana" w:hAnsi="Verdana"/>
          <w:sz w:val="18"/>
          <w:szCs w:val="18"/>
        </w:rPr>
      </w:r>
    </w:p>
    <w:p>
      <w:pPr>
        <w:pStyle w:val="BodyText21"/>
        <w:keepLines/>
        <w:tabs>
          <w:tab w:val="left" w:pos="993" w:leader="none"/>
        </w:tabs>
        <w:jc w:val="center"/>
        <w:rPr>
          <w:rFonts w:ascii="Verdana" w:hAnsi="Verdana" w:cs="Arial"/>
          <w:sz w:val="18"/>
          <w:szCs w:val="18"/>
        </w:rPr>
      </w:pPr>
      <w:r>
        <w:rPr>
          <w:rFonts w:cs="Arial" w:ascii="Verdana" w:hAnsi="Verdana"/>
          <w:sz w:val="18"/>
          <w:szCs w:val="18"/>
        </w:rPr>
        <w:t>Andersen Mateus Nascimento</w:t>
      </w:r>
    </w:p>
    <w:p>
      <w:pPr>
        <w:pStyle w:val="Normal"/>
        <w:suppressAutoHyphens w:val="false"/>
        <w:spacing w:before="0" w:after="120"/>
        <w:jc w:val="center"/>
        <w:rPr>
          <w:rFonts w:ascii="Verdana" w:hAnsi="Verdana" w:cs="Arial"/>
          <w:sz w:val="18"/>
          <w:szCs w:val="18"/>
        </w:rPr>
      </w:pPr>
      <w:r>
        <w:rPr>
          <w:rFonts w:cs="Arial" w:ascii="Verdana" w:hAnsi="Verdana"/>
          <w:sz w:val="18"/>
          <w:szCs w:val="18"/>
        </w:rPr>
        <w:t xml:space="preserve">Portaria PROAD n° 103, de 28 de junho de 2018 </w:t>
      </w:r>
    </w:p>
    <w:p>
      <w:pPr>
        <w:pStyle w:val="Normal"/>
        <w:suppressAutoHyphens w:val="false"/>
        <w:spacing w:before="0" w:after="120"/>
        <w:jc w:val="center"/>
        <w:rPr>
          <w:rFonts w:ascii="Verdana" w:hAnsi="Verdana" w:cs="Arial"/>
          <w:sz w:val="18"/>
          <w:szCs w:val="18"/>
        </w:rPr>
      </w:pPr>
      <w:r>
        <w:rPr>
          <w:rFonts w:cs="Arial" w:ascii="Verdana" w:hAnsi="Verdana"/>
          <w:sz w:val="18"/>
          <w:szCs w:val="18"/>
        </w:rPr>
      </w:r>
    </w:p>
    <w:p>
      <w:pPr>
        <w:pStyle w:val="Normal"/>
        <w:suppressAutoHyphens w:val="false"/>
        <w:spacing w:before="0" w:after="120"/>
        <w:jc w:val="center"/>
        <w:rPr>
          <w:rFonts w:ascii="Verdana" w:hAnsi="Verdana" w:cs="Arial"/>
          <w:sz w:val="18"/>
          <w:szCs w:val="18"/>
        </w:rPr>
      </w:pPr>
      <w:r>
        <w:rPr>
          <w:rFonts w:cs="Arial" w:ascii="Verdana" w:hAnsi="Verdana"/>
          <w:sz w:val="18"/>
          <w:szCs w:val="18"/>
        </w:rPr>
      </w:r>
    </w:p>
    <w:p>
      <w:pPr>
        <w:pStyle w:val="Normal"/>
        <w:suppressAutoHyphens w:val="false"/>
        <w:spacing w:before="0" w:after="120"/>
        <w:jc w:val="center"/>
        <w:rPr>
          <w:rFonts w:ascii="Verdana" w:hAnsi="Verdana" w:cs="Arial"/>
          <w:sz w:val="18"/>
          <w:szCs w:val="18"/>
        </w:rPr>
      </w:pPr>
      <w:r>
        <w:rPr>
          <w:rFonts w:cs="Arial" w:ascii="Verdana" w:hAnsi="Verdana"/>
          <w:sz w:val="18"/>
          <w:szCs w:val="18"/>
        </w:rPr>
      </w:r>
    </w:p>
    <w:p>
      <w:pPr>
        <w:pStyle w:val="Normal"/>
        <w:suppressAutoHyphens w:val="false"/>
        <w:spacing w:before="0" w:after="120"/>
        <w:jc w:val="center"/>
        <w:rPr>
          <w:rFonts w:ascii="Verdana" w:hAnsi="Verdana" w:cs="Arial"/>
          <w:sz w:val="18"/>
          <w:szCs w:val="18"/>
        </w:rPr>
      </w:pPr>
      <w:r>
        <w:rPr>
          <w:rFonts w:cs="Arial" w:ascii="Verdana" w:hAnsi="Verdana"/>
          <w:sz w:val="18"/>
          <w:szCs w:val="18"/>
        </w:rPr>
      </w:r>
    </w:p>
    <w:p>
      <w:pPr>
        <w:pStyle w:val="Normal"/>
        <w:suppressAutoHyphens w:val="false"/>
        <w:spacing w:before="0" w:after="120"/>
        <w:jc w:val="center"/>
        <w:rPr>
          <w:rFonts w:ascii="Verdana" w:hAnsi="Verdana" w:cs="Arial"/>
          <w:sz w:val="18"/>
          <w:szCs w:val="18"/>
        </w:rPr>
      </w:pPr>
      <w:r>
        <w:rPr>
          <w:rFonts w:cs="Arial" w:ascii="Verdana" w:hAnsi="Verdana"/>
          <w:sz w:val="18"/>
          <w:szCs w:val="18"/>
        </w:rPr>
      </w:r>
    </w:p>
    <w:p>
      <w:pPr>
        <w:pStyle w:val="Normal"/>
        <w:suppressAutoHyphens w:val="false"/>
        <w:spacing w:before="0" w:after="120"/>
        <w:jc w:val="center"/>
        <w:rPr>
          <w:rFonts w:ascii="Calibri" w:hAnsi="Calibri"/>
          <w:b/>
          <w:b/>
          <w:bCs/>
          <w:color w:val="000000"/>
          <w:sz w:val="22"/>
          <w:szCs w:val="22"/>
          <w:lang w:eastAsia="pt-BR"/>
        </w:rPr>
      </w:pPr>
      <w:r>
        <w:rPr>
          <w:rFonts w:ascii="Calibri" w:hAnsi="Calibri"/>
          <w:b/>
          <w:bCs/>
          <w:color w:val="000000"/>
          <w:sz w:val="22"/>
          <w:szCs w:val="22"/>
          <w:lang w:eastAsia="pt-BR"/>
        </w:rPr>
      </w:r>
    </w:p>
    <w:p>
      <w:pPr>
        <w:pStyle w:val="Normal"/>
        <w:suppressAutoHyphens w:val="false"/>
        <w:spacing w:before="0" w:after="120"/>
        <w:jc w:val="center"/>
        <w:rPr>
          <w:rFonts w:ascii="Calibri" w:hAnsi="Calibri"/>
          <w:b/>
          <w:b/>
          <w:bCs/>
          <w:color w:val="000000"/>
          <w:sz w:val="22"/>
          <w:szCs w:val="22"/>
          <w:lang w:eastAsia="pt-BR"/>
        </w:rPr>
      </w:pPr>
      <w:r>
        <w:rPr>
          <w:rFonts w:ascii="Calibri" w:hAnsi="Calibri"/>
          <w:b/>
          <w:bCs/>
          <w:color w:val="000000"/>
          <w:sz w:val="22"/>
          <w:szCs w:val="22"/>
          <w:lang w:eastAsia="pt-BR"/>
        </w:rPr>
        <w:t>ANEXO I</w:t>
      </w:r>
    </w:p>
    <w:p>
      <w:pPr>
        <w:pStyle w:val="Normal"/>
        <w:jc w:val="center"/>
        <w:rPr/>
      </w:pPr>
      <w:r>
        <w:rPr>
          <w:b/>
          <w:bCs/>
          <w:color w:val="000000"/>
          <w:sz w:val="22"/>
          <w:szCs w:val="22"/>
        </w:rPr>
        <w:t>TERMO DE REFERÊNCIA</w:t>
      </w:r>
    </w:p>
    <w:p>
      <w:pPr>
        <w:pStyle w:val="Normal"/>
        <w:spacing w:lineRule="auto" w:line="276"/>
        <w:jc w:val="center"/>
        <w:rPr>
          <w:b/>
          <w:b/>
          <w:bCs/>
          <w:color w:val="000000"/>
          <w:sz w:val="22"/>
          <w:szCs w:val="22"/>
        </w:rPr>
      </w:pPr>
      <w:r>
        <w:rPr>
          <w:b/>
          <w:bCs/>
          <w:color w:val="000000"/>
          <w:sz w:val="22"/>
          <w:szCs w:val="22"/>
        </w:rPr>
      </w:r>
    </w:p>
    <w:p>
      <w:pPr>
        <w:pStyle w:val="Normal"/>
        <w:spacing w:lineRule="auto" w:line="276"/>
        <w:jc w:val="center"/>
        <w:rPr/>
      </w:pPr>
      <w:r>
        <w:rPr>
          <w:b/>
          <w:bCs/>
          <w:color w:val="000000"/>
          <w:sz w:val="22"/>
          <w:szCs w:val="22"/>
        </w:rPr>
        <w:t xml:space="preserve">PREGÃO SRP Nº 034/2018: AQUISIÇÃO DE MATERIAL DE INSUMOS AGRÍCOLAS PARA ATENDER A DEMANDA DAS FAZENDAS DA UFVJM </w:t>
      </w:r>
    </w:p>
    <w:p>
      <w:pPr>
        <w:pStyle w:val="Normal"/>
        <w:ind w:right="-285" w:hanging="0"/>
        <w:rPr>
          <w:b/>
          <w:b/>
          <w:bCs/>
          <w:color w:val="000000"/>
          <w:sz w:val="22"/>
          <w:szCs w:val="22"/>
          <w:lang w:eastAsia="pt-BR"/>
        </w:rPr>
      </w:pPr>
      <w:r>
        <w:rPr>
          <w:b/>
          <w:bCs/>
          <w:color w:val="000000"/>
          <w:sz w:val="22"/>
          <w:szCs w:val="22"/>
          <w:lang w:eastAsia="pt-BR"/>
        </w:rPr>
      </w:r>
    </w:p>
    <w:p>
      <w:pPr>
        <w:pStyle w:val="Normal"/>
        <w:ind w:right="-285" w:hanging="0"/>
        <w:rPr/>
      </w:pPr>
      <w:r>
        <w:rPr>
          <w:b/>
          <w:sz w:val="22"/>
          <w:szCs w:val="22"/>
          <w:lang w:eastAsia="pt-BR"/>
        </w:rPr>
        <w:t>CLASSIFICAÇÃO DA CONTRATAÇÃO:</w:t>
        <w:br/>
      </w:r>
      <w:r>
        <w:rPr>
          <w:sz w:val="22"/>
          <w:szCs w:val="22"/>
          <w:lang w:eastAsia="pt-BR"/>
        </w:rPr>
        <w:t xml:space="preserve">( </w:t>
      </w:r>
      <w:r>
        <w:rPr>
          <w:b/>
          <w:sz w:val="22"/>
          <w:szCs w:val="22"/>
          <w:lang w:eastAsia="pt-BR"/>
        </w:rPr>
        <w:t>X</w:t>
      </w:r>
      <w:r>
        <w:rPr>
          <w:sz w:val="22"/>
          <w:szCs w:val="22"/>
          <w:lang w:eastAsia="pt-BR"/>
        </w:rPr>
        <w:t xml:space="preserve"> ) CONSUMO (   ) PERMANENTE</w:t>
      </w:r>
    </w:p>
    <w:p>
      <w:pPr>
        <w:pStyle w:val="Normal"/>
        <w:ind w:right="-285" w:hanging="0"/>
        <w:rPr>
          <w:b/>
          <w:b/>
          <w:sz w:val="22"/>
          <w:szCs w:val="22"/>
          <w:lang w:eastAsia="pt-BR"/>
        </w:rPr>
      </w:pPr>
      <w:r>
        <w:rPr>
          <w:b/>
          <w:sz w:val="22"/>
          <w:szCs w:val="22"/>
          <w:lang w:eastAsia="pt-BR"/>
        </w:rPr>
      </w:r>
    </w:p>
    <w:p>
      <w:pPr>
        <w:pStyle w:val="Normal"/>
        <w:suppressAutoHyphens w:val="false"/>
        <w:ind w:right="-285" w:hanging="0"/>
        <w:rPr/>
      </w:pPr>
      <w:r>
        <w:rPr>
          <w:b/>
          <w:sz w:val="22"/>
          <w:szCs w:val="22"/>
          <w:lang w:eastAsia="pt-BR"/>
        </w:rPr>
        <w:t>TIPO DE LICITAÇÃO:</w:t>
        <w:br/>
      </w:r>
      <w:r>
        <w:rPr>
          <w:sz w:val="22"/>
          <w:szCs w:val="22"/>
          <w:lang w:eastAsia="pt-BR"/>
        </w:rPr>
        <w:t xml:space="preserve">(    )  TRADICIONAL     (  </w:t>
      </w:r>
      <w:r>
        <w:rPr>
          <w:b/>
          <w:sz w:val="22"/>
          <w:szCs w:val="22"/>
          <w:lang w:eastAsia="pt-BR"/>
        </w:rPr>
        <w:t>X</w:t>
      </w:r>
      <w:r>
        <w:rPr>
          <w:sz w:val="22"/>
          <w:szCs w:val="22"/>
          <w:lang w:eastAsia="pt-BR"/>
        </w:rPr>
        <w:t xml:space="preserve">  ) REGISTRO DE PREÇOS</w:t>
      </w:r>
    </w:p>
    <w:p>
      <w:pPr>
        <w:pStyle w:val="Normal"/>
        <w:suppressAutoHyphens w:val="false"/>
        <w:ind w:right="-285" w:hanging="0"/>
        <w:rPr>
          <w:b/>
          <w:b/>
          <w:sz w:val="22"/>
          <w:szCs w:val="22"/>
          <w:lang w:eastAsia="pt-BR"/>
        </w:rPr>
      </w:pPr>
      <w:r>
        <w:rPr>
          <w:b/>
          <w:sz w:val="22"/>
          <w:szCs w:val="22"/>
          <w:lang w:eastAsia="pt-BR"/>
        </w:rPr>
      </w:r>
    </w:p>
    <w:p>
      <w:pPr>
        <w:pStyle w:val="Normal"/>
        <w:suppressAutoHyphens w:val="false"/>
        <w:ind w:right="-285" w:hanging="0"/>
        <w:rPr>
          <w:b/>
          <w:b/>
          <w:sz w:val="22"/>
          <w:szCs w:val="22"/>
          <w:lang w:eastAsia="pt-BR"/>
        </w:rPr>
      </w:pPr>
      <w:r>
        <w:rPr>
          <w:b/>
          <w:sz w:val="22"/>
          <w:szCs w:val="22"/>
          <w:lang w:eastAsia="pt-BR"/>
        </w:rPr>
      </w:r>
    </w:p>
    <w:p>
      <w:pPr>
        <w:pStyle w:val="Normal"/>
        <w:spacing w:before="120" w:after="0"/>
        <w:ind w:right="-285" w:hanging="0"/>
        <w:rPr>
          <w:b/>
          <w:b/>
          <w:sz w:val="22"/>
          <w:szCs w:val="22"/>
          <w:u w:val="single"/>
          <w:lang w:eastAsia="pt-BR"/>
        </w:rPr>
      </w:pPr>
      <w:r>
        <w:rPr>
          <w:b/>
          <w:sz w:val="22"/>
          <w:szCs w:val="22"/>
          <w:u w:val="single"/>
          <w:lang w:eastAsia="pt-BR"/>
        </w:rPr>
        <w:t>I OBJETO</w:t>
      </w:r>
    </w:p>
    <w:p>
      <w:pPr>
        <w:pStyle w:val="Normal"/>
        <w:suppressAutoHyphens w:val="false"/>
        <w:rPr>
          <w:sz w:val="22"/>
          <w:szCs w:val="22"/>
        </w:rPr>
      </w:pPr>
      <w:r>
        <w:rPr>
          <w:sz w:val="22"/>
          <w:szCs w:val="22"/>
        </w:rPr>
        <w:t>Aquisição de insumos agrícolas e medicamentos veterinários para atender a demanda</w:t>
      </w:r>
    </w:p>
    <w:p>
      <w:pPr>
        <w:pStyle w:val="Normal"/>
        <w:suppressAutoHyphens w:val="false"/>
        <w:rPr>
          <w:sz w:val="22"/>
          <w:szCs w:val="22"/>
        </w:rPr>
      </w:pPr>
      <w:r>
        <w:rPr>
          <w:sz w:val="22"/>
          <w:szCs w:val="22"/>
        </w:rPr>
        <w:t>das fazendas da UFVJM, conforme condições, quantidades e exigências estabelecidas</w:t>
      </w:r>
    </w:p>
    <w:p>
      <w:pPr>
        <w:pStyle w:val="Normal"/>
        <w:suppressAutoHyphens w:val="false"/>
        <w:rPr>
          <w:sz w:val="22"/>
          <w:szCs w:val="22"/>
        </w:rPr>
      </w:pPr>
      <w:r>
        <w:rPr>
          <w:sz w:val="22"/>
          <w:szCs w:val="22"/>
        </w:rPr>
        <w:t>no Anexo I deste instrumento. A aquisição será através do Sistema de Registro de</w:t>
      </w:r>
    </w:p>
    <w:p>
      <w:pPr>
        <w:pStyle w:val="Normal"/>
        <w:suppressAutoHyphens w:val="false"/>
        <w:rPr>
          <w:sz w:val="22"/>
          <w:szCs w:val="22"/>
        </w:rPr>
      </w:pPr>
      <w:r>
        <w:rPr>
          <w:sz w:val="22"/>
          <w:szCs w:val="22"/>
        </w:rPr>
        <w:t>Preços, com observância ao disposto na Lei 10.520/02, Decretos 5.450/05, 3.555/00,</w:t>
      </w:r>
    </w:p>
    <w:p>
      <w:pPr>
        <w:pStyle w:val="Normal"/>
        <w:suppressAutoHyphens w:val="false"/>
        <w:rPr>
          <w:sz w:val="22"/>
          <w:szCs w:val="22"/>
        </w:rPr>
      </w:pPr>
      <w:r>
        <w:rPr>
          <w:sz w:val="22"/>
          <w:szCs w:val="22"/>
        </w:rPr>
        <w:t>3.784/01, 7.892/13, 8.250/14, demais legislações pertinentes da Universidade Federal</w:t>
        <w:br/>
        <w:t>dos Vales do Jequitinhonha e Mucuri.</w:t>
      </w:r>
    </w:p>
    <w:p>
      <w:pPr>
        <w:pStyle w:val="Normal"/>
        <w:suppressAutoHyphens w:val="false"/>
        <w:rPr>
          <w:sz w:val="22"/>
          <w:szCs w:val="22"/>
        </w:rPr>
      </w:pPr>
      <w:r>
        <w:rPr>
          <w:sz w:val="22"/>
          <w:szCs w:val="22"/>
        </w:rPr>
      </w:r>
    </w:p>
    <w:p>
      <w:pPr>
        <w:pStyle w:val="Normal"/>
        <w:numPr>
          <w:ilvl w:val="1"/>
          <w:numId w:val="24"/>
        </w:numPr>
        <w:suppressAutoHyphens w:val="false"/>
        <w:spacing w:before="120" w:after="0"/>
        <w:jc w:val="both"/>
        <w:rPr/>
      </w:pPr>
      <w:r>
        <w:rPr>
          <w:bCs/>
          <w:sz w:val="22"/>
          <w:szCs w:val="22"/>
        </w:rPr>
        <w:t>A</w:t>
      </w:r>
      <w:r>
        <w:rPr>
          <w:sz w:val="22"/>
          <w:szCs w:val="22"/>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pPr>
        <w:pStyle w:val="Normal"/>
        <w:suppressAutoHyphens w:val="false"/>
        <w:spacing w:before="120" w:after="0"/>
        <w:ind w:left="360" w:hanging="0"/>
        <w:jc w:val="both"/>
        <w:rPr/>
      </w:pPr>
      <w:r>
        <w:rPr/>
      </w:r>
    </w:p>
    <w:p>
      <w:pPr>
        <w:pStyle w:val="Normal"/>
        <w:suppressAutoHyphens w:val="false"/>
        <w:rPr>
          <w:rFonts w:ascii="TimesNewRomanPSMT" w:hAnsi="TimesNewRomanPSMT" w:cs="TimesNewRomanPSMT"/>
          <w:lang w:eastAsia="pt-BR"/>
        </w:rPr>
      </w:pPr>
      <w:r>
        <w:rPr>
          <w:rFonts w:cs="TimesNewRomanPS-BoldMT" w:ascii="TimesNewRomanPS-BoldMT" w:hAnsi="TimesNewRomanPS-BoldMT"/>
          <w:b/>
          <w:bCs/>
          <w:lang w:eastAsia="pt-BR"/>
        </w:rPr>
        <w:t xml:space="preserve">1.2 </w:t>
      </w:r>
      <w:r>
        <w:rPr>
          <w:rFonts w:cs="TimesNewRomanPSMT" w:ascii="TimesNewRomanPSMT" w:hAnsi="TimesNewRomanPSMT"/>
          <w:lang w:eastAsia="pt-BR"/>
        </w:rPr>
        <w:t>- Conforme o disposto no Art. 4º da Lei 6894/1980 “As pessoas físicas ou jurídicas</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t>que produzam ou comercializem fertilizantes, corretivos, inoculantes, estimulantes ou biofertilizantes, remineralizadores e substratos para plantas são obrigadas a promover o seu registro no Ministério da Agricultura, Pecuária e Abastecimento, conforme dispuser o regulamento”. Em atendimento ao disposto no art. 4º da Lei 6.894/1980, torna-se necessário a comprovação do registro do fornecedor no MAPA, para os itens 02,03,04,05,06,08 e 09.</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r>
    </w:p>
    <w:p>
      <w:pPr>
        <w:pStyle w:val="Normal"/>
        <w:suppressAutoHyphens w:val="false"/>
        <w:rPr>
          <w:rFonts w:ascii="TimesNewRomanPSMT" w:hAnsi="TimesNewRomanPSMT" w:cs="TimesNewRomanPSMT"/>
          <w:lang w:eastAsia="pt-BR"/>
        </w:rPr>
      </w:pPr>
      <w:r>
        <w:rPr>
          <w:rFonts w:cs="TimesNewRomanPS-BoldMT" w:ascii="TimesNewRomanPS-BoldMT" w:hAnsi="TimesNewRomanPS-BoldMT"/>
          <w:b/>
          <w:bCs/>
          <w:lang w:eastAsia="pt-BR"/>
        </w:rPr>
        <w:t xml:space="preserve">1.3 </w:t>
      </w:r>
      <w:r>
        <w:rPr>
          <w:rFonts w:cs="TimesNewRomanPSMT" w:ascii="TimesNewRomanPSMT" w:hAnsi="TimesNewRomanPSMT"/>
          <w:lang w:eastAsia="pt-BR"/>
        </w:rPr>
        <w:t>- Só será admitida a oferta de defensivos agrícolas, seus componentes e afins que</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t>estejam previamente registrados no órgão federal competente, de acordo com as</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t>diretrizes e exigências dos órgãos federais responsáveis pelos setores da saúde, meio</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t>ambiente e da agricultura, conforme art. 3º da Lei 7.802/1989 e art.1º, inc. XLII e 8º a 30 do Decreto 4.074/2002 e legislação correlata.</w:t>
      </w:r>
    </w:p>
    <w:p>
      <w:pPr>
        <w:pStyle w:val="Normal"/>
        <w:suppressAutoHyphens w:val="false"/>
        <w:ind w:left="360" w:hanging="0"/>
        <w:rPr>
          <w:rFonts w:ascii="TimesNewRomanPSMT" w:hAnsi="TimesNewRomanPSMT" w:cs="TimesNewRomanPSMT"/>
          <w:lang w:eastAsia="pt-BR"/>
        </w:rPr>
      </w:pPr>
      <w:r>
        <w:rPr>
          <w:rFonts w:cs="TimesNewRomanPSMT" w:ascii="TimesNewRomanPSMT" w:hAnsi="TimesNewRomanPSMT"/>
          <w:lang w:eastAsia="pt-BR"/>
        </w:rPr>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1.3.1 - Para os itens 01,07,10,14,16,17,18 e 22, os produtos ofertados deverão está em</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conformidade com o disposto no art. 3º da Lei 7.802/1989.</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r>
    </w:p>
    <w:p>
      <w:pPr>
        <w:pStyle w:val="Normal"/>
        <w:suppressAutoHyphens w:val="false"/>
        <w:rPr>
          <w:rFonts w:ascii="TimesNewRomanPSMT" w:hAnsi="TimesNewRomanPSMT" w:cs="TimesNewRomanPSMT"/>
          <w:lang w:eastAsia="pt-BR"/>
        </w:rPr>
      </w:pPr>
      <w:r>
        <w:rPr>
          <w:rFonts w:cs="TimesNewRomanPS-BoldMT" w:ascii="TimesNewRomanPS-BoldMT" w:hAnsi="TimesNewRomanPS-BoldMT"/>
          <w:b/>
          <w:bCs/>
          <w:lang w:eastAsia="pt-BR"/>
        </w:rPr>
        <w:t xml:space="preserve">1.4 </w:t>
      </w:r>
      <w:r>
        <w:rPr>
          <w:rFonts w:cs="TimesNewRomanPSMT" w:ascii="TimesNewRomanPSMT" w:hAnsi="TimesNewRomanPSMT"/>
          <w:lang w:eastAsia="pt-BR"/>
        </w:rPr>
        <w:t>- A empresa deverá atender as solicitações da UFVJM, parceladamente. A</w:t>
      </w:r>
    </w:p>
    <w:p>
      <w:pPr>
        <w:pStyle w:val="Normal"/>
        <w:spacing w:before="120" w:after="0"/>
        <w:contextualSpacing/>
        <w:jc w:val="both"/>
        <w:rPr>
          <w:rFonts w:ascii="TimesNewRomanPSMT" w:hAnsi="TimesNewRomanPSMT" w:cs="TimesNewRomanPSMT"/>
          <w:lang w:eastAsia="pt-BR"/>
        </w:rPr>
      </w:pPr>
      <w:r>
        <w:rPr>
          <w:rFonts w:cs="TimesNewRomanPSMT" w:ascii="TimesNewRomanPSMT" w:hAnsi="TimesNewRomanPSMT"/>
          <w:lang w:eastAsia="pt-BR"/>
        </w:rPr>
        <w:t xml:space="preserve">quantidade mínima, por pedido, foi estabelecida somente para os itens relacionados abaixo: </w:t>
      </w:r>
    </w:p>
    <w:p>
      <w:pPr>
        <w:pStyle w:val="Normal"/>
        <w:spacing w:before="120" w:after="0"/>
        <w:contextualSpacing/>
        <w:jc w:val="both"/>
        <w:rPr>
          <w:rFonts w:ascii="TimesNewRomanPSMT" w:hAnsi="TimesNewRomanPSMT" w:cs="TimesNewRomanPSMT"/>
          <w:lang w:eastAsia="pt-BR"/>
        </w:rPr>
      </w:pPr>
      <w:r>
        <w:rPr>
          <w:rFonts w:cs="TimesNewRomanPSMT" w:ascii="TimesNewRomanPSMT" w:hAnsi="TimesNewRomanPSMT"/>
          <w:lang w:eastAsia="pt-BR"/>
        </w:rPr>
      </w:r>
    </w:p>
    <w:p>
      <w:pPr>
        <w:pStyle w:val="Normal"/>
        <w:spacing w:before="120" w:after="0"/>
        <w:contextualSpacing/>
        <w:jc w:val="both"/>
        <w:rPr>
          <w:rFonts w:ascii="TimesNewRomanPSMT" w:hAnsi="TimesNewRomanPSMT" w:cs="TimesNewRomanPSMT"/>
          <w:lang w:eastAsia="pt-BR"/>
        </w:rPr>
      </w:pPr>
      <w:r>
        <w:rPr>
          <w:rFonts w:cs="TimesNewRomanPSMT" w:ascii="TimesNewRomanPSMT" w:hAnsi="TimesNewRomanPSMT"/>
          <w:lang w:eastAsia="pt-BR"/>
        </w:rPr>
      </w:r>
    </w:p>
    <w:tbl>
      <w:tblPr>
        <w:tblStyle w:val="Tabelacomgrade"/>
        <w:tblW w:w="9593" w:type="dxa"/>
        <w:jc w:val="left"/>
        <w:tblInd w:w="0" w:type="dxa"/>
        <w:tblCellMar>
          <w:top w:w="0" w:type="dxa"/>
          <w:left w:w="108" w:type="dxa"/>
          <w:bottom w:w="0" w:type="dxa"/>
          <w:right w:w="108" w:type="dxa"/>
        </w:tblCellMar>
        <w:tblLook w:val="04a0"/>
      </w:tblPr>
      <w:tblGrid>
        <w:gridCol w:w="675"/>
        <w:gridCol w:w="3827"/>
        <w:gridCol w:w="1275"/>
        <w:gridCol w:w="567"/>
        <w:gridCol w:w="1134"/>
        <w:gridCol w:w="1276"/>
        <w:gridCol w:w="838"/>
      </w:tblGrid>
      <w:tr>
        <w:trPr>
          <w:trHeight w:val="1026" w:hRule="atLeast"/>
        </w:trPr>
        <w:tc>
          <w:tcPr>
            <w:tcW w:w="675" w:type="dxa"/>
            <w:tcBorders/>
            <w:shd w:fill="auto" w:val="clear"/>
            <w:tcMar>
              <w:left w:w="108" w:type="dxa"/>
            </w:tcMar>
          </w:tcPr>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ITEM</w:t>
            </w:r>
          </w:p>
        </w:tc>
        <w:tc>
          <w:tcPr>
            <w:tcW w:w="3827" w:type="dxa"/>
            <w:tcBorders/>
            <w:shd w:fill="auto" w:val="clear"/>
            <w:tcMar>
              <w:left w:w="108" w:type="dxa"/>
            </w:tcMar>
          </w:tcPr>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DESCRIÇÃO</w:t>
            </w:r>
          </w:p>
        </w:tc>
        <w:tc>
          <w:tcPr>
            <w:tcW w:w="1275" w:type="dxa"/>
            <w:tcBorders/>
            <w:shd w:fill="auto" w:val="clear"/>
            <w:tcMar>
              <w:left w:w="108" w:type="dxa"/>
            </w:tcMar>
          </w:tcPr>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UNID</w:t>
            </w:r>
          </w:p>
        </w:tc>
        <w:tc>
          <w:tcPr>
            <w:tcW w:w="567" w:type="dxa"/>
            <w:tcBorders/>
            <w:shd w:fill="auto" w:val="clear"/>
            <w:tcMar>
              <w:left w:w="108" w:type="dxa"/>
            </w:tcMar>
          </w:tcPr>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QTD</w:t>
            </w:r>
          </w:p>
        </w:tc>
        <w:tc>
          <w:tcPr>
            <w:tcW w:w="1134" w:type="dxa"/>
            <w:tcBorders/>
            <w:shd w:fill="auto" w:val="clear"/>
            <w:tcMar>
              <w:left w:w="108" w:type="dxa"/>
            </w:tcMar>
          </w:tcPr>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t>VLR.</w:t>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UNITÁRIO</w:t>
            </w:r>
          </w:p>
        </w:tc>
        <w:tc>
          <w:tcPr>
            <w:tcW w:w="1276" w:type="dxa"/>
            <w:tcBorders/>
            <w:shd w:fill="auto" w:val="clear"/>
            <w:tcMar>
              <w:left w:w="108" w:type="dxa"/>
            </w:tcMar>
          </w:tcPr>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t>VLR.</w:t>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TOTAL</w:t>
            </w:r>
          </w:p>
        </w:tc>
        <w:tc>
          <w:tcPr>
            <w:tcW w:w="838" w:type="dxa"/>
            <w:tcBorders/>
            <w:shd w:fill="auto" w:val="clear"/>
            <w:tcMar>
              <w:left w:w="108" w:type="dxa"/>
            </w:tcMar>
          </w:tcPr>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t>QUANT.</w:t>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t>MÍNIMA</w:t>
            </w:r>
          </w:p>
          <w:p>
            <w:pPr>
              <w:pStyle w:val="Normal"/>
              <w:suppressAutoHyphens w:val="false"/>
              <w:jc w:val="center"/>
              <w:rPr>
                <w:rFonts w:ascii="Calibri-Bold" w:hAnsi="Calibri-Bold" w:cs="Calibri-Bold"/>
                <w:b/>
                <w:b/>
                <w:bCs/>
                <w:color w:val="00000A"/>
                <w:sz w:val="16"/>
                <w:szCs w:val="16"/>
                <w:lang w:eastAsia="pt-BR"/>
              </w:rPr>
            </w:pPr>
            <w:r>
              <w:rPr>
                <w:rFonts w:cs="Calibri-Bold" w:ascii="Calibri-Bold" w:hAnsi="Calibri-Bold"/>
                <w:b/>
                <w:bCs/>
                <w:color w:val="00000A"/>
                <w:sz w:val="16"/>
                <w:szCs w:val="16"/>
                <w:lang w:eastAsia="pt-BR"/>
              </w:rPr>
              <w:t>PARA</w:t>
            </w:r>
          </w:p>
          <w:p>
            <w:pPr>
              <w:pStyle w:val="Normal"/>
              <w:jc w:val="center"/>
              <w:rPr>
                <w:rFonts w:ascii="Calibri-Bold" w:hAnsi="Calibri-Bold" w:cs="Calibri-Bold"/>
                <w:b/>
                <w:b/>
                <w:bCs/>
                <w:color w:val="00000A"/>
                <w:sz w:val="16"/>
                <w:szCs w:val="16"/>
              </w:rPr>
            </w:pPr>
            <w:r>
              <w:rPr>
                <w:rFonts w:cs="Calibri-Bold" w:ascii="Calibri-Bold" w:hAnsi="Calibri-Bold"/>
                <w:b/>
                <w:bCs/>
                <w:color w:val="00000A"/>
                <w:sz w:val="16"/>
                <w:szCs w:val="16"/>
                <w:lang w:eastAsia="pt-BR"/>
              </w:rPr>
              <w:t>ENTREGA</w:t>
            </w:r>
          </w:p>
        </w:tc>
      </w:tr>
      <w:tr>
        <w:trPr>
          <w:trHeight w:val="1100" w:hRule="atLeast"/>
        </w:trPr>
        <w:tc>
          <w:tcPr>
            <w:tcW w:w="675" w:type="dxa"/>
            <w:tcBorders/>
            <w:shd w:fill="auto" w:val="clear"/>
            <w:tcMar>
              <w:left w:w="108" w:type="dxa"/>
            </w:tcMar>
          </w:tcPr>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rPr>
            </w:pPr>
            <w:r>
              <w:rPr>
                <w:rFonts w:cs="Calibri" w:ascii="Calibri" w:hAnsi="Calibri"/>
                <w:color w:val="00000A"/>
                <w:sz w:val="18"/>
                <w:szCs w:val="18"/>
                <w:lang w:eastAsia="pt-BR"/>
              </w:rPr>
              <w:t>01</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ÁCIDO 2,4 DICLOROFENOXIACÉTICO, COMPOSIÇÃO SAL DIMETILAMINA, CONCENTRAÇÃO 80,6% P/V, APRESENTAÇÃO CONCENTRADO SOLÚVEL, NÚMERO DE REFERÊNCIA QUÍMICA CAS 2008-39-1. LITRO</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color w:val="000000"/>
                <w:sz w:val="18"/>
                <w:szCs w:val="18"/>
              </w:rPr>
            </w:pPr>
            <w:r>
              <w:rPr>
                <w:rFonts w:cs="Calibri" w:ascii="Calibri" w:hAnsi="Calibri"/>
                <w:sz w:val="18"/>
                <w:szCs w:val="18"/>
                <w:lang w:eastAsia="pt-BR"/>
              </w:rPr>
              <w:t>LITRO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color w:val="000000"/>
                <w:sz w:val="18"/>
                <w:szCs w:val="18"/>
              </w:rPr>
            </w:pPr>
            <w:r>
              <w:rPr>
                <w:rFonts w:cs="Calibri" w:ascii="Calibri" w:hAnsi="Calibri"/>
                <w:sz w:val="18"/>
                <w:szCs w:val="18"/>
                <w:lang w:eastAsia="pt-BR"/>
              </w:rPr>
              <w:t>65</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color w:val="000000"/>
                <w:sz w:val="18"/>
                <w:szCs w:val="18"/>
              </w:rPr>
            </w:pPr>
            <w:r>
              <w:rPr>
                <w:rFonts w:cs="Calibri" w:ascii="Calibri" w:hAnsi="Calibri"/>
                <w:sz w:val="18"/>
                <w:szCs w:val="18"/>
                <w:lang w:eastAsia="pt-BR"/>
              </w:rPr>
              <w:t>R$ 45,50</w:t>
            </w:r>
          </w:p>
        </w:tc>
        <w:tc>
          <w:tcPr>
            <w:tcW w:w="1276" w:type="dxa"/>
            <w:tcBorders/>
            <w:shd w:fill="auto" w:val="clear"/>
            <w:tcMar>
              <w:left w:w="108" w:type="dxa"/>
            </w:tcMar>
          </w:tcPr>
          <w:p>
            <w:pPr>
              <w:pStyle w:val="Normal"/>
              <w:jc w:val="center"/>
              <w:rPr>
                <w:rFonts w:ascii="Calibri" w:hAnsi="Calibri" w:cs="Calibri"/>
                <w:sz w:val="18"/>
                <w:szCs w:val="18"/>
              </w:rPr>
            </w:pPr>
            <w:r>
              <w:rPr>
                <w:rFonts w:cs="Calibri" w:ascii="Calibri" w:hAnsi="Calibri"/>
                <w:sz w:val="18"/>
                <w:szCs w:val="18"/>
              </w:rPr>
            </w:r>
          </w:p>
          <w:p>
            <w:pPr>
              <w:pStyle w:val="Normal"/>
              <w:jc w:val="center"/>
              <w:rPr>
                <w:rFonts w:ascii="Calibri" w:hAnsi="Calibri" w:cs="Calibri"/>
                <w:sz w:val="18"/>
                <w:szCs w:val="18"/>
              </w:rPr>
            </w:pPr>
            <w:r>
              <w:rPr>
                <w:rFonts w:cs="Calibri" w:ascii="Calibri" w:hAnsi="Calibri"/>
                <w:sz w:val="18"/>
                <w:szCs w:val="18"/>
              </w:rPr>
            </w:r>
          </w:p>
          <w:p>
            <w:pPr>
              <w:pStyle w:val="Normal"/>
              <w:jc w:val="center"/>
              <w:rPr>
                <w:rFonts w:ascii="Calibri" w:hAnsi="Calibri" w:cs="Calibri"/>
                <w:sz w:val="18"/>
                <w:szCs w:val="18"/>
              </w:rPr>
            </w:pPr>
            <w:r>
              <w:rPr>
                <w:rFonts w:cs="Calibri" w:ascii="Calibri" w:hAnsi="Calibri"/>
                <w:sz w:val="18"/>
                <w:szCs w:val="18"/>
              </w:rPr>
            </w:r>
          </w:p>
          <w:p>
            <w:pPr>
              <w:pStyle w:val="Normal"/>
              <w:jc w:val="center"/>
              <w:rPr>
                <w:rFonts w:ascii="Calibri" w:hAnsi="Calibri" w:cs="Calibri"/>
                <w:color w:val="000000"/>
                <w:sz w:val="18"/>
                <w:szCs w:val="18"/>
              </w:rPr>
            </w:pPr>
            <w:r>
              <w:rPr>
                <w:rFonts w:cs="Calibri" w:ascii="Calibri" w:hAnsi="Calibri"/>
                <w:sz w:val="18"/>
                <w:szCs w:val="18"/>
                <w:lang w:eastAsia="pt-BR"/>
              </w:rPr>
              <w:t>R$ 2.957,50</w:t>
            </w:r>
          </w:p>
          <w:p>
            <w:pPr>
              <w:pStyle w:val="Normal"/>
              <w:jc w:val="center"/>
              <w:rPr>
                <w:rFonts w:ascii="Calibri" w:hAnsi="Calibri" w:cs="Calibri"/>
                <w:sz w:val="18"/>
                <w:szCs w:val="18"/>
              </w:rPr>
            </w:pPr>
            <w:r>
              <w:rPr>
                <w:rFonts w:cs="Calibri" w:ascii="Calibri" w:hAnsi="Calibri"/>
                <w:sz w:val="18"/>
                <w:szCs w:val="18"/>
              </w:rPr>
            </w:r>
          </w:p>
          <w:p>
            <w:pPr>
              <w:pStyle w:val="Normal"/>
              <w:jc w:val="center"/>
              <w:rPr>
                <w:rFonts w:ascii="Calibri" w:hAnsi="Calibri" w:cs="Calibri"/>
                <w:sz w:val="18"/>
                <w:szCs w:val="18"/>
              </w:rPr>
            </w:pPr>
            <w:r>
              <w:rPr>
                <w:rFonts w:cs="Calibri" w:ascii="Calibri" w:hAnsi="Calibri"/>
                <w:sz w:val="18"/>
                <w:szCs w:val="18"/>
              </w:rPr>
            </w:r>
          </w:p>
        </w:tc>
        <w:tc>
          <w:tcPr>
            <w:tcW w:w="838" w:type="dxa"/>
            <w:tcBorders/>
            <w:shd w:fill="auto" w:val="clear"/>
            <w:tcMar>
              <w:left w:w="108" w:type="dxa"/>
            </w:tcMar>
          </w:tcPr>
          <w:p>
            <w:pPr>
              <w:pStyle w:val="Normal"/>
              <w:jc w:val="center"/>
              <w:rPr/>
            </w:pPr>
            <w:r>
              <w:rPr/>
            </w:r>
          </w:p>
          <w:p>
            <w:pPr>
              <w:pStyle w:val="Normal"/>
              <w:jc w:val="center"/>
              <w:rPr/>
            </w:pPr>
            <w:r>
              <w:rPr/>
            </w:r>
          </w:p>
          <w:p>
            <w:pPr>
              <w:pStyle w:val="Normal"/>
              <w:jc w:val="center"/>
              <w:rPr>
                <w:rFonts w:ascii="Calibri" w:hAnsi="Calibri" w:cs="Calibri"/>
                <w:sz w:val="18"/>
                <w:szCs w:val="18"/>
                <w:lang w:eastAsia="pt-BR"/>
              </w:rPr>
            </w:pPr>
            <w:r>
              <w:rPr>
                <w:rFonts w:cs="Calibri" w:ascii="Calibri" w:hAnsi="Calibri"/>
                <w:sz w:val="18"/>
                <w:szCs w:val="18"/>
                <w:lang w:eastAsia="pt-BR"/>
              </w:rPr>
              <w:t>10</w:t>
            </w:r>
          </w:p>
          <w:p>
            <w:pPr>
              <w:pStyle w:val="Normal"/>
              <w:jc w:val="center"/>
              <w:rPr/>
            </w:pPr>
            <w:r>
              <w:rPr/>
            </w:r>
          </w:p>
        </w:tc>
      </w:tr>
      <w:tr>
        <w:trPr>
          <w:trHeight w:val="705" w:hRule="atLeast"/>
        </w:trPr>
        <w:tc>
          <w:tcPr>
            <w:tcW w:w="675" w:type="dxa"/>
            <w:tcBorders/>
            <w:shd w:fill="auto" w:val="clear"/>
            <w:tcMar>
              <w:left w:w="108" w:type="dxa"/>
            </w:tcMar>
          </w:tcPr>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t>02</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ADUBO QUÍMICO, ASPECTO FÍSICO GRANULADO, COMPOSIÇÃO BÁSICA NPK(8,28,16) + 0,4% ZN. SACO COM 50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150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R$ 97,40</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R$ 14.610,00</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30</w:t>
            </w:r>
          </w:p>
        </w:tc>
      </w:tr>
      <w:tr>
        <w:trPr/>
        <w:tc>
          <w:tcPr>
            <w:tcW w:w="675" w:type="dxa"/>
            <w:tcBorders/>
            <w:shd w:fill="auto" w:val="clear"/>
            <w:tcMar>
              <w:left w:w="108" w:type="dxa"/>
            </w:tcMar>
          </w:tcPr>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t>03</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ADUBO QUÍMICO, ASPECTO FÍSICO GRANULADO, COMPOSIÇÃO BÁSICA NPK (20.00.20). SACO COM 50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150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R$ 125,69</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R$ 18.853,50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30</w:t>
            </w:r>
          </w:p>
        </w:tc>
      </w:tr>
      <w:tr>
        <w:trPr/>
        <w:tc>
          <w:tcPr>
            <w:tcW w:w="675" w:type="dxa"/>
            <w:tcBorders/>
            <w:shd w:fill="auto" w:val="clear"/>
            <w:tcMar>
              <w:left w:w="108" w:type="dxa"/>
            </w:tcMar>
          </w:tcPr>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t>04</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ADUBO QUÍMICO, ASPECTO FÍSICO GRANULADO, COR VERMELHA, COMPOSIÇÃO BÁSICA SUPERFOSFATO TRIPLO A 41% DE P2O5, CARACTERÍSTICAS ADICIONAIS ENSACADO. SACO COM 50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rPr>
                <w:rFonts w:ascii="Calibri" w:hAnsi="Calibri" w:cs="Calibri"/>
                <w:sz w:val="18"/>
                <w:szCs w:val="18"/>
                <w:lang w:eastAsia="pt-BR"/>
              </w:rPr>
            </w:pPr>
            <w:r>
              <w:rPr>
                <w:rFonts w:cs="Calibri" w:ascii="Calibri" w:hAnsi="Calibri"/>
                <w:sz w:val="18"/>
                <w:szCs w:val="18"/>
                <w:lang w:eastAsia="pt-BR"/>
              </w:rPr>
              <w:t>230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rPr>
                <w:rFonts w:ascii="Calibri" w:hAnsi="Calibri" w:cs="Calibri"/>
                <w:sz w:val="18"/>
                <w:szCs w:val="18"/>
                <w:lang w:eastAsia="pt-BR"/>
              </w:rPr>
            </w:pPr>
            <w:r>
              <w:rPr>
                <w:rFonts w:cs="Calibri" w:ascii="Calibri" w:hAnsi="Calibri"/>
                <w:sz w:val="18"/>
                <w:szCs w:val="18"/>
                <w:lang w:eastAsia="pt-BR"/>
              </w:rPr>
              <w:t>R$ 176,72</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R$ 40.645,60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20</w:t>
            </w:r>
          </w:p>
        </w:tc>
      </w:tr>
      <w:tr>
        <w:trPr/>
        <w:tc>
          <w:tcPr>
            <w:tcW w:w="675" w:type="dxa"/>
            <w:tcBorders/>
            <w:shd w:fill="auto" w:val="clear"/>
            <w:tcMar>
              <w:left w:w="108" w:type="dxa"/>
            </w:tcMar>
          </w:tcPr>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tabs>
                <w:tab w:val="left" w:pos="765" w:leader="none"/>
              </w:tabs>
              <w:jc w:val="center"/>
              <w:rPr>
                <w:rFonts w:ascii="Calibri" w:hAnsi="Calibri" w:cs="Calibri"/>
                <w:color w:val="00000A"/>
                <w:sz w:val="18"/>
                <w:szCs w:val="18"/>
                <w:lang w:eastAsia="pt-BR"/>
              </w:rPr>
            </w:pPr>
            <w:r>
              <w:rPr>
                <w:rFonts w:cs="Calibri" w:ascii="Calibri" w:hAnsi="Calibri"/>
                <w:color w:val="00000A"/>
                <w:sz w:val="18"/>
                <w:szCs w:val="18"/>
                <w:lang w:eastAsia="pt-BR"/>
              </w:rPr>
              <w:t>05</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ADUBO QUÍMICO, ASPECTO FÍSICO GRANULADO, COR BRANCA, COMPOSIÇÃO BÁSICA SULFATO DE AMÔNIO, NITROGÊNIO -20%. SACO COM 50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60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R$ 80,78</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R$ 4.846,80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20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06</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ADUBO QUÍMICO, ASPECTO FÍSICO GRANULADO, COMPOSIÇÃO BÁSICA UREIA,</w:t>
            </w:r>
          </w:p>
          <w:p>
            <w:pPr>
              <w:pStyle w:val="Normal"/>
              <w:suppressAutoHyphens w:val="false"/>
              <w:rPr>
                <w:rFonts w:ascii="Calibri" w:hAnsi="Calibri" w:cs="Calibri"/>
                <w:sz w:val="18"/>
                <w:szCs w:val="18"/>
                <w:lang w:eastAsia="pt-BR"/>
              </w:rPr>
            </w:pPr>
            <w:r>
              <w:rPr>
                <w:rFonts w:cs="Calibri" w:ascii="Calibri" w:hAnsi="Calibri"/>
                <w:sz w:val="18"/>
                <w:szCs w:val="18"/>
                <w:lang w:eastAsia="pt-BR"/>
              </w:rPr>
              <w:t>44% DE NITROGÊNIO, APLICAÇÃO AGRÍCOLA. SACO COM 50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460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R$ 110,59</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R$ 50.871,40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20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07</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ATRAZINA, CONCENTRAÇÃO 50% P/V, APRESENTAÇÃO SUSPENSÃO CONCENTRADA, NÚMERO DE REFERÊNCIA QUÍMICA CAS 93616-39-8. LITRO</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LITRO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110</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R$ 23,62</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R$ 2.598,20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20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08</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CALCÁRIO DOLOMITICO, ASPECTO FÍSICO PÓ, COMPOSIÇÃO PRNT MÍNIMO DE 80%. TONELADA</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t</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R$ 131,67</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R$ 1.316,70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09</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CALCÁRIO DOLOMITICO, ASPECTO FÍSICO PÓ, COMPOSIÇÃO PRNT MÍNIMO DE 90%. TONELADA</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t</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15</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R$ 225,13</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R$ 3.376,95</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10</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CLORPIRIFÓS, CONCENTRAÇÃO 48% P/V,</w:t>
            </w:r>
          </w:p>
          <w:p>
            <w:pPr>
              <w:pStyle w:val="Normal"/>
              <w:suppressAutoHyphens w:val="false"/>
              <w:rPr>
                <w:rFonts w:ascii="Calibri" w:hAnsi="Calibri" w:cs="Calibri"/>
                <w:sz w:val="18"/>
                <w:szCs w:val="18"/>
                <w:lang w:eastAsia="pt-BR"/>
              </w:rPr>
            </w:pPr>
            <w:r>
              <w:rPr>
                <w:rFonts w:cs="Calibri" w:ascii="Calibri" w:hAnsi="Calibri"/>
                <w:sz w:val="18"/>
                <w:szCs w:val="18"/>
                <w:lang w:eastAsia="pt-BR"/>
              </w:rPr>
              <w:t>APRESENTAÇÃO CONCENTRADO EMULSIONÁVEL, NÚMERO DE REFERÊNCIA QUÍMICA CAS 2921-88-2.LITRO</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LITRO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30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R$ 37,61</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R$ 1.128,30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11</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DETERGENTE, COMPOSIÇÃO DETERGENTE</w:t>
            </w:r>
          </w:p>
          <w:p>
            <w:pPr>
              <w:pStyle w:val="Normal"/>
              <w:suppressAutoHyphens w:val="false"/>
              <w:rPr>
                <w:rFonts w:ascii="Calibri" w:hAnsi="Calibri" w:cs="Calibri"/>
                <w:sz w:val="18"/>
                <w:szCs w:val="18"/>
                <w:lang w:eastAsia="pt-BR"/>
              </w:rPr>
            </w:pPr>
            <w:r>
              <w:rPr>
                <w:rFonts w:cs="Calibri" w:ascii="Calibri" w:hAnsi="Calibri"/>
                <w:sz w:val="18"/>
                <w:szCs w:val="18"/>
                <w:lang w:eastAsia="pt-BR"/>
              </w:rPr>
              <w:t>LÍQUIDO, CLORO ATIVO, SEQUESTRANTE E AL, APLICAÇÃO TANQUES DE RESFRIAMENTO, AROMA NATURAL. EMBALAGEM COM 5 LITROS</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EMBALAGEM</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40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R$ 42,35</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R$ 1.694,00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12</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DETERGENTE, COMPOSIÇÃO HIDRÓXIDO</w:t>
            </w:r>
          </w:p>
          <w:p>
            <w:pPr>
              <w:pStyle w:val="Normal"/>
              <w:suppressAutoHyphens w:val="false"/>
              <w:rPr>
                <w:rFonts w:ascii="Calibri" w:hAnsi="Calibri" w:cs="Calibri"/>
                <w:sz w:val="18"/>
                <w:szCs w:val="18"/>
                <w:lang w:eastAsia="pt-BR"/>
              </w:rPr>
            </w:pPr>
            <w:r>
              <w:rPr>
                <w:rFonts w:cs="Calibri" w:ascii="Calibri" w:hAnsi="Calibri"/>
                <w:sz w:val="18"/>
                <w:szCs w:val="18"/>
                <w:lang w:eastAsia="pt-BR"/>
              </w:rPr>
              <w:t>SÓDIO, HIPIPOCLORITO SÓDIO, DISPERSANTE, COMPONENTE ATIVO ALCALINO CLORADO, APLICAÇÃO MÁQUINA LAVAR LOUÇA, CARACTERÍSTICAS ADICIONAIS SOLUÇÃO DE 0,2 A 0,6%, ALTO PODER DESENGORDURANTE, ASPECTO FÍSICO</w:t>
            </w:r>
          </w:p>
          <w:p>
            <w:pPr>
              <w:pStyle w:val="Normal"/>
              <w:suppressAutoHyphens w:val="false"/>
              <w:rPr>
                <w:rFonts w:ascii="Calibri" w:hAnsi="Calibri" w:cs="Calibri"/>
                <w:sz w:val="18"/>
                <w:szCs w:val="18"/>
                <w:lang w:eastAsia="pt-BR"/>
              </w:rPr>
            </w:pPr>
            <w:r>
              <w:rPr>
                <w:rFonts w:cs="Calibri" w:ascii="Calibri" w:hAnsi="Calibri"/>
                <w:sz w:val="18"/>
                <w:szCs w:val="18"/>
                <w:lang w:eastAsia="pt-BR"/>
              </w:rPr>
              <w:t>LÍQUIDO. USO PARA ORDENHADEIRA. BOMBONA 20 LITROS</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BOMBONA</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R$ 241,37</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R$ 2.413,70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13</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DETERGENTE ÁCIDO, ASPECTO FÍSICO LÍQUIDO, APLICAÇÃO LIMPEZA GERAL,</w:t>
            </w:r>
          </w:p>
          <w:p>
            <w:pPr>
              <w:pStyle w:val="Normal"/>
              <w:suppressAutoHyphens w:val="false"/>
              <w:rPr>
                <w:rFonts w:ascii="Calibri" w:hAnsi="Calibri" w:cs="Calibri"/>
                <w:sz w:val="18"/>
                <w:szCs w:val="18"/>
                <w:lang w:eastAsia="pt-BR"/>
              </w:rPr>
            </w:pPr>
            <w:r>
              <w:rPr>
                <w:rFonts w:cs="Calibri" w:ascii="Calibri" w:hAnsi="Calibri"/>
                <w:sz w:val="18"/>
                <w:szCs w:val="18"/>
                <w:lang w:eastAsia="pt-BR"/>
              </w:rPr>
              <w:t>CARACTERÍSTICAS ADICIONAIS COMPATÍVEL C/MÁQUINA LAVADORA TERMODESINFETADORA. USO PARA ORDENHADEIRA. BOMBONA 20 LITROS</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BOMBONA</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R$ 246,66</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R$ 2.466,60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14</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ESPALHANTE ADESIVO, ASPECTO FÍSICO</w:t>
            </w:r>
          </w:p>
          <w:p>
            <w:pPr>
              <w:pStyle w:val="Normal"/>
              <w:suppressAutoHyphens w:val="false"/>
              <w:rPr>
                <w:rFonts w:ascii="Calibri" w:hAnsi="Calibri" w:cs="Calibri"/>
                <w:sz w:val="18"/>
                <w:szCs w:val="18"/>
                <w:lang w:eastAsia="pt-BR"/>
              </w:rPr>
            </w:pPr>
            <w:r>
              <w:rPr>
                <w:rFonts w:cs="Calibri" w:ascii="Calibri" w:hAnsi="Calibri"/>
                <w:sz w:val="18"/>
                <w:szCs w:val="18"/>
                <w:lang w:eastAsia="pt-BR"/>
              </w:rPr>
              <w:t>SOLUÇÃO AQUOSA CONCENTRADA, COMPOSIÇÃO ALQUILFENOL, POLIGLICOL E ETER, CONCENTRAÇÃO 250. FRASCO COM 1 LITRO</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FRASCO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50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R$ 24,08</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R$ 1.204,00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15</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FILME PLÁSTICO, TIPO ULTRA VIOLETA, TRANSPARENTE, ESPESSURA 150 MICRA, LARGURA 8, APLICAÇÃO CONFECÇÃO DE ESTUFA AGRÍCOLA</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BOBINA</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12</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R$ 2.227,72</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R$ 26.732,64</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01</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16</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FLUAZIFOPE-P-BUTíLICO, CONCENTRAÇÃO</w:t>
            </w:r>
          </w:p>
          <w:p>
            <w:pPr>
              <w:pStyle w:val="Normal"/>
              <w:suppressAutoHyphens w:val="false"/>
              <w:rPr>
                <w:rFonts w:ascii="Calibri" w:hAnsi="Calibri" w:cs="Calibri"/>
                <w:sz w:val="18"/>
                <w:szCs w:val="18"/>
                <w:lang w:eastAsia="pt-BR"/>
              </w:rPr>
            </w:pPr>
            <w:r>
              <w:rPr>
                <w:rFonts w:cs="Calibri" w:ascii="Calibri" w:hAnsi="Calibri"/>
                <w:sz w:val="18"/>
                <w:szCs w:val="18"/>
                <w:lang w:eastAsia="pt-BR"/>
              </w:rPr>
              <w:t>25% P/V, FORMA FÍSICA EMULSÃO ÓLEO EM ÁGUA, NÚMERO DE REFERÊNCIA QUÍMICA CAS 79241-46-6. LITRO</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LITRO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R$ 104,66</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R$ 1.046,60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17</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FOSFETO DE ALUMÍNIO, CONCENTRAÇÃO 57% P/P, APRESENTAÇÃO PASTILHA FUMIGANTE, NÚMERO DE REFERÊNCIA QUÍMICA CAS 20859-73-8. FRASCO 1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FRASCO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06</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R$ 165,66</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R$ 993,96</w:t>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02</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18</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NICOSSULFUROM, CONCENTRAÇÃO 4% P/V, APRESENTAÇÃO SUSPENSÃO CONCENTRADA, NÚMERO DE REFERÊNCIA QUÍMICA CAS 111991-09-4. LITRO</w:t>
            </w:r>
          </w:p>
        </w:tc>
        <w:tc>
          <w:tcPr>
            <w:tcW w:w="1275" w:type="dxa"/>
            <w:tcBorders/>
            <w:shd w:fill="auto" w:val="clear"/>
            <w:tcMar>
              <w:left w:w="108" w:type="dxa"/>
            </w:tcMar>
          </w:tcPr>
          <w:p>
            <w:pPr>
              <w:pStyle w:val="Normal"/>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LITRO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R$ 82,23</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R$ 9.045,30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19</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SEMENTE, TIPO GRAMÍNEA, ESPÉCIE MILHO HÍBRIDO, CLASSIFICAÇÃO LG 6030 VTPRO2 OU COM RECOMENDAÇÃO EDAFOCLIMÁTICA, ALTURA E CICLO SIMILAR, GERMINAÇÃO 90 %, PUREZA 98 %, DUPLA APTIDÃO GRÃO E SILAGEM, CARACTERÍSTICAS ADICIONAIS TRANSGÊNICO (TRANSGENIA VT PRO2),</w:t>
            </w:r>
          </w:p>
          <w:p>
            <w:pPr>
              <w:pStyle w:val="Normal"/>
              <w:suppressAutoHyphens w:val="false"/>
              <w:rPr>
                <w:rFonts w:ascii="Calibri" w:hAnsi="Calibri" w:cs="Calibri"/>
                <w:sz w:val="18"/>
                <w:szCs w:val="18"/>
                <w:lang w:eastAsia="pt-BR"/>
              </w:rPr>
            </w:pPr>
            <w:r>
              <w:rPr>
                <w:rFonts w:cs="Calibri" w:ascii="Calibri" w:hAnsi="Calibri"/>
                <w:sz w:val="18"/>
                <w:szCs w:val="18"/>
                <w:lang w:eastAsia="pt-BR"/>
              </w:rPr>
              <w:t>CERTIFICADA, TRATAMENTO DE SEMENTE</w:t>
            </w:r>
          </w:p>
          <w:p>
            <w:pPr>
              <w:pStyle w:val="Normal"/>
              <w:suppressAutoHyphens w:val="false"/>
              <w:rPr>
                <w:rFonts w:ascii="Calibri" w:hAnsi="Calibri" w:cs="Calibri"/>
                <w:sz w:val="18"/>
                <w:szCs w:val="18"/>
                <w:lang w:eastAsia="pt-BR"/>
              </w:rPr>
            </w:pPr>
            <w:r>
              <w:rPr>
                <w:rFonts w:cs="Calibri" w:ascii="Calibri" w:hAnsi="Calibri"/>
                <w:sz w:val="18"/>
                <w:szCs w:val="18"/>
                <w:lang w:eastAsia="pt-BR"/>
              </w:rPr>
              <w:t>COM CLOTIANIDINA 60 % NA DOSAGEM DE</w:t>
            </w:r>
          </w:p>
          <w:p>
            <w:pPr>
              <w:pStyle w:val="Normal"/>
              <w:suppressAutoHyphens w:val="false"/>
              <w:rPr>
                <w:rFonts w:ascii="Calibri" w:hAnsi="Calibri" w:cs="Calibri"/>
                <w:sz w:val="18"/>
                <w:szCs w:val="18"/>
                <w:lang w:eastAsia="pt-BR"/>
              </w:rPr>
            </w:pPr>
            <w:r>
              <w:rPr>
                <w:rFonts w:cs="Calibri" w:ascii="Calibri" w:hAnsi="Calibri"/>
                <w:sz w:val="18"/>
                <w:szCs w:val="18"/>
                <w:lang w:eastAsia="pt-BR"/>
              </w:rPr>
              <w:t>350 ML/100 KG DE SEMENTES, APLICAÇÃO</w:t>
            </w:r>
          </w:p>
          <w:p>
            <w:pPr>
              <w:pStyle w:val="Normal"/>
              <w:spacing w:before="120" w:after="0"/>
              <w:contextualSpacing/>
              <w:jc w:val="both"/>
              <w:rPr>
                <w:rFonts w:ascii="Calibri" w:hAnsi="Calibri" w:cs="Calibri"/>
                <w:sz w:val="18"/>
                <w:szCs w:val="18"/>
                <w:lang w:eastAsia="pt-BR"/>
              </w:rPr>
            </w:pPr>
            <w:r>
              <w:rPr>
                <w:rFonts w:cs="Calibri" w:ascii="Calibri" w:hAnsi="Calibri"/>
                <w:sz w:val="18"/>
                <w:szCs w:val="18"/>
                <w:lang w:eastAsia="pt-BR"/>
              </w:rPr>
              <w:t>PLANTAÇÃO AGRÍCOLA. SACO COM 20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53</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R$ 696,53</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R$ 36.916,09</w:t>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05</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20</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SEMENTE, TIPO GRAMÍNEA, ESPÉCIE MILHO HÍBRIDO, CLASSIFICAÇÃO LG 6030 OU COM RECOMENDAÇÃO EDAFOCLIMÁTICA, ALTURA E CICLO SIMILAR, GERMINAÇÃO 90 %, PUREZA</w:t>
            </w:r>
          </w:p>
          <w:p>
            <w:pPr>
              <w:pStyle w:val="Normal"/>
              <w:suppressAutoHyphens w:val="false"/>
              <w:rPr>
                <w:rFonts w:ascii="Calibri" w:hAnsi="Calibri" w:cs="Calibri"/>
                <w:sz w:val="18"/>
                <w:szCs w:val="18"/>
                <w:lang w:eastAsia="pt-BR"/>
              </w:rPr>
            </w:pPr>
            <w:r>
              <w:rPr>
                <w:rFonts w:cs="Calibri" w:ascii="Calibri" w:hAnsi="Calibri"/>
                <w:sz w:val="18"/>
                <w:szCs w:val="18"/>
                <w:lang w:eastAsia="pt-BR"/>
              </w:rPr>
              <w:t>98 %, DUPLA APTIDÃO GRÃO E SILAGEM,</w:t>
            </w:r>
          </w:p>
          <w:p>
            <w:pPr>
              <w:pStyle w:val="Normal"/>
              <w:suppressAutoHyphens w:val="false"/>
              <w:rPr>
                <w:rFonts w:ascii="Calibri" w:hAnsi="Calibri" w:cs="Calibri"/>
                <w:sz w:val="18"/>
                <w:szCs w:val="18"/>
                <w:lang w:eastAsia="pt-BR"/>
              </w:rPr>
            </w:pPr>
            <w:r>
              <w:rPr>
                <w:rFonts w:cs="Calibri" w:ascii="Calibri" w:hAnsi="Calibri"/>
                <w:sz w:val="18"/>
                <w:szCs w:val="18"/>
                <w:lang w:eastAsia="pt-BR"/>
              </w:rPr>
              <w:t>CERTIFICADA, APLICAÇÃO PLANTAÇÃO AGRÍCOLA. SACO COM 20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07</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R$ 290,00</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R$ 2.030,00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03</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21</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SEMENTE, TIPO GRANÍFERO/FORRAGEIRO,</w:t>
            </w:r>
          </w:p>
          <w:p>
            <w:pPr>
              <w:pStyle w:val="Normal"/>
              <w:suppressAutoHyphens w:val="false"/>
              <w:rPr>
                <w:rFonts w:ascii="Calibri" w:hAnsi="Calibri" w:cs="Calibri"/>
                <w:sz w:val="18"/>
                <w:szCs w:val="18"/>
                <w:lang w:eastAsia="pt-BR"/>
              </w:rPr>
            </w:pPr>
            <w:r>
              <w:rPr>
                <w:rFonts w:cs="Calibri" w:ascii="Calibri" w:hAnsi="Calibri"/>
                <w:sz w:val="18"/>
                <w:szCs w:val="18"/>
                <w:lang w:eastAsia="pt-BR"/>
              </w:rPr>
              <w:t>ESPÉCIE SORGO HÍBRIDO, CLASSIFICAÇÃO VOLUMAX / AG 2005E. SACO COM 10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SACO</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06</w:t>
            </w:r>
          </w:p>
        </w:tc>
        <w:tc>
          <w:tcPr>
            <w:tcW w:w="1134" w:type="dxa"/>
            <w:tcBorders/>
            <w:shd w:fill="auto" w:val="clear"/>
            <w:tcMar>
              <w:left w:w="108" w:type="dxa"/>
            </w:tcMar>
          </w:tcPr>
          <w:p>
            <w:pPr>
              <w:pStyle w:val="Normal"/>
              <w:tabs>
                <w:tab w:val="left" w:pos="825" w:leader="none"/>
              </w:tabs>
              <w:jc w:val="center"/>
              <w:rPr>
                <w:rFonts w:ascii="Calibri" w:hAnsi="Calibri" w:cs="Calibri"/>
                <w:sz w:val="18"/>
                <w:szCs w:val="18"/>
                <w:lang w:eastAsia="pt-BR"/>
              </w:rPr>
            </w:pPr>
            <w:r>
              <w:rPr>
                <w:rFonts w:cs="Calibri" w:ascii="Calibri" w:hAnsi="Calibri"/>
                <w:sz w:val="18"/>
                <w:szCs w:val="18"/>
                <w:lang w:eastAsia="pt-BR"/>
              </w:rPr>
            </w:r>
          </w:p>
          <w:p>
            <w:pPr>
              <w:pStyle w:val="Normal"/>
              <w:tabs>
                <w:tab w:val="left" w:pos="825" w:leader="none"/>
              </w:tabs>
              <w:jc w:val="center"/>
              <w:rPr>
                <w:rFonts w:ascii="Calibri" w:hAnsi="Calibri" w:cs="Calibri"/>
                <w:sz w:val="18"/>
                <w:szCs w:val="18"/>
                <w:lang w:eastAsia="pt-BR"/>
              </w:rPr>
            </w:pPr>
            <w:r>
              <w:rPr>
                <w:rFonts w:cs="Calibri" w:ascii="Calibri" w:hAnsi="Calibri"/>
                <w:sz w:val="18"/>
                <w:szCs w:val="18"/>
                <w:lang w:eastAsia="pt-BR"/>
              </w:rPr>
              <w:t>R$ 206,56</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R$ 1.239,36</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03</w:t>
            </w:r>
          </w:p>
        </w:tc>
      </w:tr>
      <w:tr>
        <w:trPr/>
        <w:tc>
          <w:tcPr>
            <w:tcW w:w="675" w:type="dxa"/>
            <w:tcBorders/>
            <w:shd w:fill="auto" w:val="clear"/>
            <w:tcMar>
              <w:left w:w="108" w:type="dxa"/>
            </w:tcMar>
          </w:tcPr>
          <w:p>
            <w:pPr>
              <w:pStyle w:val="Normal"/>
              <w:spacing w:before="120" w:after="0"/>
              <w:contextualSpacing/>
              <w:jc w:val="center"/>
              <w:rPr>
                <w:rFonts w:ascii="Calibri" w:hAnsi="Calibri" w:cs="Calibri"/>
                <w:color w:val="00000A"/>
                <w:sz w:val="18"/>
                <w:szCs w:val="18"/>
                <w:lang w:eastAsia="pt-BR"/>
              </w:rPr>
            </w:pPr>
            <w:r>
              <w:rPr>
                <w:rFonts w:cs="Calibri" w:ascii="Calibri" w:hAnsi="Calibri"/>
                <w:color w:val="00000A"/>
                <w:sz w:val="18"/>
                <w:szCs w:val="18"/>
                <w:lang w:eastAsia="pt-BR"/>
              </w:rPr>
            </w:r>
          </w:p>
          <w:p>
            <w:pPr>
              <w:pStyle w:val="Normal"/>
              <w:spacing w:before="120" w:after="0"/>
              <w:contextualSpacing/>
              <w:jc w:val="center"/>
              <w:rPr>
                <w:b/>
                <w:b/>
                <w:sz w:val="22"/>
                <w:szCs w:val="22"/>
              </w:rPr>
            </w:pPr>
            <w:r>
              <w:rPr>
                <w:rFonts w:cs="Calibri" w:ascii="Calibri" w:hAnsi="Calibri"/>
                <w:color w:val="00000A"/>
                <w:sz w:val="18"/>
                <w:szCs w:val="18"/>
                <w:lang w:eastAsia="pt-BR"/>
              </w:rPr>
              <w:t>22</w:t>
            </w:r>
          </w:p>
        </w:tc>
        <w:tc>
          <w:tcPr>
            <w:tcW w:w="3827" w:type="dxa"/>
            <w:tcBorders/>
            <w:shd w:fill="auto" w:val="clear"/>
            <w:tcMar>
              <w:left w:w="108" w:type="dxa"/>
            </w:tcMar>
          </w:tcPr>
          <w:p>
            <w:pPr>
              <w:pStyle w:val="Normal"/>
              <w:suppressAutoHyphens w:val="false"/>
              <w:rPr>
                <w:rFonts w:ascii="Calibri" w:hAnsi="Calibri" w:cs="Calibri"/>
                <w:sz w:val="18"/>
                <w:szCs w:val="18"/>
                <w:lang w:eastAsia="pt-BR"/>
              </w:rPr>
            </w:pPr>
            <w:r>
              <w:rPr>
                <w:rFonts w:cs="Calibri" w:ascii="Calibri" w:hAnsi="Calibri"/>
                <w:sz w:val="18"/>
                <w:szCs w:val="18"/>
                <w:lang w:eastAsia="pt-BR"/>
              </w:rPr>
              <w:t>TIAMETOXAM, CONCENTRAÇÃO 25% P/P,</w:t>
            </w:r>
          </w:p>
          <w:p>
            <w:pPr>
              <w:pStyle w:val="Normal"/>
              <w:suppressAutoHyphens w:val="false"/>
              <w:rPr>
                <w:rFonts w:ascii="Calibri" w:hAnsi="Calibri" w:cs="Calibri"/>
                <w:sz w:val="18"/>
                <w:szCs w:val="18"/>
                <w:lang w:eastAsia="pt-BR"/>
              </w:rPr>
            </w:pPr>
            <w:r>
              <w:rPr>
                <w:rFonts w:cs="Calibri" w:ascii="Calibri" w:hAnsi="Calibri"/>
                <w:sz w:val="18"/>
                <w:szCs w:val="18"/>
                <w:lang w:eastAsia="pt-BR"/>
              </w:rPr>
              <w:t>APRESENTAÇÃO GRANULADO DISPERSÍVEL,</w:t>
            </w:r>
          </w:p>
          <w:p>
            <w:pPr>
              <w:pStyle w:val="Normal"/>
              <w:suppressAutoHyphens w:val="false"/>
              <w:rPr>
                <w:rFonts w:ascii="Calibri" w:hAnsi="Calibri" w:cs="Calibri"/>
                <w:sz w:val="18"/>
                <w:szCs w:val="18"/>
                <w:lang w:eastAsia="pt-BR"/>
              </w:rPr>
            </w:pPr>
            <w:r>
              <w:rPr>
                <w:rFonts w:cs="Calibri" w:ascii="Calibri" w:hAnsi="Calibri"/>
                <w:sz w:val="18"/>
                <w:szCs w:val="18"/>
                <w:lang w:eastAsia="pt-BR"/>
              </w:rPr>
              <w:t>NÚMERO DE REFERÊNCIA QUÍMICA CAS 15319-23-4. KG</w:t>
            </w:r>
          </w:p>
        </w:tc>
        <w:tc>
          <w:tcPr>
            <w:tcW w:w="1275"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KG</w:t>
            </w:r>
          </w:p>
        </w:tc>
        <w:tc>
          <w:tcPr>
            <w:tcW w:w="567"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10</w:t>
            </w:r>
          </w:p>
        </w:tc>
        <w:tc>
          <w:tcPr>
            <w:tcW w:w="1134"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R$ 219,65</w:t>
            </w:r>
          </w:p>
        </w:tc>
        <w:tc>
          <w:tcPr>
            <w:tcW w:w="1276"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R$ 2.196,50</w:t>
            </w:r>
          </w:p>
        </w:tc>
        <w:tc>
          <w:tcPr>
            <w:tcW w:w="838" w:type="dxa"/>
            <w:tcBorders/>
            <w:shd w:fill="auto" w:val="clear"/>
            <w:tcMar>
              <w:left w:w="108" w:type="dxa"/>
            </w:tcMar>
          </w:tcPr>
          <w:p>
            <w:pPr>
              <w:pStyle w:val="Normal"/>
              <w:jc w:val="center"/>
              <w:rPr>
                <w:rFonts w:ascii="Calibri" w:hAnsi="Calibri" w:cs="Calibri"/>
                <w:sz w:val="18"/>
                <w:szCs w:val="18"/>
                <w:lang w:eastAsia="pt-BR"/>
              </w:rPr>
            </w:pPr>
            <w:r>
              <w:rPr>
                <w:rFonts w:cs="Calibri" w:ascii="Calibri" w:hAnsi="Calibri"/>
                <w:sz w:val="18"/>
                <w:szCs w:val="18"/>
                <w:lang w:eastAsia="pt-BR"/>
              </w:rPr>
            </w:r>
          </w:p>
          <w:p>
            <w:pPr>
              <w:pStyle w:val="Normal"/>
              <w:jc w:val="center"/>
              <w:rPr>
                <w:rFonts w:ascii="Calibri" w:hAnsi="Calibri" w:cs="Calibri"/>
                <w:sz w:val="18"/>
                <w:szCs w:val="18"/>
                <w:lang w:eastAsia="pt-BR"/>
              </w:rPr>
            </w:pPr>
            <w:r>
              <w:rPr>
                <w:rFonts w:cs="Calibri" w:ascii="Calibri" w:hAnsi="Calibri"/>
                <w:sz w:val="18"/>
                <w:szCs w:val="18"/>
                <w:lang w:eastAsia="pt-BR"/>
              </w:rPr>
              <w:t>03</w:t>
            </w:r>
          </w:p>
        </w:tc>
      </w:tr>
    </w:tbl>
    <w:p>
      <w:pPr>
        <w:pStyle w:val="Normal"/>
        <w:spacing w:before="120" w:after="0"/>
        <w:contextualSpacing/>
        <w:jc w:val="both"/>
        <w:rPr>
          <w:b/>
          <w:b/>
          <w:sz w:val="22"/>
          <w:szCs w:val="22"/>
        </w:rPr>
      </w:pPr>
      <w:r>
        <w:rPr>
          <w:b/>
          <w:sz w:val="22"/>
          <w:szCs w:val="22"/>
        </w:rPr>
      </w:r>
    </w:p>
    <w:p>
      <w:pPr>
        <w:pStyle w:val="Normal"/>
        <w:spacing w:before="120" w:after="0"/>
        <w:contextualSpacing/>
        <w:jc w:val="both"/>
        <w:rPr>
          <w:b/>
          <w:b/>
          <w:sz w:val="22"/>
          <w:szCs w:val="22"/>
        </w:rPr>
      </w:pPr>
      <w:r>
        <w:rPr>
          <w:b/>
          <w:sz w:val="22"/>
          <w:szCs w:val="22"/>
        </w:rPr>
        <w:t>II – JUSTIFICATIVA</w:t>
      </w:r>
    </w:p>
    <w:p>
      <w:pPr>
        <w:pStyle w:val="Normal"/>
        <w:spacing w:before="120" w:after="0"/>
        <w:contextualSpacing/>
        <w:jc w:val="both"/>
        <w:rPr>
          <w:b/>
          <w:b/>
          <w:sz w:val="22"/>
          <w:szCs w:val="22"/>
        </w:rPr>
      </w:pPr>
      <w:r>
        <w:rPr>
          <w:b/>
          <w:sz w:val="22"/>
          <w:szCs w:val="22"/>
        </w:rPr>
      </w:r>
    </w:p>
    <w:p>
      <w:pPr>
        <w:pStyle w:val="Normal"/>
        <w:suppressAutoHyphens w:val="false"/>
        <w:rPr>
          <w:rFonts w:ascii="TimesNewRomanPSMT" w:hAnsi="TimesNewRomanPSMT" w:cs="TimesNewRomanPSMT"/>
          <w:lang w:eastAsia="pt-BR"/>
        </w:rPr>
      </w:pPr>
      <w:r>
        <w:rPr>
          <w:rFonts w:cs="TimesNewRomanPS-BoldMT" w:ascii="TimesNewRomanPS-BoldMT" w:hAnsi="TimesNewRomanPS-BoldMT"/>
          <w:b/>
          <w:bCs/>
          <w:lang w:eastAsia="pt-BR"/>
        </w:rPr>
        <w:t xml:space="preserve">2.1 – </w:t>
      </w:r>
      <w:r>
        <w:rPr>
          <w:rFonts w:cs="TimesNewRomanPSMT" w:ascii="TimesNewRomanPSMT" w:hAnsi="TimesNewRomanPSMT"/>
          <w:lang w:eastAsia="pt-BR"/>
        </w:rPr>
        <w:t>A aquisição dos bens elencados neste instrumento é fundamental para a realização</w:t>
      </w:r>
    </w:p>
    <w:p>
      <w:pPr>
        <w:pStyle w:val="Normal"/>
        <w:suppressAutoHyphens w:val="false"/>
        <w:rPr>
          <w:rFonts w:ascii="TimesNewRomanPSMT" w:hAnsi="TimesNewRomanPSMT" w:cs="TimesNewRomanPSMT"/>
          <w:lang w:eastAsia="pt-BR"/>
        </w:rPr>
      </w:pPr>
      <w:r>
        <w:rPr>
          <w:rFonts w:cs="TimesNewRomanPSMT" w:ascii="TimesNewRomanPSMT" w:hAnsi="TimesNewRomanPSMT"/>
          <w:lang w:eastAsia="pt-BR"/>
        </w:rPr>
        <w:t>das atividades agropecuárias que permitirão a manutenção dos setores demonstrativos,</w:t>
      </w:r>
    </w:p>
    <w:p>
      <w:pPr>
        <w:pStyle w:val="Normal"/>
        <w:suppressAutoHyphens w:val="false"/>
        <w:rPr>
          <w:rFonts w:ascii="TimesNewRomanPSMT" w:hAnsi="TimesNewRomanPSMT" w:cs="TimesNewRomanPSMT"/>
          <w:lang w:eastAsia="pt-BR"/>
        </w:rPr>
      </w:pPr>
      <w:r>
        <w:rPr>
          <w:rFonts w:cs="TimesNewRomanPSMT" w:ascii="TimesNewRomanPSMT" w:hAnsi="TimesNewRomanPSMT"/>
          <w:lang w:eastAsia="pt-BR"/>
        </w:rPr>
        <w:t>de pesquisa e de produção das fazendas, além de assegurar a execução das atividades</w:t>
      </w:r>
    </w:p>
    <w:p>
      <w:pPr>
        <w:pStyle w:val="Normal"/>
        <w:suppressAutoHyphens w:val="false"/>
        <w:rPr>
          <w:rFonts w:ascii="TimesNewRomanPSMT" w:hAnsi="TimesNewRomanPSMT" w:cs="TimesNewRomanPSMT"/>
          <w:lang w:eastAsia="pt-BR"/>
        </w:rPr>
      </w:pPr>
      <w:r>
        <w:rPr>
          <w:rFonts w:cs="TimesNewRomanPSMT" w:ascii="TimesNewRomanPSMT" w:hAnsi="TimesNewRomanPSMT"/>
          <w:lang w:eastAsia="pt-BR"/>
        </w:rPr>
        <w:t>rotineiras, visando consequentemente oferecer suporte para o bom andamento dos</w:t>
      </w:r>
    </w:p>
    <w:p>
      <w:pPr>
        <w:pStyle w:val="Normal"/>
        <w:spacing w:before="120" w:after="0"/>
        <w:contextualSpacing/>
        <w:jc w:val="both"/>
        <w:rPr>
          <w:rFonts w:ascii="TimesNewRomanPSMT" w:hAnsi="TimesNewRomanPSMT" w:cs="TimesNewRomanPSMT"/>
          <w:lang w:eastAsia="pt-BR"/>
        </w:rPr>
      </w:pPr>
      <w:r>
        <w:rPr>
          <w:rFonts w:cs="TimesNewRomanPSMT" w:ascii="TimesNewRomanPSMT" w:hAnsi="TimesNewRomanPSMT"/>
          <w:lang w:eastAsia="pt-BR"/>
        </w:rPr>
        <w:t>trabalhos nos locais.</w:t>
      </w:r>
    </w:p>
    <w:p>
      <w:pPr>
        <w:pStyle w:val="Normal"/>
        <w:spacing w:before="120" w:after="0"/>
        <w:contextualSpacing/>
        <w:jc w:val="both"/>
        <w:rPr>
          <w:rFonts w:ascii="TimesNewRomanPSMT" w:hAnsi="TimesNewRomanPSMT" w:cs="TimesNewRomanPSMT"/>
          <w:lang w:eastAsia="pt-BR"/>
        </w:rPr>
      </w:pPr>
      <w:r>
        <w:rPr>
          <w:rFonts w:cs="TimesNewRomanPSMT" w:ascii="TimesNewRomanPSMT" w:hAnsi="TimesNewRomanPSMT"/>
          <w:lang w:eastAsia="pt-BR"/>
        </w:rPr>
      </w:r>
    </w:p>
    <w:p>
      <w:pPr>
        <w:pStyle w:val="Normal"/>
        <w:spacing w:before="120" w:after="0"/>
        <w:contextualSpacing/>
        <w:jc w:val="both"/>
        <w:rPr>
          <w:b/>
          <w:b/>
          <w:sz w:val="22"/>
          <w:szCs w:val="22"/>
        </w:rPr>
      </w:pPr>
      <w:r>
        <w:rPr>
          <w:b/>
          <w:sz w:val="22"/>
          <w:szCs w:val="22"/>
        </w:rPr>
        <w:t>III – CLASSIFICAÇÃO DOS BENS COMUNS</w:t>
      </w:r>
    </w:p>
    <w:p>
      <w:pPr>
        <w:pStyle w:val="Normal"/>
        <w:suppressAutoHyphens w:val="false"/>
        <w:spacing w:before="120" w:after="0"/>
        <w:jc w:val="both"/>
        <w:rPr>
          <w:sz w:val="22"/>
          <w:szCs w:val="22"/>
          <w:lang w:eastAsia="ar-SA"/>
        </w:rPr>
      </w:pPr>
      <w:r>
        <w:rPr>
          <w:b/>
          <w:sz w:val="22"/>
          <w:szCs w:val="22"/>
          <w:lang w:eastAsia="ar-SA"/>
        </w:rPr>
        <w:t>3.1</w:t>
      </w:r>
      <w:r>
        <w:rPr>
          <w:sz w:val="22"/>
          <w:szCs w:val="22"/>
          <w:lang w:eastAsia="ar-SA"/>
        </w:rPr>
        <w:t xml:space="preserve"> Os bens a serem adquiridos enquadram-se na classificação de bens comuns, nos termos da Lei n° 10.520, de 2002, do Decreto n° 3.555, de 2000, e do Decreto 5.450, de 2005.</w:t>
      </w:r>
    </w:p>
    <w:p>
      <w:pPr>
        <w:pStyle w:val="Normal"/>
        <w:suppressAutoHyphens w:val="false"/>
        <w:spacing w:before="120" w:after="0"/>
        <w:jc w:val="both"/>
        <w:rPr/>
      </w:pPr>
      <w:r>
        <w:rPr/>
      </w:r>
    </w:p>
    <w:p>
      <w:pPr>
        <w:pStyle w:val="Normal"/>
        <w:suppressAutoHyphens w:val="false"/>
        <w:spacing w:before="120" w:after="0"/>
        <w:jc w:val="both"/>
        <w:rPr/>
      </w:pPr>
      <w:r>
        <w:rPr>
          <w:b/>
          <w:sz w:val="22"/>
          <w:szCs w:val="22"/>
          <w:lang w:eastAsia="ar-SA"/>
        </w:rPr>
        <w:t xml:space="preserve">3.2 </w:t>
      </w:r>
      <w:r>
        <w:rPr>
          <w:sz w:val="22"/>
          <w:szCs w:val="22"/>
          <w:lang w:eastAsia="ar-SA"/>
        </w:rPr>
        <w:t>A presente aquisição está embasada nos incisos I e IV do art. 3º do Decreto 7.892/2013:</w:t>
      </w:r>
    </w:p>
    <w:p>
      <w:pPr>
        <w:pStyle w:val="Corpodetexto"/>
        <w:ind w:left="1985" w:hanging="0"/>
        <w:jc w:val="both"/>
        <w:rPr/>
      </w:pPr>
      <w:r>
        <w:rPr>
          <w:color w:val="000000"/>
          <w:sz w:val="22"/>
          <w:szCs w:val="22"/>
        </w:rPr>
        <w:t>Art. 3</w:t>
      </w:r>
      <w:r>
        <w:rPr>
          <w:strike/>
          <w:color w:val="000000"/>
          <w:sz w:val="22"/>
          <w:szCs w:val="22"/>
        </w:rPr>
        <w:t>º</w:t>
      </w:r>
      <w:r>
        <w:rPr>
          <w:color w:val="000000"/>
          <w:sz w:val="22"/>
          <w:szCs w:val="22"/>
        </w:rPr>
        <w:t xml:space="preserve"> O Sistema de Registro de Preços poderá ser adotado nas seguintes hipóteses:</w:t>
      </w:r>
    </w:p>
    <w:p>
      <w:pPr>
        <w:pStyle w:val="Corpodetexto"/>
        <w:ind w:left="1985" w:hanging="0"/>
        <w:jc w:val="both"/>
        <w:rPr/>
      </w:pPr>
      <w:r>
        <w:rPr>
          <w:color w:val="000000"/>
          <w:sz w:val="22"/>
          <w:szCs w:val="22"/>
        </w:rPr>
        <w:t xml:space="preserve">I - </w:t>
      </w:r>
      <w:r>
        <w:rPr>
          <w:b/>
          <w:color w:val="000000"/>
          <w:sz w:val="22"/>
          <w:szCs w:val="22"/>
        </w:rPr>
        <w:t>quando, pelas características do bem ou serviço, houver necessidade de contratações frequentes;</w:t>
      </w:r>
    </w:p>
    <w:p>
      <w:pPr>
        <w:pStyle w:val="Corpodetexto"/>
        <w:ind w:left="1985" w:hanging="0"/>
        <w:jc w:val="both"/>
        <w:rPr/>
      </w:pPr>
      <w:r>
        <w:rPr>
          <w:color w:val="000000"/>
          <w:sz w:val="22"/>
          <w:szCs w:val="22"/>
        </w:rPr>
        <w:t>II - quando for conveniente a aquisição de bens com previsão de entregas parceladas ou contratação de serviços remunerados por unidade de medida ou em regime de tarefa;</w:t>
      </w:r>
    </w:p>
    <w:p>
      <w:pPr>
        <w:pStyle w:val="Corpodetexto"/>
        <w:ind w:left="1985" w:hanging="0"/>
        <w:jc w:val="both"/>
        <w:rPr/>
      </w:pPr>
      <w:r>
        <w:rPr>
          <w:color w:val="000000"/>
          <w:sz w:val="22"/>
          <w:szCs w:val="22"/>
        </w:rPr>
        <w:t>III - quando for conveniente a aquisição de bens ou a contratação de serviços para atendimento a mais de um órgão ou entidade, ou a programas de governo; ou</w:t>
      </w:r>
    </w:p>
    <w:p>
      <w:pPr>
        <w:pStyle w:val="Corpodetexto"/>
        <w:spacing w:before="0" w:after="0"/>
        <w:ind w:left="1985" w:hanging="0"/>
        <w:jc w:val="both"/>
        <w:rPr/>
      </w:pPr>
      <w:r>
        <w:rPr>
          <w:color w:val="000000"/>
          <w:sz w:val="22"/>
          <w:szCs w:val="22"/>
        </w:rPr>
        <w:t xml:space="preserve">IV - </w:t>
      </w:r>
      <w:r>
        <w:rPr>
          <w:b/>
          <w:color w:val="000000"/>
          <w:sz w:val="22"/>
          <w:szCs w:val="22"/>
        </w:rPr>
        <w:t>quando, pela natureza do objeto, não for possível definir previamente o quantitativo a ser demandado pela Administração.</w:t>
      </w:r>
    </w:p>
    <w:p>
      <w:pPr>
        <w:pStyle w:val="Corpodetexto"/>
        <w:spacing w:before="0" w:after="0"/>
        <w:ind w:left="1985" w:hanging="0"/>
        <w:jc w:val="both"/>
        <w:rPr>
          <w:b/>
          <w:b/>
          <w:color w:val="000000"/>
          <w:sz w:val="22"/>
          <w:szCs w:val="22"/>
        </w:rPr>
      </w:pPr>
      <w:r>
        <w:rPr>
          <w:b/>
          <w:color w:val="000000"/>
          <w:sz w:val="22"/>
          <w:szCs w:val="22"/>
        </w:rPr>
      </w:r>
    </w:p>
    <w:p>
      <w:pPr>
        <w:pStyle w:val="Normal"/>
        <w:suppressAutoHyphens w:val="false"/>
        <w:spacing w:before="120" w:after="0"/>
        <w:rPr/>
      </w:pPr>
      <w:r>
        <w:rPr>
          <w:b/>
          <w:sz w:val="22"/>
          <w:szCs w:val="22"/>
        </w:rPr>
        <w:t>IV - ENTREGA E CRITÉRIOS DE ACEITAÇÃO DO OBJETO</w:t>
        <w:br/>
      </w:r>
      <w:r>
        <w:rPr>
          <w:rFonts w:cs="TimesNewRomanPS-BoldMT" w:ascii="TimesNewRomanPS-BoldMT" w:hAnsi="TimesNewRomanPS-BoldMT"/>
          <w:b/>
          <w:bCs/>
          <w:lang w:eastAsia="pt-BR"/>
        </w:rPr>
        <w:t xml:space="preserve">4.1 – </w:t>
      </w:r>
      <w:r>
        <w:rPr>
          <w:rFonts w:cs="TimesNewRomanPSMT" w:ascii="TimesNewRomanPSMT" w:hAnsi="TimesNewRomanPSMT"/>
          <w:lang w:eastAsia="pt-BR"/>
        </w:rPr>
        <w:t>O prazo de entrega dos materiais se efetuará em até 30 (trinta) dias corridos para</w:t>
      </w:r>
    </w:p>
    <w:p>
      <w:pPr>
        <w:pStyle w:val="Normal"/>
        <w:suppressAutoHyphens w:val="false"/>
        <w:rPr>
          <w:rFonts w:ascii="TimesNewRomanPSMT" w:hAnsi="TimesNewRomanPSMT" w:cs="TimesNewRomanPSMT"/>
          <w:lang w:eastAsia="pt-BR"/>
        </w:rPr>
      </w:pPr>
      <w:r>
        <w:rPr>
          <w:rFonts w:cs="TimesNewRomanPSMT" w:ascii="TimesNewRomanPSMT" w:hAnsi="TimesNewRomanPSMT"/>
          <w:lang w:eastAsia="pt-BR"/>
        </w:rPr>
        <w:t>produtos nacionais e no máximo 60 dias corridos para produtos importados, a partir do</w:t>
      </w:r>
    </w:p>
    <w:p>
      <w:pPr>
        <w:pStyle w:val="Normal"/>
        <w:suppressAutoHyphens w:val="false"/>
        <w:rPr>
          <w:rFonts w:cs="Arial"/>
          <w:iCs/>
          <w:color w:val="000000"/>
          <w:sz w:val="22"/>
          <w:szCs w:val="22"/>
        </w:rPr>
      </w:pPr>
      <w:r>
        <w:rPr>
          <w:rFonts w:cs="TimesNewRomanPSMT" w:ascii="TimesNewRomanPSMT" w:hAnsi="TimesNewRomanPSMT"/>
          <w:lang w:eastAsia="pt-BR"/>
        </w:rPr>
        <w:t>envio da Nota de Empenho ao Licitante, via e-mail, em remessa única, nos seguinte endereço</w:t>
      </w:r>
      <w:r>
        <w:rPr>
          <w:rFonts w:cs="Arial"/>
          <w:iCs/>
          <w:color w:val="000000"/>
          <w:sz w:val="22"/>
          <w:szCs w:val="22"/>
        </w:rPr>
        <w:t>:</w:t>
      </w:r>
    </w:p>
    <w:p>
      <w:pPr>
        <w:pStyle w:val="Normal"/>
        <w:suppressAutoHyphens w:val="false"/>
        <w:rPr>
          <w:rFonts w:cs="Arial"/>
          <w:iCs/>
          <w:color w:val="000000"/>
          <w:sz w:val="22"/>
          <w:szCs w:val="22"/>
        </w:rPr>
      </w:pPr>
      <w:r>
        <w:rPr>
          <w:rFonts w:cs="Arial"/>
          <w:iCs/>
          <w:color w:val="000000"/>
          <w:sz w:val="22"/>
          <w:szCs w:val="22"/>
        </w:rPr>
      </w:r>
    </w:p>
    <w:p>
      <w:pPr>
        <w:pStyle w:val="Normal"/>
        <w:suppressAutoHyphens w:val="false"/>
        <w:rPr>
          <w:rFonts w:ascii="TimesNewRomanPS-ItalicMT" w:hAnsi="TimesNewRomanPS-ItalicMT" w:cs="TimesNewRomanPS-ItalicMT"/>
          <w:i/>
          <w:i/>
          <w:iCs/>
          <w:lang w:eastAsia="pt-BR" w:bidi="he-IL"/>
        </w:rPr>
      </w:pPr>
      <w:r>
        <w:rPr>
          <w:rFonts w:cs="TimesNewRomanPSMT" w:ascii="TimesNewRomanPSMT" w:hAnsi="TimesNewRomanPSMT"/>
          <w:lang w:eastAsia="pt-BR"/>
        </w:rPr>
        <w:t xml:space="preserve">a) </w:t>
      </w:r>
      <w:r>
        <w:rPr>
          <w:rFonts w:cs="TimesNewRomanPS-ItalicMT" w:ascii="TimesNewRomanPS-ItalicMT" w:hAnsi="TimesNewRomanPS-ItalicMT"/>
          <w:i/>
          <w:iCs/>
          <w:lang w:eastAsia="pt-BR" w:bidi="he-IL"/>
        </w:rPr>
        <w:t>Fazenda Experimental do Moura, situada na Rodovia MGT 421 S/N, Sentido Curvelo</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 xml:space="preserve">– </w:t>
      </w:r>
      <w:r>
        <w:rPr>
          <w:rFonts w:cs="TimesNewRomanPS-ItalicMT" w:ascii="TimesNewRomanPS-ItalicMT" w:hAnsi="TimesNewRomanPS-ItalicMT"/>
          <w:i/>
          <w:iCs/>
          <w:lang w:eastAsia="pt-BR" w:bidi="he-IL"/>
        </w:rPr>
        <w:t>Cordisburgo. CEP: 35790-000 – Curvelo / MG, das 8h às 11h30 e das 13h às 16h30</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horas, em dias úteis.</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br/>
        <w:t>b) Divisão de Materiais da Universidade Federal dos Vales do Jequitinhonha e Mucuri</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 xml:space="preserve">– </w:t>
      </w:r>
      <w:r>
        <w:rPr>
          <w:rFonts w:cs="TimesNewRomanPS-ItalicMT" w:ascii="TimesNewRomanPS-ItalicMT" w:hAnsi="TimesNewRomanPS-ItalicMT"/>
          <w:i/>
          <w:iCs/>
          <w:lang w:eastAsia="pt-BR" w:bidi="he-IL"/>
        </w:rPr>
        <w:t>UFVJM, Campus JK, situado na Rodovia MGT 367, KM 583 nº 5000 Alto da Jacuba,</w:t>
      </w:r>
    </w:p>
    <w:p>
      <w:pPr>
        <w:pStyle w:val="Normal"/>
        <w:tabs>
          <w:tab w:val="left" w:pos="900" w:leader="none"/>
        </w:tabs>
        <w:spacing w:before="120" w:after="0"/>
        <w:ind w:left="360" w:hanging="0"/>
        <w:jc w:val="both"/>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Diamantina/MG, 39100-000, das 8h às 11h30 e das 13h às 16h30 horas, em dias úteis.</w:t>
      </w:r>
    </w:p>
    <w:p>
      <w:pPr>
        <w:pStyle w:val="Normal"/>
        <w:tabs>
          <w:tab w:val="left" w:pos="900" w:leader="none"/>
        </w:tabs>
        <w:spacing w:before="120" w:after="0"/>
        <w:ind w:left="360" w:hanging="0"/>
        <w:jc w:val="both"/>
        <w:rPr>
          <w:sz w:val="22"/>
          <w:szCs w:val="22"/>
          <w:lang w:eastAsia="pt-BR"/>
        </w:rPr>
      </w:pPr>
      <w:r>
        <w:rPr>
          <w:sz w:val="22"/>
          <w:szCs w:val="22"/>
          <w:lang w:eastAsia="pt-BR"/>
        </w:rPr>
      </w:r>
    </w:p>
    <w:p>
      <w:pPr>
        <w:pStyle w:val="Normal"/>
        <w:suppressAutoHyphens w:val="false"/>
        <w:jc w:val="both"/>
        <w:rPr/>
      </w:pPr>
      <w:r>
        <w:rPr>
          <w:rFonts w:cs="Calibri"/>
          <w:b/>
          <w:bCs/>
          <w:sz w:val="22"/>
          <w:szCs w:val="22"/>
        </w:rPr>
        <w:t xml:space="preserve">4.2 </w:t>
      </w:r>
      <w:r>
        <w:rPr>
          <w:rFonts w:cs="Arial"/>
          <w:color w:val="000000"/>
          <w:sz w:val="22"/>
          <w:szCs w:val="22"/>
        </w:rPr>
        <w:t xml:space="preserve">Os bens serão recebidos provisoriamente no prazo de 30 (trinta) dias, pelo(a) </w:t>
      </w:r>
      <w:r>
        <w:rPr>
          <w:rFonts w:cs="Arial"/>
          <w:iCs/>
          <w:color w:val="000000"/>
          <w:sz w:val="22"/>
          <w:szCs w:val="22"/>
        </w:rPr>
        <w:t>responsável</w:t>
      </w:r>
      <w:r>
        <w:rPr>
          <w:rFonts w:cs="Arial"/>
          <w:color w:val="000000"/>
          <w:sz w:val="22"/>
          <w:szCs w:val="22"/>
        </w:rPr>
        <w:t xml:space="preserve"> pelo acompanhamento e fiscalização do contrato, para efeito de posterior verificação de sua conformidade com as especificações constantes neste Termo de Referência e na proposta.</w:t>
      </w:r>
    </w:p>
    <w:p>
      <w:pPr>
        <w:pStyle w:val="Normal"/>
        <w:suppressAutoHyphens w:val="false"/>
        <w:jc w:val="both"/>
        <w:rPr>
          <w:sz w:val="22"/>
          <w:szCs w:val="22"/>
        </w:rPr>
      </w:pPr>
      <w:r>
        <w:rPr>
          <w:sz w:val="22"/>
          <w:szCs w:val="22"/>
        </w:rPr>
      </w:r>
    </w:p>
    <w:p>
      <w:pPr>
        <w:pStyle w:val="Normal"/>
        <w:suppressAutoHyphens w:val="false"/>
        <w:jc w:val="both"/>
        <w:rPr/>
      </w:pPr>
      <w:r>
        <w:rPr>
          <w:rFonts w:cs="Arial"/>
          <w:b/>
          <w:bCs/>
          <w:color w:val="000000"/>
          <w:sz w:val="22"/>
          <w:szCs w:val="22"/>
        </w:rPr>
        <w:t>4.3</w:t>
      </w:r>
      <w:r>
        <w:rPr>
          <w:rFonts w:cs="Arial"/>
          <w:color w:val="000000"/>
          <w:sz w:val="22"/>
          <w:szCs w:val="22"/>
        </w:rPr>
        <w:t xml:space="preserve"> </w:t>
      </w:r>
      <w:r>
        <w:rPr>
          <w:rFonts w:cs="Calibri"/>
          <w:color w:val="000000"/>
          <w:sz w:val="22"/>
          <w:szCs w:val="22"/>
        </w:rPr>
        <w:t xml:space="preserve">Os materiais serão recebidos </w:t>
      </w:r>
      <w:r>
        <w:rPr>
          <w:rFonts w:cs="Calibri"/>
          <w:b/>
          <w:bCs/>
          <w:color w:val="000000"/>
          <w:sz w:val="22"/>
          <w:szCs w:val="22"/>
        </w:rPr>
        <w:t>provisoriamente</w:t>
      </w:r>
      <w:r>
        <w:rPr>
          <w:rFonts w:cs="Calibri"/>
          <w:color w:val="000000"/>
          <w:sz w:val="22"/>
          <w:szCs w:val="22"/>
        </w:rPr>
        <w:t>, para efeito de posterior verificação da conformidade do material com a especificação, mediante recibo no documento Fiscal, no momento da entrega da mercadoria, desde que:</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4.3.1. estejam compatível com esta licitação e não exista a cobrança de frete;</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4.3.2. estejam os produtos embalados de acordo com a nota fiscal/empenho, não</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enviando materiais/produtos de notas fiscais/empenhos diferentes numa mesma</w:t>
      </w:r>
    </w:p>
    <w:p>
      <w:pPr>
        <w:pStyle w:val="Corpodetexto"/>
        <w:tabs>
          <w:tab w:val="left" w:pos="993" w:leader="none"/>
        </w:tabs>
        <w:suppressAutoHyphens w:val="false"/>
        <w:spacing w:before="0" w:after="0"/>
        <w:jc w:val="both"/>
        <w:rPr/>
      </w:pPr>
      <w:r>
        <w:rPr>
          <w:rFonts w:cs="TimesNewRomanPS-ItalicMT" w:ascii="TimesNewRomanPS-ItalicMT" w:hAnsi="TimesNewRomanPS-ItalicMT"/>
          <w:i/>
          <w:iCs/>
          <w:lang w:eastAsia="pt-BR" w:bidi="he-IL"/>
        </w:rPr>
        <w:t>embalagem;</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4.3.3. não apresentem avaria ou adulteração;</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4.3.4. seja o material da mesma marca e oferecida na proposta inicial, possua as</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mesmas características da amostra enviada, sob pena de devolução;</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4.3.5. sejam entregue em embalagem original, contendo a data e número do lote de</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fabricação, informando, inclusive, seu prazo de validade;</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4.3.6. estejam identificados quanto ao número da licitação, nome da Empresa, número</w:t>
      </w:r>
    </w:p>
    <w:p>
      <w:pPr>
        <w:pStyle w:val="Normal"/>
        <w:suppressAutoHyphens w:val="false"/>
        <w:jc w:val="both"/>
        <w:rPr/>
      </w:pPr>
      <w:r>
        <w:rPr>
          <w:rFonts w:cs="TimesNewRomanPS-ItalicMT" w:ascii="TimesNewRomanPS-ItalicMT" w:hAnsi="TimesNewRomanPS-ItalicMT"/>
          <w:i/>
          <w:iCs/>
          <w:lang w:eastAsia="pt-BR" w:bidi="he-IL"/>
        </w:rPr>
        <w:t>do item a que se refere e outras informações de acordo com a legislação pertinente.</w:t>
      </w:r>
    </w:p>
    <w:p>
      <w:pPr>
        <w:pStyle w:val="Normal"/>
        <w:suppressAutoHyphens w:val="false"/>
        <w:jc w:val="both"/>
        <w:rPr>
          <w:sz w:val="22"/>
          <w:szCs w:val="22"/>
        </w:rPr>
      </w:pPr>
      <w:r>
        <w:rPr>
          <w:sz w:val="22"/>
          <w:szCs w:val="22"/>
        </w:rPr>
      </w:r>
    </w:p>
    <w:p>
      <w:pPr>
        <w:pStyle w:val="Normal"/>
        <w:suppressAutoHyphens w:val="false"/>
        <w:jc w:val="both"/>
        <w:rPr/>
      </w:pPr>
      <w:r>
        <w:rPr>
          <w:rFonts w:cs="Arial"/>
          <w:b/>
          <w:bCs/>
          <w:color w:val="000000"/>
          <w:sz w:val="22"/>
          <w:szCs w:val="22"/>
        </w:rPr>
        <w:t>4.4</w:t>
      </w:r>
      <w:r>
        <w:rPr>
          <w:rFonts w:cs="Arial"/>
          <w:color w:val="000000"/>
          <w:sz w:val="22"/>
          <w:szCs w:val="22"/>
        </w:rPr>
        <w:t xml:space="preserve"> </w:t>
      </w:r>
      <w:r>
        <w:rPr>
          <w:rFonts w:cs="Arial"/>
          <w:bCs/>
          <w:color w:val="000000"/>
          <w:sz w:val="22"/>
          <w:szCs w:val="22"/>
        </w:rPr>
        <w:t>Os bens poderão ser rejeitados, no todo ou em parte, quando em desacordo com as especificações constantes neste Termo de Referência e na proposta, devendo ser substituídos no prazo que será determinado pela UFVJM, a contar da notificação da contratada, às suas custas, sem prejuízo da aplicação das penalidades.</w:t>
      </w:r>
    </w:p>
    <w:p>
      <w:pPr>
        <w:pStyle w:val="Normal"/>
        <w:spacing w:before="0" w:after="120"/>
        <w:jc w:val="both"/>
        <w:rPr>
          <w:sz w:val="22"/>
          <w:szCs w:val="22"/>
        </w:rPr>
      </w:pPr>
      <w:r>
        <w:rPr>
          <w:sz w:val="22"/>
          <w:szCs w:val="22"/>
        </w:rPr>
      </w:r>
    </w:p>
    <w:p>
      <w:pPr>
        <w:pStyle w:val="Normal"/>
        <w:suppressAutoHyphens w:val="false"/>
        <w:jc w:val="both"/>
        <w:rPr/>
      </w:pPr>
      <w:r>
        <w:rPr>
          <w:b/>
          <w:bCs/>
          <w:sz w:val="22"/>
          <w:szCs w:val="22"/>
        </w:rPr>
        <w:t>4.5</w:t>
      </w:r>
      <w:r>
        <w:rPr>
          <w:sz w:val="22"/>
          <w:szCs w:val="22"/>
        </w:rPr>
        <w:t xml:space="preserve"> </w:t>
      </w:r>
      <w:r>
        <w:rPr>
          <w:rFonts w:cs="Arial"/>
          <w:color w:val="000000"/>
          <w:sz w:val="22"/>
          <w:szCs w:val="22"/>
        </w:rPr>
        <w:t xml:space="preserve">Os bens serão recebidos definitivamente no prazo de 10 (dez) dias, contados do recebimento provisório, após a verificação da qualidade e quantidade do material e consequente aceitação mediante termo circunstanciado. </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4.5.1. Na hipótese de a verificação a que se refere o subitem anterior não ser procedida</w:t>
      </w:r>
    </w:p>
    <w:p>
      <w:pPr>
        <w:pStyle w:val="Normal"/>
        <w:suppressAutoHyphens w:val="false"/>
        <w:rPr>
          <w:rFonts w:ascii="TimesNewRomanPS-ItalicMT" w:hAnsi="TimesNewRomanPS-ItalicMT" w:cs="TimesNewRomanPS-ItalicMT"/>
          <w:i/>
          <w:i/>
          <w:iCs/>
          <w:lang w:eastAsia="pt-BR" w:bidi="he-IL"/>
        </w:rPr>
      </w:pPr>
      <w:r>
        <w:rPr>
          <w:rFonts w:cs="TimesNewRomanPS-ItalicMT" w:ascii="TimesNewRomanPS-ItalicMT" w:hAnsi="TimesNewRomanPS-ItalicMT"/>
          <w:i/>
          <w:iCs/>
          <w:lang w:eastAsia="pt-BR" w:bidi="he-IL"/>
        </w:rPr>
        <w:t>dentro do prazo fixado, reputar-se-á como realizada, consumando-se o recebimento</w:t>
      </w:r>
    </w:p>
    <w:p>
      <w:pPr>
        <w:pStyle w:val="Normal"/>
        <w:suppressAutoHyphens w:val="false"/>
        <w:jc w:val="both"/>
        <w:rPr/>
      </w:pPr>
      <w:r>
        <w:rPr>
          <w:rFonts w:cs="TimesNewRomanPS-ItalicMT" w:ascii="TimesNewRomanPS-ItalicMT" w:hAnsi="TimesNewRomanPS-ItalicMT"/>
          <w:i/>
          <w:iCs/>
          <w:lang w:eastAsia="pt-BR" w:bidi="he-IL"/>
        </w:rPr>
        <w:t>definitivo no dia do esgotamento do prazo.</w:t>
      </w:r>
    </w:p>
    <w:p>
      <w:pPr>
        <w:pStyle w:val="Normal"/>
        <w:suppressAutoHyphens w:val="false"/>
        <w:ind w:left="567" w:hanging="0"/>
        <w:jc w:val="both"/>
        <w:rPr>
          <w:sz w:val="22"/>
          <w:szCs w:val="22"/>
        </w:rPr>
      </w:pPr>
      <w:r>
        <w:rPr>
          <w:sz w:val="22"/>
          <w:szCs w:val="22"/>
        </w:rPr>
      </w:r>
    </w:p>
    <w:p>
      <w:pPr>
        <w:pStyle w:val="Normal"/>
        <w:suppressAutoHyphens w:val="false"/>
        <w:jc w:val="both"/>
        <w:rPr/>
      </w:pPr>
      <w:r>
        <w:rPr>
          <w:rFonts w:cs="Arial"/>
          <w:b/>
          <w:bCs/>
          <w:color w:val="000000"/>
          <w:sz w:val="22"/>
          <w:szCs w:val="22"/>
          <w:lang w:eastAsia="en-US"/>
        </w:rPr>
        <w:t>4.6</w:t>
      </w:r>
      <w:r>
        <w:rPr>
          <w:rFonts w:cs="Arial"/>
          <w:color w:val="000000"/>
          <w:sz w:val="22"/>
          <w:szCs w:val="22"/>
          <w:lang w:eastAsia="en-US"/>
        </w:rPr>
        <w:t xml:space="preserve"> O recebimento provisório ou definitivo do objeto não exclui a responsabilidade da contratada pelos prejuízos resultantes da incorreta execução do contrato.</w:t>
      </w:r>
    </w:p>
    <w:p>
      <w:pPr>
        <w:pStyle w:val="Normal"/>
        <w:tabs>
          <w:tab w:val="left" w:pos="900" w:leader="none"/>
        </w:tabs>
        <w:spacing w:before="120" w:after="0"/>
        <w:jc w:val="both"/>
        <w:rPr>
          <w:rFonts w:cs="Arial"/>
          <w:color w:val="000000"/>
          <w:sz w:val="22"/>
          <w:szCs w:val="22"/>
          <w:lang w:eastAsia="en-US"/>
        </w:rPr>
      </w:pPr>
      <w:r>
        <w:rPr>
          <w:rFonts w:cs="Arial"/>
          <w:b/>
          <w:bCs/>
          <w:color w:val="000000"/>
          <w:sz w:val="22"/>
          <w:szCs w:val="22"/>
          <w:lang w:eastAsia="en-US"/>
        </w:rPr>
        <w:t>4.7</w:t>
      </w:r>
      <w:r>
        <w:rPr>
          <w:rFonts w:cs="Arial"/>
          <w:color w:val="000000"/>
          <w:sz w:val="22"/>
          <w:szCs w:val="22"/>
          <w:lang w:eastAsia="en-US"/>
        </w:rPr>
        <w:t xml:space="preserve"> No caso de descumprimento, o licitante será notificado extrajudicialmente, pelas vias administrativas, para que em 72 (setenta e duas) horas, contados da data do recebimento da notificação, faça a entrega do material ou venha apresentar justificativa de impossibilidade de cumprir o compromisso contratual. Em ambos os casos, fica desde já estabelecido que a UFVJM, poderá, a seu critério, cancelar a Nota de Empenho e convocar o segundo colocado, sem, entretanto, declinar do seu direito de promover o devido processo administrativo visando aplicação das sanções cabíveis e cobrança administrativa, na forma da Lei 8.666/93: multa, registro de inadimplência no SICAF e, se necessário, promover cobrança judicial e apuração das perdas e danos na forma da lei.</w:t>
      </w:r>
    </w:p>
    <w:p>
      <w:pPr>
        <w:pStyle w:val="Normal"/>
        <w:spacing w:before="120" w:after="0"/>
        <w:ind w:right="-285" w:hanging="0"/>
        <w:jc w:val="both"/>
        <w:rPr/>
      </w:pPr>
      <w:r>
        <w:rPr>
          <w:rFonts w:cs="Arial"/>
          <w:color w:val="000000"/>
          <w:sz w:val="22"/>
          <w:szCs w:val="22"/>
          <w:lang w:eastAsia="en-US"/>
        </w:rPr>
        <w:br/>
      </w:r>
      <w:r>
        <w:rPr>
          <w:b/>
          <w:sz w:val="22"/>
          <w:szCs w:val="22"/>
          <w:lang w:eastAsia="pt-BR"/>
        </w:rPr>
        <w:t>V     OBRIGAÇÕES DA CONTRATANTE</w:t>
      </w:r>
    </w:p>
    <w:p>
      <w:pPr>
        <w:pStyle w:val="Normal"/>
        <w:tabs>
          <w:tab w:val="left" w:pos="0" w:leader="none"/>
        </w:tabs>
        <w:spacing w:before="120" w:after="0"/>
        <w:ind w:right="-285" w:hanging="0"/>
        <w:jc w:val="both"/>
        <w:rPr/>
      </w:pPr>
      <w:r>
        <w:rPr>
          <w:b/>
          <w:bCs/>
          <w:sz w:val="22"/>
          <w:szCs w:val="22"/>
          <w:lang w:eastAsia="en-US"/>
        </w:rPr>
        <w:t>5.1</w:t>
      </w:r>
      <w:r>
        <w:rPr>
          <w:sz w:val="22"/>
          <w:szCs w:val="22"/>
          <w:lang w:eastAsia="en-US"/>
        </w:rPr>
        <w:t>. São obrigações da Contratante:</w:t>
      </w:r>
    </w:p>
    <w:p>
      <w:pPr>
        <w:pStyle w:val="Normal"/>
        <w:suppressAutoHyphens w:val="false"/>
        <w:spacing w:beforeAutospacing="1" w:afterAutospacing="1"/>
        <w:rPr>
          <w:lang w:eastAsia="pt-BR"/>
        </w:rPr>
      </w:pPr>
      <w:r>
        <w:rPr>
          <w:i/>
          <w:iCs/>
          <w:color w:val="000000"/>
          <w:sz w:val="22"/>
          <w:szCs w:val="22"/>
          <w:lang w:eastAsia="pt-BR"/>
        </w:rPr>
        <w:t>5.1.1 Receber o objeto no prazo e condições estabelecidas no Edital e seus anexos;</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5.1.2 Verificar minuciosamente, no prazo fixado, a conformidade dos bens recebidos provisoriamente com as especificações constantes do Edital e da proposta, para fins de aceitação e recebimento definitivo;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5.1.3 Comunicar à Contratada, por escrito, sobre imperfeições, falhas ou irregularidades verificadas no objeto fornecido, para que seja substituído, reparado ou corrigido;</w:t>
      </w:r>
    </w:p>
    <w:p>
      <w:pPr>
        <w:pStyle w:val="Normal"/>
        <w:suppressAutoHyphens w:val="false"/>
        <w:spacing w:beforeAutospacing="1" w:afterAutospacing="1"/>
        <w:rPr>
          <w:lang w:eastAsia="pt-BR"/>
        </w:rPr>
      </w:pPr>
      <w:r>
        <w:rPr>
          <w:i/>
          <w:iCs/>
          <w:color w:val="000000"/>
          <w:sz w:val="22"/>
          <w:szCs w:val="22"/>
          <w:lang w:eastAsia="pt-BR"/>
        </w:rPr>
        <w:t>5.1.4 Acompanhar e fiscalizar o cumprimento das obrigações da Contratada, através de comissão/servidor especialmente designado;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5.1.5 Efetuar o pagamento à Contratada</w:t>
      </w:r>
      <w:r>
        <w:rPr>
          <w:b/>
          <w:bCs/>
          <w:i/>
          <w:iCs/>
          <w:color w:val="000000"/>
          <w:sz w:val="22"/>
          <w:szCs w:val="22"/>
          <w:lang w:eastAsia="pt-BR"/>
        </w:rPr>
        <w:t xml:space="preserve"> </w:t>
      </w:r>
      <w:r>
        <w:rPr>
          <w:i/>
          <w:iCs/>
          <w:color w:val="000000"/>
          <w:sz w:val="22"/>
          <w:szCs w:val="22"/>
          <w:lang w:eastAsia="pt-BR"/>
        </w:rPr>
        <w:t>no valor correspondente ao fornecimento do objeto, no prazo e forma estabelecidos no Edital e seus anexos;</w:t>
      </w:r>
    </w:p>
    <w:p>
      <w:pPr>
        <w:pStyle w:val="Normal"/>
        <w:tabs>
          <w:tab w:val="left" w:pos="900" w:leader="none"/>
        </w:tabs>
        <w:spacing w:before="120" w:after="0"/>
        <w:ind w:right="-15" w:hanging="0"/>
        <w:jc w:val="both"/>
        <w:rPr/>
      </w:pPr>
      <w:r>
        <w:rPr>
          <w:b/>
          <w:bCs/>
          <w:sz w:val="22"/>
          <w:szCs w:val="22"/>
        </w:rPr>
        <w:t>5.2</w:t>
      </w:r>
      <w:r>
        <w:rPr>
          <w:sz w:val="22"/>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pPr>
        <w:pStyle w:val="Normal"/>
        <w:spacing w:before="120" w:after="0"/>
        <w:ind w:right="-285" w:hanging="0"/>
        <w:jc w:val="both"/>
        <w:rPr/>
      </w:pPr>
      <w:r>
        <w:rPr>
          <w:b/>
          <w:sz w:val="22"/>
          <w:szCs w:val="22"/>
          <w:lang w:eastAsia="pt-BR"/>
        </w:rPr>
        <w:t>VI - OBRIGAÇÕES DA CONTRATADA</w:t>
      </w:r>
    </w:p>
    <w:p>
      <w:pPr>
        <w:pStyle w:val="Normal"/>
        <w:suppressAutoHyphens w:val="false"/>
        <w:spacing w:before="120" w:after="0"/>
        <w:ind w:right="-15" w:hanging="0"/>
        <w:jc w:val="both"/>
        <w:rPr/>
      </w:pPr>
      <w:r>
        <w:rPr>
          <w:b/>
          <w:sz w:val="22"/>
          <w:szCs w:val="22"/>
        </w:rPr>
        <w:t>6.1</w:t>
      </w:r>
      <w:r>
        <w:rPr>
          <w:sz w:val="22"/>
          <w:szCs w:val="22"/>
        </w:rPr>
        <w:t xml:space="preserve"> A Contratada deve cumprir todas as obrigações constantes no Edital, seus anexos e sua proposta, assumindo como exclusivamente seus os riscos e as despesas decorrentes da boa e perfeita execução do objeto e, ainda:</w:t>
      </w:r>
    </w:p>
    <w:p>
      <w:pPr>
        <w:pStyle w:val="Normal"/>
        <w:suppressAutoHyphens w:val="false"/>
        <w:spacing w:beforeAutospacing="1" w:afterAutospacing="1"/>
        <w:rPr>
          <w:lang w:eastAsia="pt-BR"/>
        </w:rPr>
      </w:pPr>
      <w:r>
        <w:rPr>
          <w:i/>
          <w:iCs/>
          <w:color w:val="000000"/>
          <w:sz w:val="22"/>
          <w:szCs w:val="22"/>
          <w:lang w:eastAsia="pt-BR"/>
        </w:rPr>
        <w:t>6.1.1 Efetuar a entrega do objeto em perfeitas condições, conforme especificações, prazo e local constantes no Edital e seus anexos, acompanhado da respectiva nota fiscal;</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6.1.2 Responsabilizar-se pelos vícios e danos decorrentes do objeto, de acordo com os artigos 12, 13 e 17 a 27, do Código de Defesa do Consumidor (Lei nº 8.078, de 1990);</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6.1.3 Substituir, reparar, corrigir, remover ou reconstruir, às suas expensas, no todo ou em parte, o objeto em que se verificarem vícios, defeitos ou incorreções resultantes da execução ou de materiais empregados, mesmo após ter sido recebido definitivamente o objeto do contrato;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6.1.4 Comunicar à Contratante, no prazo máximo de 24 (vinte e quatro) horas que antecede a data da entrega, os motivos que impossibilitem o cumprimento do prazo previsto, com a devida comprovação;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6.1.5 Manter, durante toda a execução do contrato, em compatibilidade com as obrigações assumidas, todas as condições de habilitação e qualificação exigidas na licitação;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6.1.6 Responsabilizar-se pelas despesas dos tributos, encargos trabalhistas, previdenciários, fiscais, comerciais, taxas, fretes, seguros, deslocamento de pessoal, prestação de garantia e quaisquer outras que incidam ou venham a incidir na execução do contrato.</w:t>
      </w:r>
    </w:p>
    <w:p>
      <w:pPr>
        <w:pStyle w:val="Normal"/>
        <w:tabs>
          <w:tab w:val="left" w:pos="0" w:leader="none"/>
        </w:tabs>
        <w:spacing w:before="120" w:after="120"/>
        <w:jc w:val="both"/>
        <w:rPr/>
      </w:pPr>
      <w:r>
        <w:rPr>
          <w:rFonts w:cs="Arial"/>
          <w:b/>
          <w:bCs/>
          <w:color w:val="000000"/>
          <w:sz w:val="22"/>
          <w:szCs w:val="22"/>
          <w:lang w:eastAsia="en-US"/>
        </w:rPr>
        <w:t>VII - DA SUBCONTRATAÇÃO</w:t>
      </w:r>
    </w:p>
    <w:p>
      <w:pPr>
        <w:pStyle w:val="Normal"/>
        <w:tabs>
          <w:tab w:val="left" w:pos="0" w:leader="none"/>
        </w:tabs>
        <w:suppressAutoHyphens w:val="false"/>
        <w:spacing w:before="120" w:after="0"/>
        <w:ind w:right="-15" w:hanging="0"/>
        <w:jc w:val="both"/>
        <w:rPr/>
      </w:pPr>
      <w:r>
        <w:rPr>
          <w:b/>
          <w:bCs/>
          <w:color w:val="000000"/>
          <w:sz w:val="22"/>
          <w:szCs w:val="22"/>
          <w:lang w:eastAsia="en-US"/>
        </w:rPr>
        <w:t>7.1.</w:t>
      </w:r>
      <w:r>
        <w:rPr>
          <w:color w:val="000000"/>
          <w:sz w:val="22"/>
          <w:szCs w:val="22"/>
          <w:lang w:eastAsia="en-US"/>
        </w:rPr>
        <w:t xml:space="preserve"> Não será admitida a subcontratação do objeto licitatório.</w:t>
      </w:r>
    </w:p>
    <w:p>
      <w:pPr>
        <w:pStyle w:val="Normal"/>
        <w:tabs>
          <w:tab w:val="left" w:pos="0" w:leader="none"/>
        </w:tabs>
        <w:spacing w:before="120" w:after="0"/>
        <w:jc w:val="both"/>
        <w:rPr/>
      </w:pPr>
      <w:r>
        <w:rPr>
          <w:rFonts w:cs="Arial"/>
          <w:b/>
          <w:bCs/>
          <w:color w:val="000000"/>
          <w:sz w:val="22"/>
          <w:szCs w:val="22"/>
          <w:lang w:eastAsia="en-US"/>
        </w:rPr>
        <w:t>VII - ALTERAÇÃO SUBJETIVA</w:t>
      </w:r>
    </w:p>
    <w:p>
      <w:pPr>
        <w:pStyle w:val="Normal"/>
        <w:tabs>
          <w:tab w:val="left" w:pos="0" w:leader="none"/>
        </w:tabs>
        <w:suppressAutoHyphens w:val="false"/>
        <w:spacing w:before="120" w:after="0"/>
        <w:ind w:right="-15" w:hanging="0"/>
        <w:jc w:val="both"/>
        <w:rPr/>
      </w:pPr>
      <w:r>
        <w:rPr>
          <w:b/>
          <w:bCs/>
          <w:color w:val="000000"/>
          <w:sz w:val="22"/>
          <w:szCs w:val="22"/>
          <w:lang w:eastAsia="en-US"/>
        </w:rPr>
        <w:t>8.1</w:t>
      </w:r>
      <w:r>
        <w:rPr>
          <w:color w:val="000000"/>
          <w:sz w:val="22"/>
          <w:szCs w:val="22"/>
          <w:lang w:eastAsia="en-US"/>
        </w:rPr>
        <w:t>.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ormal"/>
        <w:tabs>
          <w:tab w:val="left" w:pos="0" w:leader="none"/>
        </w:tabs>
        <w:spacing w:before="120" w:after="0"/>
        <w:jc w:val="both"/>
        <w:rPr/>
      </w:pPr>
      <w:r>
        <w:rPr>
          <w:rFonts w:cs="Arial"/>
          <w:b/>
          <w:bCs/>
          <w:sz w:val="22"/>
          <w:szCs w:val="22"/>
          <w:lang w:eastAsia="en-US"/>
        </w:rPr>
        <w:t>IX - CONTROLE DA EXECUÇÃO</w:t>
      </w:r>
    </w:p>
    <w:p>
      <w:pPr>
        <w:pStyle w:val="Normal"/>
        <w:tabs>
          <w:tab w:val="left" w:pos="0" w:leader="none"/>
        </w:tabs>
        <w:spacing w:before="120" w:after="0"/>
        <w:jc w:val="both"/>
        <w:rPr/>
      </w:pPr>
      <w:r>
        <w:rPr>
          <w:rFonts w:cs="Arial"/>
          <w:b/>
          <w:bCs/>
          <w:sz w:val="22"/>
          <w:szCs w:val="22"/>
          <w:lang w:eastAsia="en-US"/>
        </w:rPr>
        <w:t>9.1</w:t>
      </w:r>
      <w:r>
        <w:rPr>
          <w:rFonts w:cs="Arial"/>
          <w:sz w:val="22"/>
          <w:szCs w:val="22"/>
          <w:lang w:eastAsia="en-US"/>
        </w:rPr>
        <w:t xml:space="preserve"> </w:t>
      </w:r>
      <w:r>
        <w:rPr>
          <w:rFonts w:cs="Arial"/>
          <w:color w:val="000000"/>
          <w:sz w:val="22"/>
          <w:szCs w:val="22"/>
          <w:lang w:eastAsia="en-US"/>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tabs>
          <w:tab w:val="left" w:pos="0" w:leader="none"/>
        </w:tabs>
        <w:spacing w:before="120" w:after="0"/>
        <w:jc w:val="both"/>
        <w:rPr/>
      </w:pPr>
      <w:r>
        <w:rPr>
          <w:i/>
          <w:iCs/>
          <w:color w:val="000000"/>
          <w:sz w:val="22"/>
          <w:szCs w:val="22"/>
        </w:rPr>
        <w:t>9.1.1. O recebimento de material de valor superior a R$ 80.000,00 (oitenta mil reais) será confiado a uma comissão de, no mínimo, 3 (três) membros, designados pela autoridade competente.</w:t>
      </w:r>
    </w:p>
    <w:p>
      <w:pPr>
        <w:pStyle w:val="Normal"/>
        <w:tabs>
          <w:tab w:val="left" w:pos="0" w:leader="none"/>
        </w:tabs>
        <w:spacing w:before="120" w:after="0"/>
        <w:jc w:val="both"/>
        <w:rPr/>
      </w:pPr>
      <w:r>
        <w:rPr>
          <w:rFonts w:cs="Arial"/>
          <w:b/>
          <w:bCs/>
          <w:color w:val="000000"/>
          <w:sz w:val="22"/>
          <w:szCs w:val="22"/>
          <w:lang w:eastAsia="en-US"/>
        </w:rPr>
        <w:t>9.2</w:t>
      </w:r>
      <w:r>
        <w:rPr>
          <w:rFonts w:cs="Arial"/>
          <w:color w:val="000000"/>
          <w:sz w:val="22"/>
          <w:szCs w:val="22"/>
          <w:lang w:eastAsia="en-US"/>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pPr>
        <w:pStyle w:val="Normal"/>
        <w:tabs>
          <w:tab w:val="left" w:pos="0" w:leader="none"/>
        </w:tabs>
        <w:suppressAutoHyphens w:val="false"/>
        <w:spacing w:before="120" w:after="0"/>
        <w:ind w:right="-15" w:hanging="0"/>
        <w:jc w:val="both"/>
        <w:rPr/>
      </w:pPr>
      <w:r>
        <w:rPr>
          <w:b/>
          <w:bCs/>
          <w:color w:val="000000"/>
          <w:sz w:val="22"/>
          <w:szCs w:val="22"/>
          <w:lang w:eastAsia="en-US"/>
        </w:rPr>
        <w:t>9.3</w:t>
      </w:r>
      <w:r>
        <w:rPr>
          <w:color w:val="000000"/>
          <w:sz w:val="22"/>
          <w:szCs w:val="22"/>
          <w:lang w:eastAsia="en-US"/>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ormal"/>
        <w:tabs>
          <w:tab w:val="left" w:pos="0" w:leader="none"/>
        </w:tabs>
        <w:spacing w:before="120" w:after="0"/>
        <w:jc w:val="both"/>
        <w:rPr/>
      </w:pPr>
      <w:r>
        <w:rPr>
          <w:rFonts w:cs="Arial"/>
          <w:b/>
          <w:bCs/>
          <w:color w:val="000000"/>
          <w:sz w:val="22"/>
          <w:szCs w:val="22"/>
          <w:lang w:eastAsia="en-US"/>
        </w:rPr>
        <w:t>X - DAS SANÇÕES ADMINISTRATIVAS</w:t>
      </w:r>
    </w:p>
    <w:p>
      <w:pPr>
        <w:pStyle w:val="Normal"/>
        <w:tabs>
          <w:tab w:val="left" w:pos="0" w:leader="none"/>
        </w:tabs>
        <w:spacing w:before="120" w:after="0"/>
        <w:jc w:val="both"/>
        <w:rPr/>
      </w:pPr>
      <w:r>
        <w:rPr>
          <w:rFonts w:cs="Arial"/>
          <w:b/>
          <w:bCs/>
          <w:color w:val="000000"/>
          <w:sz w:val="22"/>
          <w:szCs w:val="22"/>
          <w:lang w:eastAsia="en-US"/>
        </w:rPr>
        <w:t xml:space="preserve">10.1 - </w:t>
      </w:r>
      <w:r>
        <w:rPr>
          <w:rFonts w:cs="Arial"/>
          <w:color w:val="000000"/>
          <w:sz w:val="22"/>
          <w:szCs w:val="22"/>
          <w:lang w:eastAsia="en-US"/>
        </w:rPr>
        <w:t>Comete infração administrativa nos termos da Lei nº 8.666, de 1993 e da Lei nº 10.520, de 2002, a Contratada que:</w:t>
      </w:r>
    </w:p>
    <w:p>
      <w:pPr>
        <w:pStyle w:val="Normal"/>
        <w:suppressAutoHyphens w:val="false"/>
        <w:spacing w:beforeAutospacing="1" w:afterAutospacing="1"/>
        <w:rPr>
          <w:lang w:eastAsia="pt-BR"/>
        </w:rPr>
      </w:pPr>
      <w:r>
        <w:rPr>
          <w:i/>
          <w:iCs/>
          <w:color w:val="000000"/>
          <w:sz w:val="22"/>
          <w:szCs w:val="22"/>
          <w:lang w:eastAsia="pt-BR"/>
        </w:rPr>
        <w:t>10.1.1. inexecutar total ou parcialmente qualquer das obrigações assumidas em decorrência da contratação;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10.1.2. ensejar o retardamento da execução do objeto;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10.1.3. fraudar na execução do contrato;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10.1.4. comportar-se de modo inidôneo;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10.1.5. cometer fraude fiscal;</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10.1.6. não mantiver a proposta.</w:t>
      </w:r>
    </w:p>
    <w:p>
      <w:pPr>
        <w:pStyle w:val="Normal"/>
        <w:tabs>
          <w:tab w:val="left" w:pos="0" w:leader="none"/>
        </w:tabs>
        <w:spacing w:before="120" w:after="0"/>
        <w:jc w:val="both"/>
        <w:rPr/>
      </w:pPr>
      <w:r>
        <w:rPr>
          <w:rFonts w:cs="Arial"/>
          <w:b/>
          <w:bCs/>
          <w:sz w:val="22"/>
          <w:szCs w:val="22"/>
          <w:lang w:eastAsia="en-US"/>
        </w:rPr>
        <w:t>10.2</w:t>
      </w:r>
      <w:r>
        <w:rPr>
          <w:rFonts w:cs="Arial"/>
          <w:sz w:val="22"/>
          <w:szCs w:val="22"/>
          <w:lang w:eastAsia="en-US"/>
        </w:rPr>
        <w:t>. A Contratada que cometer qualquer das infrações discriminadas no subitem acima ficará sujeita, sem prejuízo da responsabilidade civil e criminal, às seguintes sanções:</w:t>
      </w:r>
    </w:p>
    <w:p>
      <w:pPr>
        <w:pStyle w:val="Normal"/>
        <w:suppressAutoHyphens w:val="false"/>
        <w:spacing w:beforeAutospacing="1" w:afterAutospacing="1"/>
        <w:rPr>
          <w:lang w:eastAsia="pt-BR"/>
        </w:rPr>
      </w:pPr>
      <w:r>
        <w:rPr>
          <w:i/>
          <w:iCs/>
          <w:color w:val="000000"/>
          <w:sz w:val="22"/>
          <w:szCs w:val="22"/>
          <w:lang w:eastAsia="pt-BR"/>
        </w:rPr>
        <w:t>10.2.1. advertência por faltas leves, assim entendidas aquelas que não acarretem prejuízos significativos para a Contratante;</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10.2.2. multa moratória de 0,33 % por dia de atraso injustificado sobre o valor da parcela inadimplida, até o limite de 30 (trinta) dias;</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10.2.3. multa compensatória de 20</w:t>
      </w:r>
      <w:r>
        <w:rPr>
          <w:i/>
          <w:iCs/>
          <w:color w:val="FF0000"/>
          <w:sz w:val="22"/>
          <w:szCs w:val="22"/>
          <w:lang w:eastAsia="pt-BR"/>
        </w:rPr>
        <w:t>.</w:t>
      </w:r>
      <w:r>
        <w:rPr>
          <w:i/>
          <w:iCs/>
          <w:color w:val="000000"/>
          <w:sz w:val="22"/>
          <w:szCs w:val="22"/>
          <w:lang w:eastAsia="pt-BR"/>
        </w:rPr>
        <w:t>% (vinte por cento) sobre o valor total do contrato, no caso de inexecução total do objeto;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10.2.4. em caso de inexecução parcial, a multa compensatória, de 10 % (dez por cento), sobre o valor total do contrato.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 xml:space="preserve">10.2.5. suspensão de licitar e impedimento de contratar com o órgão, entidade ou unidade administrativa pela qual a Administração Pública opera e atua concretamente, pelo prazo de até dois anos; </w:t>
      </w:r>
    </w:p>
    <w:p>
      <w:pPr>
        <w:pStyle w:val="Normal"/>
        <w:suppressAutoHyphens w:val="false"/>
        <w:spacing w:beforeAutospacing="1" w:afterAutospacing="1"/>
        <w:rPr>
          <w:lang w:eastAsia="pt-BR"/>
        </w:rPr>
      </w:pPr>
      <w:r>
        <w:rPr>
          <w:i/>
          <w:iCs/>
          <w:color w:val="000000"/>
          <w:sz w:val="22"/>
          <w:szCs w:val="22"/>
          <w:lang w:eastAsia="pt-BR"/>
        </w:rPr>
        <w:t>10.2.6. impedimento de licitar e contratar com a União com o consequente descredenciamento no SICAF pelo prazo de até cinco anos;</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 xml:space="preserve">10.2.7.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Normal"/>
        <w:tabs>
          <w:tab w:val="left" w:pos="0" w:leader="none"/>
        </w:tabs>
        <w:spacing w:before="120" w:after="0"/>
        <w:jc w:val="both"/>
        <w:rPr/>
      </w:pPr>
      <w:r>
        <w:rPr>
          <w:rFonts w:cs="Arial"/>
          <w:b/>
          <w:bCs/>
          <w:sz w:val="22"/>
          <w:szCs w:val="22"/>
          <w:lang w:eastAsia="en-US"/>
        </w:rPr>
        <w:t>10.3.</w:t>
      </w:r>
      <w:r>
        <w:rPr>
          <w:rFonts w:cs="Arial"/>
          <w:sz w:val="22"/>
          <w:szCs w:val="22"/>
          <w:lang w:eastAsia="en-US"/>
        </w:rPr>
        <w:t xml:space="preserve"> Também ficam sujeitas às penalidades do art. 87, III e IV da Lei nº 8.666, de 1993, as empresas ou profissionais que:</w:t>
      </w:r>
    </w:p>
    <w:p>
      <w:pPr>
        <w:pStyle w:val="Normal"/>
        <w:suppressAutoHyphens w:val="false"/>
        <w:spacing w:beforeAutospacing="1" w:afterAutospacing="1"/>
        <w:rPr>
          <w:lang w:eastAsia="pt-BR"/>
        </w:rPr>
      </w:pPr>
      <w:r>
        <w:rPr>
          <w:i/>
          <w:iCs/>
          <w:color w:val="000000"/>
          <w:sz w:val="22"/>
          <w:szCs w:val="22"/>
          <w:lang w:eastAsia="pt-BR"/>
        </w:rPr>
        <w:t>10.3.1. tenham sofrido condenação definitiva por praticar, por meio dolosos, fraude fiscal no recolhimento de quaisquer tributos;</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10.3.2. tenham praticado atos ilícitos visando a frustrar os objetivos da licitação;</w:t>
      </w:r>
      <w:r>
        <w:rPr>
          <w:i/>
          <w:iCs/>
          <w:color w:val="000000"/>
          <w:lang w:eastAsia="pt-BR"/>
        </w:rPr>
        <w:t xml:space="preserve"> </w:t>
      </w:r>
    </w:p>
    <w:p>
      <w:pPr>
        <w:pStyle w:val="Normal"/>
        <w:suppressAutoHyphens w:val="false"/>
        <w:spacing w:beforeAutospacing="1" w:afterAutospacing="1"/>
        <w:rPr>
          <w:lang w:eastAsia="pt-BR"/>
        </w:rPr>
      </w:pPr>
      <w:r>
        <w:rPr>
          <w:i/>
          <w:iCs/>
          <w:color w:val="000000"/>
          <w:sz w:val="22"/>
          <w:szCs w:val="22"/>
          <w:lang w:eastAsia="pt-BR"/>
        </w:rPr>
        <w:t>10.3.3. demonstrem não possuir idoneidade para contratar com a Administração em virtude de atos ilícitos praticados.</w:t>
      </w:r>
    </w:p>
    <w:p>
      <w:pPr>
        <w:pStyle w:val="Normal"/>
        <w:tabs>
          <w:tab w:val="left" w:pos="0" w:leader="none"/>
        </w:tabs>
        <w:spacing w:before="120" w:after="0"/>
        <w:jc w:val="both"/>
        <w:rPr/>
      </w:pPr>
      <w:r>
        <w:rPr>
          <w:rFonts w:cs="Arial"/>
          <w:b/>
          <w:bCs/>
          <w:sz w:val="22"/>
          <w:szCs w:val="22"/>
          <w:lang w:eastAsia="en-US"/>
        </w:rPr>
        <w:t>10.4.</w:t>
      </w:r>
      <w:r>
        <w:rPr>
          <w:rFonts w:cs="Arial"/>
          <w:sz w:val="22"/>
          <w:szCs w:val="22"/>
          <w:lang w:eastAsia="en-US"/>
        </w:rPr>
        <w:t xml:space="preserve"> 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tabs>
          <w:tab w:val="left" w:pos="0" w:leader="none"/>
        </w:tabs>
        <w:spacing w:before="120" w:after="0"/>
        <w:jc w:val="both"/>
        <w:rPr/>
      </w:pPr>
      <w:r>
        <w:rPr>
          <w:rFonts w:cs="Arial"/>
          <w:b/>
          <w:bCs/>
          <w:sz w:val="22"/>
          <w:szCs w:val="22"/>
          <w:lang w:eastAsia="en-US"/>
        </w:rPr>
        <w:t>10.5.</w:t>
      </w:r>
      <w:r>
        <w:rPr>
          <w:rFonts w:cs="Arial"/>
          <w:sz w:val="22"/>
          <w:szCs w:val="22"/>
          <w:lang w:eastAsia="en-US"/>
        </w:rPr>
        <w:t xml:space="preserve"> A autoridade competente, na aplicação das sanções, levará em consideração a gravidade da conduta do infrator, o caráter educativo da pena, bem como o dano causado à Administração, observado o princípio da proporcionalidade.</w:t>
      </w:r>
    </w:p>
    <w:p>
      <w:pPr>
        <w:pStyle w:val="Normal"/>
        <w:tabs>
          <w:tab w:val="left" w:pos="0" w:leader="none"/>
        </w:tabs>
        <w:spacing w:before="120" w:after="0"/>
        <w:rPr/>
      </w:pPr>
      <w:r>
        <w:rPr>
          <w:rFonts w:cs="Arial"/>
          <w:b/>
          <w:bCs/>
          <w:sz w:val="22"/>
          <w:szCs w:val="22"/>
          <w:lang w:eastAsia="en-US"/>
        </w:rPr>
        <w:t>10.6.</w:t>
      </w:r>
      <w:r>
        <w:rPr>
          <w:rFonts w:cs="Arial"/>
          <w:sz w:val="22"/>
          <w:szCs w:val="22"/>
          <w:lang w:eastAsia="en-US"/>
        </w:rPr>
        <w:t xml:space="preserve"> As penalidades serão obrigatoriamente registradas no SICAF.</w:t>
      </w:r>
    </w:p>
    <w:p>
      <w:pPr>
        <w:pStyle w:val="Normal"/>
        <w:tabs>
          <w:tab w:val="left" w:pos="0" w:leader="none"/>
        </w:tabs>
        <w:spacing w:before="120" w:after="0"/>
        <w:jc w:val="both"/>
        <w:rPr/>
      </w:pPr>
      <w:r>
        <w:rPr>
          <w:rFonts w:cs="Arial"/>
          <w:sz w:val="22"/>
          <w:szCs w:val="22"/>
          <w:lang w:eastAsia="en-US"/>
        </w:rPr>
        <w:br/>
      </w:r>
      <w:r>
        <w:rPr>
          <w:rFonts w:cs="Arial"/>
          <w:b/>
          <w:bCs/>
          <w:sz w:val="22"/>
          <w:szCs w:val="22"/>
          <w:lang w:eastAsia="en-US"/>
        </w:rPr>
        <w:t xml:space="preserve">XI - </w:t>
      </w:r>
      <w:r>
        <w:rPr>
          <w:rFonts w:cs="Calibri"/>
          <w:b/>
          <w:sz w:val="22"/>
          <w:szCs w:val="22"/>
          <w:lang w:eastAsia="pt-BR"/>
        </w:rPr>
        <w:t>MEDIDAS ACAUTELADORAS</w:t>
      </w:r>
    </w:p>
    <w:p>
      <w:pPr>
        <w:pStyle w:val="Normal"/>
        <w:tabs>
          <w:tab w:val="left" w:pos="0" w:leader="none"/>
        </w:tabs>
        <w:suppressAutoHyphens w:val="false"/>
        <w:spacing w:before="120" w:after="0"/>
        <w:jc w:val="both"/>
        <w:rPr/>
      </w:pPr>
      <w:r>
        <w:rPr>
          <w:b/>
          <w:bCs/>
          <w:sz w:val="22"/>
          <w:szCs w:val="22"/>
          <w:lang w:eastAsia="pt-BR"/>
        </w:rPr>
        <w:t>11.1</w:t>
      </w:r>
      <w:r>
        <w:rPr>
          <w:b/>
          <w:sz w:val="22"/>
          <w:szCs w:val="22"/>
          <w:lang w:eastAsia="pt-BR"/>
        </w:rPr>
        <w:t xml:space="preserve"> </w:t>
      </w:r>
      <w:r>
        <w:rPr>
          <w:sz w:val="22"/>
          <w:szCs w:val="22"/>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pPr>
        <w:pStyle w:val="Normal"/>
        <w:spacing w:before="120" w:after="0"/>
        <w:ind w:right="-285" w:hanging="0"/>
        <w:rPr/>
      </w:pPr>
      <w:r>
        <w:rPr>
          <w:b/>
          <w:sz w:val="22"/>
          <w:szCs w:val="22"/>
          <w:lang w:eastAsia="pt-BR"/>
        </w:rPr>
        <w:t>XII - AVALIAÇÃO DO CUSTO E CONTRATAÇÃO</w:t>
      </w:r>
    </w:p>
    <w:p>
      <w:pPr>
        <w:pStyle w:val="Normal"/>
        <w:spacing w:before="120" w:after="0"/>
        <w:ind w:right="-285" w:hanging="0"/>
        <w:jc w:val="both"/>
        <w:rPr>
          <w:b/>
          <w:b/>
          <w:bCs/>
          <w:sz w:val="22"/>
          <w:szCs w:val="22"/>
          <w:lang w:eastAsia="pt-BR"/>
        </w:rPr>
      </w:pPr>
      <w:r>
        <w:rPr>
          <w:b/>
          <w:sz w:val="22"/>
          <w:szCs w:val="22"/>
          <w:lang w:eastAsia="pt-BR"/>
        </w:rPr>
        <w:t xml:space="preserve">12.1 </w:t>
      </w:r>
      <w:r>
        <w:rPr>
          <w:sz w:val="22"/>
          <w:szCs w:val="22"/>
          <w:lang w:eastAsia="pt-BR"/>
        </w:rPr>
        <w:t xml:space="preserve">O custo estimado da presente contratação é de </w:t>
      </w:r>
      <w:r>
        <w:rPr>
          <w:b/>
          <w:bCs/>
          <w:sz w:val="22"/>
          <w:szCs w:val="22"/>
          <w:lang w:eastAsia="pt-BR"/>
        </w:rPr>
        <w:t xml:space="preserve">R$ </w:t>
      </w:r>
      <w:r>
        <w:rPr>
          <w:b/>
          <w:bCs/>
          <w:color w:val="000000"/>
          <w:sz w:val="22"/>
          <w:szCs w:val="22"/>
        </w:rPr>
        <w:t>229.183,70</w:t>
      </w:r>
    </w:p>
    <w:p>
      <w:pPr>
        <w:pStyle w:val="Normal"/>
        <w:spacing w:before="120" w:after="0"/>
        <w:ind w:right="-285" w:hanging="0"/>
        <w:jc w:val="both"/>
        <w:rPr/>
      </w:pPr>
      <w:r>
        <w:rPr>
          <w:b/>
          <w:sz w:val="22"/>
          <w:szCs w:val="22"/>
          <w:lang w:eastAsia="pt-BR"/>
        </w:rPr>
        <w:t xml:space="preserve">12.2 </w:t>
      </w:r>
      <w:r>
        <w:rPr>
          <w:sz w:val="22"/>
          <w:szCs w:val="22"/>
        </w:rPr>
        <w:t>O custo estimado foi apurado a partir de mapa de preços constantes do processo administrativo, elaborado com base na utilização dos seguintes parâmetros da IN 003/2017:</w:t>
      </w:r>
    </w:p>
    <w:p>
      <w:pPr>
        <w:pStyle w:val="Normal"/>
        <w:suppressAutoHyphens w:val="false"/>
        <w:spacing w:before="120" w:after="0"/>
        <w:rPr/>
      </w:pPr>
      <w:r>
        <w:rPr>
          <w:sz w:val="22"/>
          <w:szCs w:val="22"/>
        </w:rPr>
        <w:t xml:space="preserve">I – </w:t>
      </w:r>
      <w:r>
        <w:rPr>
          <w:sz w:val="22"/>
          <w:szCs w:val="22"/>
          <w:lang w:eastAsia="pt-BR"/>
        </w:rPr>
        <w:t>Painel de Preços –</w:t>
      </w:r>
      <w:r>
        <w:rPr>
          <w:color w:val="000000"/>
          <w:sz w:val="22"/>
          <w:szCs w:val="22"/>
          <w:lang w:eastAsia="pt-BR"/>
        </w:rPr>
        <w:t xml:space="preserve"> </w:t>
      </w:r>
      <w:hyperlink r:id="rId24">
        <w:r>
          <w:rPr>
            <w:rStyle w:val="LinkdaInternet"/>
            <w:color w:val="000000"/>
            <w:sz w:val="22"/>
            <w:szCs w:val="22"/>
          </w:rPr>
          <w:t>www.paineldeprecos.planejamento.gov.br</w:t>
        </w:r>
      </w:hyperlink>
      <w:r>
        <w:rPr>
          <w:color w:val="000000"/>
          <w:sz w:val="22"/>
          <w:szCs w:val="22"/>
          <w:lang w:eastAsia="pt-BR"/>
        </w:rPr>
        <w:t>;</w:t>
      </w:r>
    </w:p>
    <w:p>
      <w:pPr>
        <w:pStyle w:val="Normal"/>
        <w:suppressAutoHyphens w:val="false"/>
        <w:spacing w:before="120" w:after="0"/>
        <w:rPr>
          <w:sz w:val="22"/>
          <w:szCs w:val="22"/>
          <w:lang w:eastAsia="pt-BR"/>
        </w:rPr>
      </w:pPr>
      <w:r>
        <w:rPr>
          <w:b/>
          <w:sz w:val="22"/>
          <w:szCs w:val="22"/>
          <w:lang w:eastAsia="pt-BR"/>
        </w:rPr>
        <w:t xml:space="preserve">12.3 </w:t>
      </w:r>
      <w:r>
        <w:rPr>
          <w:sz w:val="22"/>
          <w:szCs w:val="22"/>
          <w:lang w:eastAsia="pt-BR"/>
        </w:rPr>
        <w:t>Devido às características e com base no caput do art. 62 da Lei 8.666/93 o instrumento a ser utilizado para formalização desta aquisição será a nota de empenho de despesa, por não resultar em obrigações futuras, inclusive assistência técnica.</w:t>
      </w:r>
    </w:p>
    <w:p>
      <w:pPr>
        <w:pStyle w:val="Normal"/>
        <w:suppressAutoHyphens w:val="false"/>
        <w:spacing w:before="120" w:after="0"/>
        <w:rPr>
          <w:sz w:val="22"/>
          <w:szCs w:val="22"/>
          <w:lang w:eastAsia="pt-BR"/>
        </w:rPr>
      </w:pPr>
      <w:r>
        <w:rPr>
          <w:sz w:val="22"/>
          <w:szCs w:val="22"/>
          <w:lang w:eastAsia="pt-BR"/>
        </w:rPr>
      </w:r>
    </w:p>
    <w:p>
      <w:pPr>
        <w:pStyle w:val="Normal"/>
        <w:suppressAutoHyphens w:val="false"/>
        <w:spacing w:before="120" w:after="0"/>
        <w:rPr>
          <w:color w:val="000000"/>
        </w:rPr>
      </w:pPr>
      <w:r>
        <w:rPr>
          <w:color w:val="000000"/>
        </w:rPr>
        <w:t>Diamantina, 05/09/2018                                                           Aprovo, em:</w:t>
      </w:r>
    </w:p>
    <w:p>
      <w:pPr>
        <w:pStyle w:val="Normal"/>
        <w:suppressAutoHyphens w:val="false"/>
        <w:spacing w:before="120" w:after="0"/>
        <w:rPr>
          <w:color w:val="000000"/>
        </w:rPr>
      </w:pPr>
      <w:r>
        <w:rPr>
          <w:color w:val="000000"/>
        </w:rPr>
      </w:r>
    </w:p>
    <w:p>
      <w:pPr>
        <w:pStyle w:val="Normal"/>
        <w:spacing w:before="120" w:after="0"/>
        <w:ind w:left="284" w:hanging="300"/>
        <w:jc w:val="center"/>
        <w:rPr/>
      </w:pPr>
      <w:r>
        <w:rPr/>
        <w:t xml:space="preserve">                                                                            </w:t>
      </w:r>
      <w:r>
        <w:rPr>
          <w:color w:val="000000"/>
          <w:sz w:val="22"/>
          <w:szCs w:val="22"/>
        </w:rPr>
        <w:t>____________________________________</w:t>
      </w:r>
    </w:p>
    <w:p>
      <w:pPr>
        <w:pStyle w:val="Rodap"/>
        <w:jc w:val="center"/>
        <w:rPr>
          <w:b/>
          <w:b/>
        </w:rPr>
      </w:pPr>
      <w:r>
        <w:rPr>
          <w:sz w:val="22"/>
          <w:szCs w:val="22"/>
          <w:lang w:eastAsia="pt-BR"/>
        </w:rPr>
        <w:t xml:space="preserve">                                                                         </w:t>
      </w:r>
      <w:r>
        <w:rPr>
          <w:b/>
          <w:sz w:val="22"/>
          <w:szCs w:val="22"/>
        </w:rPr>
        <w:t>Fernando Costa Archanjo</w:t>
      </w:r>
    </w:p>
    <w:p>
      <w:pPr>
        <w:pStyle w:val="Rodap"/>
        <w:jc w:val="center"/>
        <w:rPr/>
      </w:pPr>
      <w:r>
        <w:rPr>
          <w:sz w:val="22"/>
          <w:szCs w:val="22"/>
          <w:lang w:eastAsia="pt-BR"/>
        </w:rPr>
        <w:t xml:space="preserve">                                                                         </w:t>
      </w:r>
      <w:r>
        <w:rPr>
          <w:sz w:val="22"/>
          <w:szCs w:val="22"/>
        </w:rPr>
        <w:t>Pró Reitor de Administração</w:t>
        <w:br/>
        <w:t xml:space="preserve">                                                                         Portaria N° 2466 de 01/09/2017</w:t>
      </w:r>
    </w:p>
    <w:p>
      <w:pPr>
        <w:pStyle w:val="Normal"/>
        <w:spacing w:lineRule="auto" w:line="276"/>
        <w:ind w:left="284" w:hanging="0"/>
        <w:rPr/>
      </w:pPr>
      <w:r>
        <w:rPr/>
      </w:r>
    </w:p>
    <w:p>
      <w:pPr>
        <w:pStyle w:val="Normal"/>
        <w:spacing w:lineRule="auto" w:line="276"/>
        <w:ind w:left="284" w:hanging="0"/>
        <w:rPr/>
      </w:pPr>
      <w:r>
        <w:rPr/>
      </w:r>
    </w:p>
    <w:p>
      <w:pPr>
        <w:pStyle w:val="Normal"/>
        <w:spacing w:lineRule="auto" w:line="276"/>
        <w:ind w:left="284" w:hanging="0"/>
        <w:rPr/>
      </w:pPr>
      <w:r>
        <w:rPr/>
        <w:t>__________________________________</w:t>
      </w:r>
    </w:p>
    <w:p>
      <w:pPr>
        <w:pStyle w:val="Normal"/>
        <w:spacing w:lineRule="auto" w:line="276" w:before="0" w:after="0"/>
        <w:contextualSpacing/>
        <w:rPr>
          <w:sz w:val="22"/>
          <w:szCs w:val="22"/>
          <w:lang w:eastAsia="pt-BR"/>
        </w:rPr>
      </w:pPr>
      <w:r>
        <w:rPr>
          <w:sz w:val="22"/>
          <w:szCs w:val="22"/>
        </w:rPr>
        <w:t xml:space="preserve">              </w:t>
      </w:r>
      <w:r>
        <w:rPr>
          <w:b/>
          <w:sz w:val="22"/>
          <w:szCs w:val="22"/>
          <w:lang w:eastAsia="pt-BR"/>
        </w:rPr>
        <w:t>Xavier Dominique Marie Chauvet</w:t>
      </w:r>
      <w:r>
        <w:rPr>
          <w:sz w:val="22"/>
          <w:szCs w:val="22"/>
          <w:lang w:eastAsia="pt-BR"/>
        </w:rPr>
        <w:br/>
        <w:t xml:space="preserve">                   Chefe da Divisão de Fazendas</w:t>
        <w:br/>
        <w:t xml:space="preserve">                    Portaria N° 2365 de 28/09/15</w:t>
      </w:r>
    </w:p>
    <w:p>
      <w:pPr>
        <w:pStyle w:val="Normal"/>
        <w:suppressAutoHyphens w:val="false"/>
        <w:rPr>
          <w:sz w:val="22"/>
          <w:szCs w:val="22"/>
          <w:lang w:eastAsia="pt-BR"/>
        </w:rPr>
      </w:pPr>
      <w:r>
        <w:rPr>
          <w:sz w:val="22"/>
          <w:szCs w:val="22"/>
          <w:lang w:eastAsia="pt-BR"/>
        </w:rPr>
      </w:r>
      <w:r>
        <w:br w:type="page"/>
      </w:r>
    </w:p>
    <w:p>
      <w:pPr>
        <w:pStyle w:val="Normal"/>
        <w:jc w:val="center"/>
        <w:rPr>
          <w:rFonts w:ascii="Verdana" w:hAnsi="Verdana" w:cs="Arial"/>
          <w:b/>
          <w:b/>
          <w:i/>
          <w:i/>
          <w:sz w:val="18"/>
          <w:szCs w:val="18"/>
        </w:rPr>
      </w:pPr>
      <w:r>
        <w:rPr>
          <w:rFonts w:cs="Arial" w:ascii="Verdana" w:hAnsi="Verdana"/>
          <w:b/>
          <w:i/>
          <w:sz w:val="18"/>
          <w:szCs w:val="18"/>
        </w:rPr>
        <w:t xml:space="preserve">ANEXO II </w:t>
      </w:r>
    </w:p>
    <w:p>
      <w:pPr>
        <w:pStyle w:val="Normal"/>
        <w:jc w:val="center"/>
        <w:rPr>
          <w:rFonts w:ascii="Verdana" w:hAnsi="Verdana" w:cs="Arial"/>
          <w:b/>
          <w:b/>
          <w:sz w:val="18"/>
          <w:szCs w:val="18"/>
        </w:rPr>
      </w:pPr>
      <w:r>
        <w:rPr>
          <w:rFonts w:cs="Arial" w:ascii="Verdana" w:hAnsi="Verdana"/>
          <w:b/>
          <w:i/>
          <w:sz w:val="18"/>
          <w:szCs w:val="18"/>
        </w:rPr>
        <w:t>MODELO DE PROPOSTA DE PREÇOS</w:t>
      </w:r>
    </w:p>
    <w:p>
      <w:pPr>
        <w:pStyle w:val="TextosemFormatao1"/>
        <w:ind w:right="-5" w:hanging="0"/>
        <w:jc w:val="center"/>
        <w:rPr>
          <w:rFonts w:ascii="Verdana" w:hAnsi="Verdana" w:eastAsia="Verdana" w:cs="Verdana"/>
          <w:sz w:val="18"/>
          <w:szCs w:val="18"/>
        </w:rPr>
      </w:pPr>
      <w:r>
        <w:rPr>
          <w:rFonts w:cs="Arial" w:ascii="Verdana" w:hAnsi="Verdana"/>
          <w:b/>
          <w:sz w:val="18"/>
          <w:szCs w:val="18"/>
        </w:rPr>
        <w:t>PROPOSTA DE PREÇOS COM RELAÇÃO DOS MATERIAIS</w:t>
      </w:r>
    </w:p>
    <w:p>
      <w:pPr>
        <w:pStyle w:val="TextosemFormatao1"/>
        <w:ind w:right="-5" w:hanging="0"/>
        <w:jc w:val="both"/>
        <w:rPr>
          <w:rFonts w:ascii="Verdana" w:hAnsi="Verdana" w:cs="Arial"/>
          <w:b/>
          <w:b/>
          <w:sz w:val="18"/>
          <w:szCs w:val="18"/>
        </w:rPr>
      </w:pPr>
      <w:r>
        <w:rPr>
          <w:rFonts w:eastAsia="Verdana" w:cs="Verdana" w:ascii="Verdana" w:hAnsi="Verdana"/>
          <w:sz w:val="18"/>
          <w:szCs w:val="18"/>
        </w:rPr>
        <w:t xml:space="preserve"> </w:t>
      </w:r>
    </w:p>
    <w:p>
      <w:pPr>
        <w:pStyle w:val="TextosemFormatao1"/>
        <w:ind w:right="-5" w:hanging="0"/>
        <w:jc w:val="both"/>
        <w:rPr>
          <w:rFonts w:ascii="Verdana" w:hAnsi="Verdana" w:cs="Arial"/>
          <w:b/>
          <w:b/>
          <w:sz w:val="18"/>
          <w:szCs w:val="18"/>
        </w:rPr>
      </w:pPr>
      <w:r>
        <w:rPr>
          <w:rFonts w:cs="Arial" w:ascii="Verdana" w:hAnsi="Verdana"/>
          <w:b/>
          <w:sz w:val="18"/>
          <w:szCs w:val="18"/>
        </w:rPr>
        <w:t>A</w:t>
      </w:r>
    </w:p>
    <w:p>
      <w:pPr>
        <w:pStyle w:val="TextosemFormatao1"/>
        <w:ind w:right="-5" w:hanging="0"/>
        <w:jc w:val="both"/>
        <w:rPr>
          <w:rFonts w:ascii="Verdana" w:hAnsi="Verdana" w:cs="Arial"/>
          <w:b/>
          <w:b/>
          <w:sz w:val="18"/>
          <w:szCs w:val="18"/>
        </w:rPr>
      </w:pPr>
      <w:r>
        <w:rPr>
          <w:rFonts w:cs="Arial" w:ascii="Verdana" w:hAnsi="Verdana"/>
          <w:b/>
          <w:sz w:val="18"/>
          <w:szCs w:val="18"/>
        </w:rPr>
        <w:t xml:space="preserve">DIVISÃO DE LICITAÇÕES </w:t>
      </w:r>
    </w:p>
    <w:p>
      <w:pPr>
        <w:pStyle w:val="TextosemFormatao1"/>
        <w:ind w:right="-5" w:hanging="0"/>
        <w:jc w:val="both"/>
        <w:rPr>
          <w:rFonts w:ascii="Verdana" w:hAnsi="Verdana" w:cs="Arial"/>
          <w:sz w:val="18"/>
          <w:szCs w:val="18"/>
        </w:rPr>
      </w:pPr>
      <w:r>
        <w:rPr>
          <w:rFonts w:cs="Arial" w:ascii="Verdana" w:hAnsi="Verdana"/>
          <w:b/>
          <w:sz w:val="18"/>
          <w:szCs w:val="18"/>
        </w:rPr>
        <w:t>UNIVERSIDADE FEDERAL DOS VALES DO JEQUITINHONHA E MUCURI - UFVJM</w:t>
      </w:r>
    </w:p>
    <w:p>
      <w:pPr>
        <w:pStyle w:val="TextosemFormatao1"/>
        <w:ind w:right="-5" w:hanging="0"/>
        <w:jc w:val="both"/>
        <w:rPr>
          <w:rFonts w:ascii="Verdana" w:hAnsi="Verdana" w:cs="Arial"/>
          <w:sz w:val="18"/>
          <w:szCs w:val="18"/>
        </w:rPr>
      </w:pPr>
      <w:r>
        <w:rPr>
          <w:rFonts w:cs="Arial" w:ascii="Verdana" w:hAnsi="Verdana"/>
          <w:sz w:val="18"/>
          <w:szCs w:val="18"/>
        </w:rPr>
      </w:r>
    </w:p>
    <w:p>
      <w:pPr>
        <w:pStyle w:val="TextosemFormatao1"/>
        <w:ind w:right="-5" w:hanging="0"/>
        <w:jc w:val="both"/>
        <w:rPr>
          <w:rFonts w:ascii="Verdana" w:hAnsi="Verdana" w:eastAsia="Verdana" w:cs="Verdana"/>
          <w:b/>
          <w:b/>
          <w:sz w:val="18"/>
          <w:szCs w:val="18"/>
        </w:rPr>
      </w:pPr>
      <w:r>
        <w:rPr>
          <w:rFonts w:cs="Arial" w:ascii="Verdana" w:hAnsi="Verdana"/>
          <w:b/>
          <w:sz w:val="18"/>
          <w:szCs w:val="18"/>
        </w:rPr>
        <w:t>Ref: PREGÃO ELETRÔNICO Nº 034/2018</w:t>
      </w:r>
    </w:p>
    <w:p>
      <w:pPr>
        <w:pStyle w:val="TextosemFormatao1"/>
        <w:ind w:right="-5" w:firstLine="360"/>
        <w:jc w:val="both"/>
        <w:rPr>
          <w:rFonts w:ascii="Verdana" w:hAnsi="Verdana" w:cs="Arial"/>
          <w:sz w:val="18"/>
          <w:szCs w:val="18"/>
          <w:lang w:val="pt-PT"/>
        </w:rPr>
      </w:pPr>
      <w:r>
        <w:rPr>
          <w:rFonts w:eastAsia="Verdana" w:cs="Verdana" w:ascii="Verdana" w:hAnsi="Verdana"/>
          <w:b/>
          <w:sz w:val="18"/>
          <w:szCs w:val="18"/>
        </w:rPr>
        <w:t xml:space="preserve"> </w:t>
      </w:r>
      <w:r>
        <w:rPr>
          <w:rFonts w:cs="Arial" w:ascii="Verdana" w:hAnsi="Verdana"/>
          <w:b/>
          <w:sz w:val="18"/>
          <w:szCs w:val="18"/>
        </w:rPr>
        <w:t>SISTEMA DE REGISTRO DE PREÇOS</w:t>
      </w:r>
    </w:p>
    <w:p>
      <w:pPr>
        <w:pStyle w:val="Bodytext2"/>
        <w:rPr>
          <w:rFonts w:ascii="Verdana" w:hAnsi="Verdana" w:cs="Arial"/>
          <w:sz w:val="18"/>
          <w:szCs w:val="18"/>
          <w:lang w:val="pt-PT"/>
        </w:rPr>
      </w:pPr>
      <w:r>
        <w:rPr>
          <w:rFonts w:cs="Arial" w:ascii="Verdana" w:hAnsi="Verdana"/>
          <w:sz w:val="18"/>
          <w:szCs w:val="18"/>
          <w:lang w:val="pt-PT"/>
        </w:rPr>
      </w:r>
    </w:p>
    <w:p>
      <w:pPr>
        <w:pStyle w:val="TextosemFormatao1"/>
        <w:ind w:right="-5" w:hanging="0"/>
        <w:jc w:val="both"/>
        <w:rPr>
          <w:rFonts w:ascii="Verdana" w:hAnsi="Verdana" w:eastAsia="Verdana" w:cs="Verdana"/>
          <w:sz w:val="18"/>
          <w:szCs w:val="18"/>
        </w:rPr>
      </w:pPr>
      <w:r>
        <w:rPr>
          <w:rFonts w:cs="Arial" w:ascii="Verdana" w:hAnsi="Verdana"/>
          <w:sz w:val="18"/>
          <w:szCs w:val="18"/>
        </w:rPr>
        <w:t>Prezados Senhores</w:t>
      </w:r>
    </w:p>
    <w:p>
      <w:pPr>
        <w:pStyle w:val="TextosemFormatao1"/>
        <w:ind w:right="-5" w:hanging="0"/>
        <w:jc w:val="both"/>
        <w:rPr>
          <w:rFonts w:ascii="Verdana" w:hAnsi="Verdana" w:cs="Arial"/>
          <w:sz w:val="18"/>
          <w:szCs w:val="18"/>
        </w:rPr>
      </w:pPr>
      <w:r>
        <w:rPr>
          <w:rFonts w:eastAsia="Verdana" w:cs="Verdana" w:ascii="Verdana" w:hAnsi="Verdana"/>
          <w:sz w:val="18"/>
          <w:szCs w:val="18"/>
        </w:rPr>
        <w:t xml:space="preserve"> </w:t>
      </w:r>
    </w:p>
    <w:p>
      <w:pPr>
        <w:pStyle w:val="TextosemFormatao1"/>
        <w:ind w:right="-5" w:hanging="0"/>
        <w:jc w:val="both"/>
        <w:rPr>
          <w:rFonts w:ascii="Arial" w:hAnsi="Arial" w:cs="Arial"/>
          <w:sz w:val="16"/>
          <w:szCs w:val="16"/>
        </w:rPr>
      </w:pPr>
      <w:r>
        <w:rPr>
          <w:rFonts w:cs="Arial" w:ascii="Verdana" w:hAnsi="Verdana"/>
          <w:sz w:val="18"/>
          <w:szCs w:val="18"/>
        </w:rPr>
        <w:t>Estamos cotando os serviços dos itens a seguir relacionados, com vista ao seu fornecimento a essa Universidade, de acordo com o disposto na Lei no. 8.666, de 21 de junho de 1993.</w:t>
      </w:r>
    </w:p>
    <w:p>
      <w:pPr>
        <w:pStyle w:val="TextosemFormatao1"/>
        <w:ind w:right="-5" w:hanging="0"/>
        <w:jc w:val="both"/>
        <w:rPr>
          <w:rFonts w:ascii="Arial" w:hAnsi="Arial" w:cs="Arial"/>
          <w:sz w:val="16"/>
          <w:szCs w:val="16"/>
        </w:rPr>
      </w:pPr>
      <w:r>
        <w:rPr>
          <w:rFonts w:cs="Arial" w:ascii="Arial" w:hAnsi="Arial"/>
          <w:sz w:val="16"/>
          <w:szCs w:val="16"/>
        </w:rPr>
      </w:r>
    </w:p>
    <w:p>
      <w:pPr>
        <w:pStyle w:val="TextosemFormatao1"/>
        <w:tabs>
          <w:tab w:val="right" w:pos="8504" w:leader="none"/>
        </w:tabs>
        <w:jc w:val="both"/>
        <w:rPr>
          <w:rFonts w:ascii="Verdana" w:hAnsi="Verdana" w:cs="Arial"/>
          <w:b/>
          <w:b/>
          <w:sz w:val="18"/>
          <w:szCs w:val="18"/>
        </w:rPr>
      </w:pPr>
      <w:r>
        <w:rPr>
          <w:rFonts w:cs="Arial" w:ascii="Verdana" w:hAnsi="Verdana"/>
          <w:b/>
          <w:sz w:val="18"/>
          <w:szCs w:val="18"/>
        </w:rPr>
        <w:t xml:space="preserve">Razão social:                                                                       CNPJ:              </w:t>
        <w:tab/>
      </w:r>
    </w:p>
    <w:p>
      <w:pPr>
        <w:pStyle w:val="TextosemFormatao1"/>
        <w:jc w:val="both"/>
        <w:rPr>
          <w:rFonts w:ascii="Verdana" w:hAnsi="Verdana" w:cs="Arial"/>
          <w:b/>
          <w:b/>
          <w:sz w:val="18"/>
          <w:szCs w:val="18"/>
        </w:rPr>
      </w:pPr>
      <w:r>
        <w:rPr>
          <w:rFonts w:cs="Arial" w:ascii="Verdana" w:hAnsi="Verdana"/>
          <w:b/>
          <w:sz w:val="18"/>
          <w:szCs w:val="18"/>
        </w:rPr>
        <w:t xml:space="preserve">Banco:                                  Agência:                                 Conta:       </w:t>
      </w:r>
    </w:p>
    <w:p>
      <w:pPr>
        <w:pStyle w:val="TextosemFormatao1"/>
        <w:jc w:val="both"/>
        <w:rPr>
          <w:rFonts w:ascii="Verdana" w:hAnsi="Verdana" w:cs="Arial"/>
          <w:b/>
          <w:b/>
          <w:sz w:val="18"/>
          <w:szCs w:val="18"/>
        </w:rPr>
      </w:pPr>
      <w:r>
        <w:rPr>
          <w:rFonts w:cs="Arial" w:ascii="Verdana" w:hAnsi="Verdana"/>
          <w:b/>
          <w:sz w:val="18"/>
          <w:szCs w:val="18"/>
        </w:rPr>
        <w:t xml:space="preserve">Praça de pagamento:                                                          Contato:                                   </w:t>
      </w:r>
    </w:p>
    <w:p>
      <w:pPr>
        <w:pStyle w:val="TextosemFormatao1"/>
        <w:ind w:right="-5" w:hanging="0"/>
        <w:jc w:val="both"/>
        <w:rPr>
          <w:rFonts w:ascii="Arial" w:hAnsi="Arial" w:cs="Arial"/>
          <w:sz w:val="16"/>
          <w:szCs w:val="16"/>
        </w:rPr>
      </w:pPr>
      <w:r>
        <w:rPr>
          <w:rFonts w:cs="Arial" w:ascii="Verdana" w:hAnsi="Verdana"/>
          <w:b/>
          <w:sz w:val="18"/>
          <w:szCs w:val="18"/>
        </w:rPr>
        <w:t xml:space="preserve">Fone:                                    Fax:                                         e-mail:                                          </w:t>
      </w:r>
    </w:p>
    <w:p>
      <w:pPr>
        <w:pStyle w:val="TextosemFormatao1"/>
        <w:ind w:right="-5" w:hanging="0"/>
        <w:jc w:val="both"/>
        <w:rPr>
          <w:rFonts w:ascii="Arial" w:hAnsi="Arial" w:cs="Arial"/>
          <w:sz w:val="16"/>
          <w:szCs w:val="16"/>
        </w:rPr>
      </w:pPr>
      <w:r>
        <w:rPr>
          <w:rFonts w:cs="Arial" w:ascii="Arial" w:hAnsi="Arial"/>
          <w:sz w:val="16"/>
          <w:szCs w:val="16"/>
        </w:rPr>
      </w:r>
    </w:p>
    <w:tbl>
      <w:tblPr>
        <w:tblW w:w="9369" w:type="dxa"/>
        <w:jc w:val="left"/>
        <w:tblInd w:w="70" w:type="dxa"/>
        <w:tblBorders>
          <w:top w:val="single" w:sz="4" w:space="0" w:color="000001"/>
          <w:left w:val="single" w:sz="4" w:space="0" w:color="000001"/>
          <w:bottom w:val="single" w:sz="4" w:space="0" w:color="000001"/>
          <w:insideH w:val="single" w:sz="4" w:space="0" w:color="000001"/>
        </w:tblBorders>
        <w:tblCellMar>
          <w:top w:w="0" w:type="dxa"/>
          <w:left w:w="65" w:type="dxa"/>
          <w:bottom w:w="0" w:type="dxa"/>
          <w:right w:w="70" w:type="dxa"/>
        </w:tblCellMar>
        <w:tblLook w:val="0000"/>
      </w:tblPr>
      <w:tblGrid>
        <w:gridCol w:w="853"/>
        <w:gridCol w:w="4128"/>
        <w:gridCol w:w="959"/>
        <w:gridCol w:w="698"/>
        <w:gridCol w:w="1180"/>
        <w:gridCol w:w="1550"/>
      </w:tblGrid>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t>ITEM</w:t>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t>DESCRIÇÃO</w:t>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t>UNID.</w:t>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t>QTD.</w:t>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t>MARCA</w:t>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jc w:val="center"/>
              <w:rPr/>
            </w:pPr>
            <w:r>
              <w:rPr>
                <w:rFonts w:cs="Verdana" w:ascii="Verdana" w:hAnsi="Verdana"/>
                <w:b/>
                <w:bCs/>
                <w:color w:val="000000"/>
                <w:sz w:val="16"/>
                <w:szCs w:val="16"/>
                <w:lang w:eastAsia="pt-BR"/>
              </w:rPr>
              <w:t>VL. UNIT</w:t>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r>
        <w:trPr>
          <w:trHeight w:val="300" w:hRule="atLeast"/>
        </w:trPr>
        <w:tc>
          <w:tcPr>
            <w:tcW w:w="853"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412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959"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rPr>
                <w:rFonts w:ascii="Calibri" w:hAnsi="Calibri" w:cs="Calibri"/>
                <w:color w:val="000000"/>
                <w:sz w:val="22"/>
                <w:szCs w:val="22"/>
              </w:rPr>
            </w:pPr>
            <w:r>
              <w:rPr>
                <w:rFonts w:cs="Calibri" w:ascii="Calibri" w:hAnsi="Calibri"/>
                <w:color w:val="000000"/>
                <w:sz w:val="22"/>
                <w:szCs w:val="22"/>
              </w:rPr>
            </w:r>
          </w:p>
        </w:tc>
        <w:tc>
          <w:tcPr>
            <w:tcW w:w="698"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napToGrid w:val="false"/>
              <w:jc w:val="right"/>
              <w:rPr>
                <w:rFonts w:ascii="Calibri" w:hAnsi="Calibri" w:cs="Calibri"/>
                <w:color w:val="000000"/>
                <w:sz w:val="22"/>
                <w:szCs w:val="22"/>
              </w:rPr>
            </w:pPr>
            <w:r>
              <w:rPr>
                <w:rFonts w:cs="Calibri" w:ascii="Calibri" w:hAnsi="Calibri"/>
                <w:color w:val="000000"/>
                <w:sz w:val="22"/>
                <w:szCs w:val="22"/>
              </w:rPr>
            </w:r>
          </w:p>
        </w:tc>
        <w:tc>
          <w:tcPr>
            <w:tcW w:w="1180" w:type="dxa"/>
            <w:tcBorders>
              <w:top w:val="single" w:sz="4" w:space="0" w:color="000001"/>
              <w:left w:val="single" w:sz="4" w:space="0" w:color="000001"/>
              <w:bottom w:val="single" w:sz="4" w:space="0" w:color="000001"/>
              <w:insideH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c>
          <w:tcPr>
            <w:tcW w:w="15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5" w:type="dxa"/>
            </w:tcMar>
            <w:vAlign w:val="center"/>
          </w:tcPr>
          <w:p>
            <w:pPr>
              <w:pStyle w:val="Normal"/>
              <w:suppressAutoHyphens w:val="false"/>
              <w:snapToGrid w:val="false"/>
              <w:jc w:val="center"/>
              <w:rPr>
                <w:rFonts w:ascii="Verdana" w:hAnsi="Verdana" w:cs="Verdana"/>
                <w:b/>
                <w:b/>
                <w:bCs/>
                <w:color w:val="000000"/>
                <w:sz w:val="16"/>
                <w:szCs w:val="16"/>
                <w:lang w:eastAsia="pt-BR"/>
              </w:rPr>
            </w:pPr>
            <w:r>
              <w:rPr>
                <w:rFonts w:cs="Verdana" w:ascii="Verdana" w:hAnsi="Verdana"/>
                <w:b/>
                <w:bCs/>
                <w:color w:val="000000"/>
                <w:sz w:val="16"/>
                <w:szCs w:val="16"/>
                <w:lang w:eastAsia="pt-BR"/>
              </w:rPr>
            </w:r>
          </w:p>
        </w:tc>
      </w:tr>
    </w:tbl>
    <w:p>
      <w:pPr>
        <w:pStyle w:val="TextosemFormatao1"/>
        <w:ind w:right="-5" w:hanging="0"/>
        <w:jc w:val="both"/>
        <w:rPr>
          <w:rFonts w:ascii="Verdana" w:hAnsi="Verdana" w:cs="Arial"/>
          <w:b/>
          <w:b/>
          <w:sz w:val="18"/>
          <w:szCs w:val="18"/>
        </w:rPr>
      </w:pPr>
      <w:r>
        <w:rPr>
          <w:rFonts w:cs="Arial" w:ascii="Verdana" w:hAnsi="Verdana"/>
          <w:b/>
          <w:sz w:val="18"/>
          <w:szCs w:val="18"/>
        </w:rPr>
      </w:r>
    </w:p>
    <w:p>
      <w:pPr>
        <w:pStyle w:val="TextosemFormatao1"/>
        <w:ind w:right="-5" w:hanging="0"/>
        <w:jc w:val="both"/>
        <w:rPr>
          <w:rFonts w:ascii="Verdana" w:hAnsi="Verdana" w:cs="Arial"/>
          <w:b/>
          <w:b/>
          <w:sz w:val="18"/>
          <w:szCs w:val="18"/>
        </w:rPr>
      </w:pPr>
      <w:r>
        <w:rPr>
          <w:rFonts w:cs="Arial" w:ascii="Verdana" w:hAnsi="Verdana"/>
          <w:b/>
          <w:sz w:val="18"/>
          <w:szCs w:val="18"/>
        </w:rPr>
      </w:r>
    </w:p>
    <w:p>
      <w:pPr>
        <w:pStyle w:val="TextosemFormatao1"/>
        <w:ind w:right="-5" w:hanging="0"/>
        <w:jc w:val="both"/>
        <w:rPr>
          <w:rFonts w:ascii="Verdana" w:hAnsi="Verdana" w:cs="Arial"/>
          <w:b/>
          <w:b/>
          <w:sz w:val="18"/>
          <w:szCs w:val="18"/>
        </w:rPr>
      </w:pPr>
      <w:r>
        <w:rPr>
          <w:rFonts w:cs="Arial" w:ascii="Verdana" w:hAnsi="Verdana"/>
          <w:b/>
          <w:sz w:val="18"/>
          <w:szCs w:val="18"/>
        </w:rPr>
        <w:t xml:space="preserve">Validade da proposta: </w:t>
      </w:r>
    </w:p>
    <w:p>
      <w:pPr>
        <w:pStyle w:val="TextosemFormatao1"/>
        <w:ind w:right="-5" w:hanging="0"/>
        <w:jc w:val="both"/>
        <w:rPr>
          <w:rFonts w:ascii="Verdana" w:hAnsi="Verdana" w:cs="Arial"/>
          <w:b/>
          <w:b/>
          <w:sz w:val="18"/>
          <w:szCs w:val="18"/>
        </w:rPr>
      </w:pPr>
      <w:r>
        <w:rPr>
          <w:rFonts w:cs="Arial" w:ascii="Verdana" w:hAnsi="Verdana"/>
          <w:b/>
          <w:sz w:val="18"/>
          <w:szCs w:val="18"/>
        </w:rPr>
        <w:t>Local de entrega dos materiais:</w:t>
      </w:r>
    </w:p>
    <w:p>
      <w:pPr>
        <w:pStyle w:val="TextosemFormatao1"/>
        <w:ind w:right="-5" w:hanging="0"/>
        <w:jc w:val="both"/>
        <w:rPr>
          <w:rFonts w:ascii="Verdana" w:hAnsi="Verdana" w:cs="Arial"/>
          <w:b/>
          <w:b/>
          <w:sz w:val="18"/>
          <w:szCs w:val="18"/>
        </w:rPr>
      </w:pPr>
      <w:r>
        <w:rPr>
          <w:rFonts w:cs="Arial" w:ascii="Verdana" w:hAnsi="Verdana"/>
          <w:b/>
          <w:sz w:val="18"/>
          <w:szCs w:val="18"/>
        </w:rPr>
        <w:t>Especificações Complementares: (se necessário)</w:t>
      </w:r>
    </w:p>
    <w:p>
      <w:pPr>
        <w:pStyle w:val="TextosemFormatao1"/>
        <w:ind w:right="-5" w:hanging="0"/>
        <w:jc w:val="both"/>
        <w:rPr>
          <w:rFonts w:ascii="Verdana" w:hAnsi="Verdana" w:cs="Arial"/>
          <w:b/>
          <w:b/>
          <w:sz w:val="18"/>
          <w:szCs w:val="18"/>
        </w:rPr>
      </w:pPr>
      <w:r>
        <w:rPr>
          <w:rFonts w:cs="Arial" w:ascii="Verdana" w:hAnsi="Verdana"/>
          <w:b/>
          <w:sz w:val="18"/>
          <w:szCs w:val="18"/>
        </w:rPr>
        <w:t>Nome, qualificação, CI e CPF do responsável pela assinatura da ARP:</w:t>
      </w:r>
    </w:p>
    <w:p>
      <w:pPr>
        <w:pStyle w:val="Normal"/>
        <w:tabs>
          <w:tab w:val="left" w:pos="0" w:leader="none"/>
        </w:tabs>
        <w:ind w:right="-5" w:hanging="0"/>
        <w:jc w:val="both"/>
        <w:rPr>
          <w:rFonts w:ascii="Verdana" w:hAnsi="Verdana" w:cs="Arial"/>
          <w:b/>
          <w:b/>
          <w:sz w:val="18"/>
          <w:szCs w:val="18"/>
        </w:rPr>
      </w:pPr>
      <w:r>
        <w:rPr>
          <w:rFonts w:cs="Arial" w:ascii="Verdana" w:hAnsi="Verdana"/>
          <w:b/>
          <w:sz w:val="18"/>
          <w:szCs w:val="18"/>
        </w:rPr>
      </w:r>
    </w:p>
    <w:p>
      <w:pPr>
        <w:pStyle w:val="Normal"/>
        <w:tabs>
          <w:tab w:val="left" w:pos="0" w:leader="none"/>
        </w:tabs>
        <w:ind w:right="-5" w:hanging="0"/>
        <w:jc w:val="both"/>
        <w:rPr>
          <w:rFonts w:ascii="Verdana" w:hAnsi="Verdana" w:cs="Arial"/>
          <w:sz w:val="18"/>
          <w:szCs w:val="18"/>
        </w:rPr>
      </w:pPr>
      <w:r>
        <w:rPr>
          <w:rFonts w:cs="Arial" w:ascii="Verdana" w:hAnsi="Verdana"/>
          <w:b/>
          <w:sz w:val="18"/>
          <w:szCs w:val="18"/>
        </w:rPr>
        <w:t>Declaração:</w:t>
      </w:r>
      <w:r>
        <w:rPr>
          <w:rFonts w:cs="Arial" w:ascii="Verdana" w:hAnsi="Verdana"/>
          <w:sz w:val="18"/>
          <w:szCs w:val="18"/>
        </w:rPr>
        <w:t xml:space="preserve"> Os preços mantidos na proposta escrita e naqueles que porventura vierem a ser ofertados através de lances verbais, estão incluídos todos os encargos, impostos e fretes, que se fizerem indispensáveis à perfeita execução dos serviços objeto da licitação.</w:t>
      </w:r>
    </w:p>
    <w:p>
      <w:pPr>
        <w:pStyle w:val="Normal"/>
        <w:spacing w:lineRule="auto" w:line="276" w:before="0" w:after="0"/>
        <w:contextualSpacing/>
        <w:rPr/>
      </w:pPr>
      <w:r>
        <w:rPr/>
      </w:r>
      <w:r>
        <w:br w:type="page"/>
      </w:r>
    </w:p>
    <w:p>
      <w:pPr>
        <w:pStyle w:val="Normal"/>
        <w:tabs>
          <w:tab w:val="left" w:pos="0" w:leader="none"/>
        </w:tabs>
        <w:ind w:right="-5" w:hanging="0"/>
        <w:jc w:val="center"/>
        <w:rPr>
          <w:rFonts w:ascii="Verdana" w:hAnsi="Verdana" w:cs="Verdana"/>
          <w:sz w:val="18"/>
          <w:szCs w:val="18"/>
        </w:rPr>
      </w:pPr>
      <w:r>
        <w:rPr>
          <w:rFonts w:cs="Arial" w:ascii="Verdana" w:hAnsi="Verdana"/>
          <w:b/>
          <w:sz w:val="18"/>
          <w:szCs w:val="18"/>
          <w:u w:val="single"/>
        </w:rPr>
        <w:t>ANEXO III</w:t>
      </w:r>
    </w:p>
    <w:p>
      <w:pPr>
        <w:pStyle w:val="Ttulo2"/>
        <w:jc w:val="center"/>
        <w:rPr>
          <w:rFonts w:ascii="Verdana" w:hAnsi="Verdana" w:cs="Verdana"/>
          <w:sz w:val="18"/>
          <w:szCs w:val="18"/>
        </w:rPr>
      </w:pPr>
      <w:r>
        <w:rPr>
          <w:rFonts w:cs="Verdana" w:ascii="Verdana" w:hAnsi="Verdana"/>
          <w:i w:val="false"/>
          <w:sz w:val="18"/>
          <w:szCs w:val="18"/>
        </w:rPr>
        <w:t>MINUTA DA ATA DE REGISTRO DE PREÇOS N° XX/2018</w:t>
      </w:r>
    </w:p>
    <w:p>
      <w:pPr>
        <w:pStyle w:val="Ttulo1"/>
        <w:jc w:val="center"/>
        <w:rPr>
          <w:rFonts w:ascii="Verdana" w:hAnsi="Verdana"/>
          <w:i/>
          <w:i/>
          <w:sz w:val="18"/>
          <w:szCs w:val="18"/>
        </w:rPr>
      </w:pPr>
      <w:r>
        <w:rPr>
          <w:rFonts w:cs="Verdana" w:ascii="Verdana" w:hAnsi="Verdana"/>
          <w:i/>
          <w:sz w:val="18"/>
          <w:szCs w:val="18"/>
        </w:rPr>
        <w:t>PREGÃO ELETRÔNICO Nº 034/2018</w:t>
      </w:r>
    </w:p>
    <w:p>
      <w:pPr>
        <w:pStyle w:val="Ttulo8"/>
        <w:keepLines/>
        <w:spacing w:before="120" w:after="0"/>
        <w:rPr>
          <w:rFonts w:ascii="Verdana" w:hAnsi="Verdana" w:cs="Arial"/>
          <w:sz w:val="18"/>
          <w:szCs w:val="18"/>
        </w:rPr>
      </w:pPr>
      <w:r>
        <w:rPr>
          <w:rFonts w:cs="Arial" w:ascii="Verdana" w:hAnsi="Verdana"/>
          <w:i/>
          <w:sz w:val="18"/>
          <w:szCs w:val="18"/>
          <w:lang w:val="pt-BR"/>
        </w:rPr>
        <w:t xml:space="preserve">PROCESSO Nº </w:t>
      </w:r>
      <w:r>
        <w:rPr>
          <w:rFonts w:cs="Arial" w:ascii="Verdana" w:hAnsi="Verdana"/>
          <w:i/>
          <w:sz w:val="18"/>
          <w:szCs w:val="18"/>
        </w:rPr>
        <w:t>23086.003729/2018-78</w:t>
      </w:r>
    </w:p>
    <w:p>
      <w:pPr>
        <w:pStyle w:val="P30"/>
        <w:rPr>
          <w:rFonts w:ascii="Verdana" w:hAnsi="Verdana" w:cs="Arial"/>
          <w:sz w:val="18"/>
          <w:szCs w:val="18"/>
        </w:rPr>
      </w:pPr>
      <w:r>
        <w:rPr>
          <w:rFonts w:cs="Arial" w:ascii="Verdana" w:hAnsi="Verdana"/>
          <w:sz w:val="18"/>
          <w:szCs w:val="18"/>
        </w:rPr>
      </w:r>
    </w:p>
    <w:p>
      <w:pPr>
        <w:pStyle w:val="Normal"/>
        <w:jc w:val="both"/>
        <w:rPr>
          <w:rFonts w:ascii="Verdana" w:hAnsi="Verdana" w:cs="Arial"/>
          <w:b/>
          <w:b/>
          <w:bCs/>
          <w:sz w:val="18"/>
          <w:szCs w:val="18"/>
        </w:rPr>
      </w:pPr>
      <w:r>
        <w:rPr>
          <w:rFonts w:cs="Arial" w:ascii="Verdana" w:hAnsi="Verdana"/>
          <w:sz w:val="18"/>
          <w:szCs w:val="18"/>
        </w:rPr>
        <w:t xml:space="preserve">AOS ---- (-------------------------------) DIAS DO MÊS DE ----------------------------------- DE 2018, A </w:t>
      </w:r>
      <w:r>
        <w:rPr>
          <w:rFonts w:cs="Arial" w:ascii="Verdana" w:hAnsi="Verdana"/>
          <w:b/>
          <w:sz w:val="18"/>
          <w:szCs w:val="18"/>
        </w:rPr>
        <w:t>UNIVERSIDADE FEDERAL DOS VALES DO JEQUITINHONHA E MUCURI – UFVJM</w:t>
      </w:r>
      <w:r>
        <w:rPr>
          <w:rFonts w:cs="Arial" w:ascii="Verdana" w:hAnsi="Verdana"/>
          <w:sz w:val="18"/>
          <w:szCs w:val="18"/>
        </w:rPr>
        <w:t xml:space="preserve">, AUTARQUIA FEDERAL, COM SEDE NA CIDADE DE DIAMANTINA, NA RODOVIA MGT 367, KM 583, Nº 5000, ALTO DA JACUBA, DIAMANTINA (MG), NESTE ATO REPRESENTADA PELO SEU PRO REITOR DE ADMINISTRAÇÃO, </w:t>
      </w:r>
      <w:r>
        <w:rPr>
          <w:rFonts w:cs="Arial" w:ascii="Verdana" w:hAnsi="Verdana"/>
          <w:b/>
          <w:sz w:val="18"/>
          <w:szCs w:val="18"/>
        </w:rPr>
        <w:t>PROF. FERNANDO COSTA ARCHANJO</w:t>
      </w:r>
      <w:r>
        <w:rPr>
          <w:rFonts w:cs="Arial" w:ascii="Verdana" w:hAnsi="Verdana"/>
          <w:sz w:val="18"/>
          <w:szCs w:val="18"/>
        </w:rPr>
        <w:t xml:space="preserve">, NOS TERMOS QUE DISPÕE O ART. 15 DA LEI FEDERAL 8.666/93 E DO DECRETO N° 7.892/2013 E A EMPRESA VENCEDORA, NESTE ATO REPRESENTADA PELO SEU REPRESENTANTE LEGAL, CLASSIFICADA NO </w:t>
      </w:r>
      <w:r>
        <w:rPr>
          <w:rFonts w:cs="Arial" w:ascii="Verdana" w:hAnsi="Verdana"/>
          <w:b/>
          <w:sz w:val="18"/>
          <w:szCs w:val="18"/>
        </w:rPr>
        <w:t>PREGAO ELETRÔNICO SRP N° 034/2018</w:t>
      </w:r>
      <w:r>
        <w:rPr>
          <w:rFonts w:cs="Arial" w:ascii="Verdana" w:hAnsi="Verdana"/>
          <w:sz w:val="18"/>
          <w:szCs w:val="18"/>
        </w:rPr>
        <w:t xml:space="preserve">, </w:t>
      </w:r>
      <w:r>
        <w:rPr>
          <w:rFonts w:cs="Arial" w:ascii="Verdana" w:hAnsi="Verdana"/>
          <w:b/>
          <w:sz w:val="18"/>
          <w:szCs w:val="18"/>
        </w:rPr>
        <w:t>PROCESSO N° 23086.003729/2018-88</w:t>
      </w:r>
      <w:r>
        <w:rPr>
          <w:rFonts w:cs="Arial" w:ascii="Verdana" w:hAnsi="Verdana"/>
          <w:sz w:val="18"/>
          <w:szCs w:val="18"/>
        </w:rPr>
        <w:t xml:space="preserve"> RESOLVEM FAZER CONSTAR OS PREÇOS DOS MATERIAIS NO SISTEMA DE REGISTRO DE PREÇOS, IMPLANTADO PELO PROCESSO LICITATÓRIO CITADO, CONFORME HOMOLOGADO PELO PRÓ-REITOR DE ADMINISTRAÇÃO DA UFVJM, OBSERVADAS AS CONDIÇÕES ENUNCIADAS NAS CLÁUSULAS QUE SEGUEM:</w:t>
      </w:r>
    </w:p>
    <w:p>
      <w:pPr>
        <w:pStyle w:val="Normal"/>
        <w:ind w:left="360" w:hanging="0"/>
        <w:jc w:val="both"/>
        <w:rPr>
          <w:rFonts w:ascii="Verdana" w:hAnsi="Verdana" w:cs="Arial"/>
          <w:b/>
          <w:b/>
          <w:bCs/>
          <w:sz w:val="18"/>
          <w:szCs w:val="18"/>
        </w:rPr>
      </w:pPr>
      <w:r>
        <w:rPr>
          <w:rFonts w:cs="Arial" w:ascii="Verdana" w:hAnsi="Verdana"/>
          <w:b/>
          <w:bCs/>
          <w:sz w:val="18"/>
          <w:szCs w:val="18"/>
        </w:rPr>
      </w:r>
    </w:p>
    <w:p>
      <w:pPr>
        <w:pStyle w:val="Normal"/>
        <w:jc w:val="both"/>
        <w:rPr>
          <w:rFonts w:ascii="Verdana" w:hAnsi="Verdana" w:cs="Arial"/>
          <w:b/>
          <w:b/>
          <w:sz w:val="18"/>
          <w:szCs w:val="18"/>
        </w:rPr>
      </w:pPr>
      <w:r>
        <w:rPr>
          <w:rFonts w:cs="Arial" w:ascii="Verdana" w:hAnsi="Verdana"/>
          <w:b/>
          <w:bCs/>
          <w:sz w:val="18"/>
          <w:szCs w:val="18"/>
        </w:rPr>
        <w:t>01. OBJETO</w:t>
      </w:r>
    </w:p>
    <w:p>
      <w:pPr>
        <w:pStyle w:val="Normal"/>
        <w:jc w:val="both"/>
        <w:rPr>
          <w:rFonts w:ascii="Verdana" w:hAnsi="Verdana" w:cs="Arial"/>
          <w:b/>
          <w:b/>
          <w:sz w:val="18"/>
          <w:szCs w:val="18"/>
        </w:rPr>
      </w:pPr>
      <w:r>
        <w:rPr>
          <w:rFonts w:cs="Arial" w:ascii="Verdana" w:hAnsi="Verdana"/>
          <w:b/>
          <w:sz w:val="18"/>
          <w:szCs w:val="18"/>
        </w:rPr>
        <w:t xml:space="preserve">01.1 </w:t>
      </w:r>
      <w:r>
        <w:rPr>
          <w:rFonts w:cs="Arial" w:ascii="Verdana" w:hAnsi="Verdana"/>
          <w:sz w:val="18"/>
          <w:szCs w:val="18"/>
        </w:rPr>
        <w:t xml:space="preserve">A presente Ata tem por objetivo o </w:t>
      </w:r>
      <w:r>
        <w:rPr>
          <w:rFonts w:cs="Arial" w:ascii="Verdana" w:hAnsi="Verdana"/>
          <w:b/>
          <w:bCs/>
          <w:sz w:val="18"/>
          <w:szCs w:val="18"/>
        </w:rPr>
        <w:t>REGISTRO DE PREÇOS</w:t>
      </w:r>
      <w:r>
        <w:rPr>
          <w:rFonts w:cs="Arial" w:ascii="Verdana" w:hAnsi="Verdana"/>
          <w:b/>
          <w:sz w:val="18"/>
          <w:szCs w:val="18"/>
        </w:rPr>
        <w:t xml:space="preserve"> PARA FUTURA E EVENTUAL </w:t>
      </w:r>
      <w:r>
        <w:rPr>
          <w:rFonts w:cs="Verdana" w:ascii="Verdana" w:hAnsi="Verdana"/>
          <w:b/>
          <w:sz w:val="18"/>
          <w:szCs w:val="18"/>
        </w:rPr>
        <w:t>AQUISIÇÃO DE INSUMOS AGRÍCOLAS PARA ATENDER A DEMANDA DA UFVJM</w:t>
      </w:r>
      <w:r>
        <w:rPr>
          <w:rFonts w:cs="Arial" w:ascii="Verdana" w:hAnsi="Verdana"/>
          <w:b/>
          <w:sz w:val="18"/>
          <w:szCs w:val="18"/>
        </w:rPr>
        <w:t>,</w:t>
      </w:r>
      <w:r>
        <w:rPr>
          <w:rFonts w:cs="Arial" w:ascii="Verdana" w:hAnsi="Verdana"/>
          <w:sz w:val="18"/>
          <w:szCs w:val="18"/>
        </w:rPr>
        <w:t xml:space="preserve"> conforme especificações e exigências constantes do Edital do Pregão Eletrônico nº. 034/2018;</w:t>
      </w:r>
    </w:p>
    <w:p>
      <w:pPr>
        <w:pStyle w:val="Normal"/>
        <w:jc w:val="both"/>
        <w:rPr>
          <w:rFonts w:ascii="Verdana" w:hAnsi="Verdana" w:cs="Arial"/>
          <w:b/>
          <w:b/>
          <w:sz w:val="18"/>
          <w:szCs w:val="18"/>
        </w:rPr>
      </w:pPr>
      <w:r>
        <w:rPr>
          <w:rFonts w:cs="Arial" w:ascii="Verdana" w:hAnsi="Verdana"/>
          <w:b/>
          <w:sz w:val="18"/>
          <w:szCs w:val="18"/>
        </w:rPr>
        <w:t xml:space="preserve">01.2 </w:t>
      </w:r>
      <w:r>
        <w:rPr>
          <w:rFonts w:cs="Arial" w:ascii="Verdana" w:hAnsi="Verdana"/>
          <w:sz w:val="18"/>
          <w:szCs w:val="18"/>
        </w:rPr>
        <w:t>A existência deste Registro de preços não obriga a Administração a firmar as futuras contratações, sendo-lhe facultada a realização de procedimento específico para aquisição pretendida, sendo assegurada ao beneficiário desse registro a preferência de fornecimento, em igualdade de condições.</w:t>
      </w:r>
    </w:p>
    <w:p>
      <w:pPr>
        <w:pStyle w:val="Normal"/>
        <w:jc w:val="both"/>
        <w:rPr>
          <w:rFonts w:ascii="Verdana" w:hAnsi="Verdana" w:eastAsia="Verdana" w:cs="Verdana"/>
          <w:sz w:val="18"/>
          <w:szCs w:val="18"/>
        </w:rPr>
      </w:pPr>
      <w:r>
        <w:rPr>
          <w:rFonts w:cs="Arial" w:ascii="Verdana" w:hAnsi="Verdana"/>
          <w:b/>
          <w:sz w:val="18"/>
          <w:szCs w:val="18"/>
        </w:rPr>
        <w:t>01.3</w:t>
      </w:r>
      <w:r>
        <w:rPr>
          <w:rFonts w:cs="Arial" w:ascii="Verdana" w:hAnsi="Verdana"/>
          <w:sz w:val="18"/>
          <w:szCs w:val="18"/>
        </w:rPr>
        <w:t xml:space="preserve"> A empresa deverá a</w:t>
      </w:r>
      <w:r>
        <w:rPr>
          <w:rFonts w:cs="Verdana" w:ascii="Verdana" w:hAnsi="Verdana"/>
          <w:sz w:val="18"/>
          <w:szCs w:val="18"/>
        </w:rPr>
        <w:t>tender as solicitações parceladamente, qualquer que seja a quantidade solicitada.</w:t>
      </w:r>
    </w:p>
    <w:p>
      <w:pPr>
        <w:pStyle w:val="Normal"/>
        <w:numPr>
          <w:ilvl w:val="1"/>
          <w:numId w:val="21"/>
        </w:numPr>
        <w:tabs>
          <w:tab w:val="left" w:pos="0" w:leader="none"/>
        </w:tabs>
        <w:ind w:left="465" w:hanging="465"/>
        <w:jc w:val="both"/>
        <w:rPr>
          <w:rFonts w:ascii="Verdana" w:hAnsi="Verdana" w:cs="Arial"/>
          <w:sz w:val="18"/>
          <w:szCs w:val="18"/>
        </w:rPr>
      </w:pPr>
      <w:r>
        <w:rPr>
          <w:rFonts w:eastAsia="Verdana" w:cs="Verdana" w:ascii="Verdana" w:hAnsi="Verdana"/>
          <w:sz w:val="18"/>
          <w:szCs w:val="18"/>
        </w:rPr>
        <w:t xml:space="preserve"> </w:t>
      </w:r>
      <w:r>
        <w:rPr>
          <w:rFonts w:cs="Verdana" w:ascii="Verdana" w:hAnsi="Verdana"/>
          <w:sz w:val="18"/>
          <w:szCs w:val="18"/>
        </w:rPr>
        <w:t>Não será permitida a exigência de faturamento mínimo.</w:t>
      </w:r>
    </w:p>
    <w:p>
      <w:pPr>
        <w:pStyle w:val="Normal"/>
        <w:ind w:left="360" w:hanging="0"/>
        <w:jc w:val="both"/>
        <w:rPr>
          <w:rFonts w:ascii="Verdana" w:hAnsi="Verdana" w:cs="Arial"/>
          <w:sz w:val="18"/>
          <w:szCs w:val="18"/>
        </w:rPr>
      </w:pPr>
      <w:r>
        <w:rPr>
          <w:rFonts w:cs="Arial" w:ascii="Verdana" w:hAnsi="Verdana"/>
          <w:sz w:val="18"/>
          <w:szCs w:val="18"/>
        </w:rPr>
      </w:r>
    </w:p>
    <w:p>
      <w:pPr>
        <w:pStyle w:val="Normal"/>
        <w:jc w:val="both"/>
        <w:rPr>
          <w:rFonts w:ascii="Verdana" w:hAnsi="Verdana" w:cs="Arial"/>
          <w:b/>
          <w:b/>
          <w:sz w:val="18"/>
          <w:szCs w:val="18"/>
        </w:rPr>
      </w:pPr>
      <w:r>
        <w:rPr>
          <w:rFonts w:cs="Arial" w:ascii="Verdana" w:hAnsi="Verdana"/>
          <w:b/>
          <w:bCs/>
          <w:sz w:val="18"/>
          <w:szCs w:val="18"/>
        </w:rPr>
        <w:t>02. DAS AQUISIÇÕES</w:t>
      </w:r>
    </w:p>
    <w:p>
      <w:pPr>
        <w:pStyle w:val="Normal"/>
        <w:jc w:val="both"/>
        <w:rPr>
          <w:rFonts w:ascii="Verdana" w:hAnsi="Verdana" w:cs="Arial"/>
          <w:b/>
          <w:b/>
          <w:sz w:val="18"/>
          <w:szCs w:val="18"/>
        </w:rPr>
      </w:pPr>
      <w:r>
        <w:rPr>
          <w:rFonts w:cs="Arial" w:ascii="Verdana" w:hAnsi="Verdana"/>
          <w:b/>
          <w:sz w:val="18"/>
          <w:szCs w:val="18"/>
        </w:rPr>
        <w:t>02.1</w:t>
      </w:r>
      <w:r>
        <w:rPr>
          <w:rFonts w:cs="Arial" w:ascii="Verdana" w:hAnsi="Verdana"/>
          <w:sz w:val="18"/>
          <w:szCs w:val="18"/>
        </w:rPr>
        <w:t xml:space="preserve"> O compromisso será efetivado através da emissão da Nota de Empenho que, nas aquisições advindas no Sistema de Registro de Preços da UFVJM, terá força de contrato, obedecendo às descrições da proposta apresentada e valores que seguem: </w:t>
      </w:r>
    </w:p>
    <w:p>
      <w:pPr>
        <w:pStyle w:val="Normal"/>
        <w:jc w:val="both"/>
        <w:rPr>
          <w:rFonts w:ascii="Verdana" w:hAnsi="Verdana" w:cs="Arial"/>
          <w:b/>
          <w:b/>
          <w:sz w:val="18"/>
          <w:szCs w:val="18"/>
        </w:rPr>
      </w:pPr>
      <w:r>
        <w:rPr>
          <w:rFonts w:cs="Arial" w:ascii="Verdana" w:hAnsi="Verdana"/>
          <w:b/>
          <w:sz w:val="18"/>
          <w:szCs w:val="18"/>
        </w:rPr>
      </w:r>
    </w:p>
    <w:p>
      <w:pPr>
        <w:pStyle w:val="Normal"/>
        <w:jc w:val="both"/>
        <w:rPr>
          <w:rFonts w:ascii="Verdana" w:hAnsi="Verdana" w:cs="Arial"/>
          <w:sz w:val="18"/>
          <w:szCs w:val="18"/>
        </w:rPr>
      </w:pPr>
      <w:r>
        <w:rPr>
          <w:rFonts w:cs="Arial" w:ascii="Verdana" w:hAnsi="Verdana"/>
          <w:b/>
          <w:sz w:val="18"/>
          <w:szCs w:val="18"/>
        </w:rPr>
        <w:t>xxxxxxxxxxxxxxxxxxxxx</w:t>
      </w:r>
    </w:p>
    <w:p>
      <w:pPr>
        <w:pStyle w:val="Normal"/>
        <w:jc w:val="both"/>
        <w:rPr>
          <w:rFonts w:ascii="Verdana" w:hAnsi="Verdana" w:cs="Arial"/>
          <w:sz w:val="18"/>
          <w:szCs w:val="18"/>
        </w:rPr>
      </w:pPr>
      <w:r>
        <w:rPr>
          <w:rFonts w:cs="Arial" w:ascii="Verdana" w:hAnsi="Verdana"/>
          <w:sz w:val="18"/>
          <w:szCs w:val="18"/>
        </w:rPr>
      </w:r>
    </w:p>
    <w:p>
      <w:pPr>
        <w:pStyle w:val="Normal"/>
        <w:jc w:val="both"/>
        <w:rPr>
          <w:rFonts w:ascii="Verdana" w:hAnsi="Verdana" w:cs="Arial"/>
          <w:b/>
          <w:b/>
          <w:sz w:val="18"/>
          <w:szCs w:val="18"/>
        </w:rPr>
      </w:pPr>
      <w:r>
        <w:rPr>
          <w:rFonts w:cs="Arial" w:ascii="Verdana" w:hAnsi="Verdana"/>
          <w:b/>
          <w:sz w:val="18"/>
          <w:szCs w:val="18"/>
        </w:rPr>
        <w:t>02.2</w:t>
      </w:r>
      <w:r>
        <w:rPr>
          <w:rFonts w:cs="Arial" w:ascii="Verdana" w:hAnsi="Verdana"/>
          <w:sz w:val="18"/>
          <w:szCs w:val="18"/>
        </w:rPr>
        <w:t xml:space="preserve"> A </w:t>
      </w:r>
      <w:r>
        <w:rPr>
          <w:rFonts w:cs="Arial" w:ascii="Verdana" w:hAnsi="Verdana"/>
          <w:b/>
          <w:sz w:val="18"/>
          <w:szCs w:val="18"/>
        </w:rPr>
        <w:t>Diretoria de Patrimônio e Materiais, através do setor designado</w:t>
      </w:r>
      <w:r>
        <w:rPr>
          <w:rFonts w:cs="Arial" w:ascii="Verdana" w:hAnsi="Verdana"/>
          <w:sz w:val="18"/>
          <w:szCs w:val="18"/>
        </w:rPr>
        <w:t xml:space="preserve"> irá gerenciar as aquisições, sendo responsável por:</w:t>
      </w:r>
    </w:p>
    <w:p>
      <w:pPr>
        <w:pStyle w:val="Normal"/>
        <w:spacing w:before="60" w:after="0"/>
        <w:jc w:val="both"/>
        <w:rPr>
          <w:rFonts w:ascii="Verdana" w:hAnsi="Verdana" w:cs="Arial"/>
          <w:b/>
          <w:b/>
          <w:sz w:val="18"/>
          <w:szCs w:val="18"/>
        </w:rPr>
      </w:pPr>
      <w:r>
        <w:rPr>
          <w:rFonts w:cs="Arial" w:ascii="Verdana" w:hAnsi="Verdana"/>
          <w:b/>
          <w:sz w:val="18"/>
          <w:szCs w:val="18"/>
        </w:rPr>
        <w:t>a)</w:t>
      </w:r>
      <w:r>
        <w:rPr>
          <w:rFonts w:cs="Arial" w:ascii="Verdana" w:hAnsi="Verdana"/>
          <w:sz w:val="18"/>
          <w:szCs w:val="18"/>
        </w:rPr>
        <w:t xml:space="preserve"> Entrar em contato com a empresa, solicitando a entrega do material, à medida que forem necessários;</w:t>
      </w:r>
    </w:p>
    <w:p>
      <w:pPr>
        <w:pStyle w:val="Normal"/>
        <w:spacing w:before="60" w:after="0"/>
        <w:jc w:val="both"/>
        <w:rPr>
          <w:rFonts w:ascii="Verdana" w:hAnsi="Verdana" w:cs="Arial"/>
          <w:b/>
          <w:b/>
          <w:sz w:val="18"/>
          <w:szCs w:val="18"/>
        </w:rPr>
      </w:pPr>
      <w:r>
        <w:rPr>
          <w:rFonts w:cs="Arial" w:ascii="Verdana" w:hAnsi="Verdana"/>
          <w:b/>
          <w:sz w:val="18"/>
          <w:szCs w:val="18"/>
        </w:rPr>
        <w:t>b)</w:t>
      </w:r>
      <w:r>
        <w:rPr>
          <w:rFonts w:cs="Arial" w:ascii="Verdana" w:hAnsi="Verdana"/>
          <w:sz w:val="18"/>
          <w:szCs w:val="18"/>
        </w:rPr>
        <w:t xml:space="preserve"> Solicitar a emissão da Nota de Empenho;</w:t>
      </w:r>
    </w:p>
    <w:p>
      <w:pPr>
        <w:pStyle w:val="Normal"/>
        <w:spacing w:before="60" w:after="0"/>
        <w:jc w:val="both"/>
        <w:rPr>
          <w:rFonts w:ascii="Verdana" w:hAnsi="Verdana" w:cs="Arial"/>
          <w:b/>
          <w:b/>
          <w:sz w:val="18"/>
          <w:szCs w:val="18"/>
        </w:rPr>
      </w:pPr>
      <w:r>
        <w:rPr>
          <w:rFonts w:cs="Arial" w:ascii="Verdana" w:hAnsi="Verdana"/>
          <w:b/>
          <w:sz w:val="18"/>
          <w:szCs w:val="18"/>
        </w:rPr>
        <w:t>c)</w:t>
      </w:r>
      <w:r>
        <w:rPr>
          <w:rFonts w:cs="Arial" w:ascii="Verdana" w:hAnsi="Verdana"/>
          <w:sz w:val="18"/>
          <w:szCs w:val="18"/>
        </w:rPr>
        <w:t xml:space="preserve"> Receber as Notas Fiscais/Faturas e conferir se estão de acordo com produtos licitados. Devendo, posteriormente, encaminhá-las para pagamento;</w:t>
      </w:r>
    </w:p>
    <w:p>
      <w:pPr>
        <w:pStyle w:val="Normal"/>
        <w:spacing w:before="60" w:after="0"/>
        <w:jc w:val="both"/>
        <w:rPr>
          <w:rFonts w:ascii="Verdana" w:hAnsi="Verdana" w:eastAsia="Verdana" w:cs="Verdana"/>
          <w:sz w:val="18"/>
          <w:szCs w:val="18"/>
        </w:rPr>
      </w:pPr>
      <w:r>
        <w:rPr>
          <w:rFonts w:cs="Arial" w:ascii="Verdana" w:hAnsi="Verdana"/>
          <w:b/>
          <w:sz w:val="18"/>
          <w:szCs w:val="18"/>
        </w:rPr>
        <w:t>d)</w:t>
      </w:r>
      <w:r>
        <w:rPr>
          <w:rFonts w:cs="Arial" w:ascii="Verdana" w:hAnsi="Verdana"/>
          <w:sz w:val="18"/>
          <w:szCs w:val="18"/>
        </w:rPr>
        <w:t xml:space="preserve"> Fiscalizar todo o processo, buscando garantir que os fornecimentos sejam realizados em conformidade com as especificações deste Edital e seus anexos.</w:t>
      </w:r>
    </w:p>
    <w:p>
      <w:pPr>
        <w:pStyle w:val="Normal"/>
        <w:numPr>
          <w:ilvl w:val="1"/>
          <w:numId w:val="6"/>
        </w:numPr>
        <w:spacing w:before="120" w:after="0"/>
        <w:ind w:left="0" w:hanging="66"/>
        <w:jc w:val="both"/>
        <w:rPr>
          <w:rFonts w:ascii="Verdana" w:hAnsi="Verdana" w:cs="Arial"/>
          <w:sz w:val="18"/>
          <w:szCs w:val="18"/>
        </w:rPr>
      </w:pPr>
      <w:r>
        <w:rPr>
          <w:rFonts w:eastAsia="Verdana" w:cs="Verdana" w:ascii="Verdana" w:hAnsi="Verdana"/>
          <w:sz w:val="18"/>
          <w:szCs w:val="18"/>
        </w:rPr>
        <w:t xml:space="preserve"> </w:t>
      </w:r>
      <w:r>
        <w:rPr>
          <w:rFonts w:cs="Arial" w:ascii="Verdana" w:hAnsi="Verdana"/>
          <w:sz w:val="18"/>
          <w:szCs w:val="18"/>
        </w:rPr>
        <w:t>O prazo de entrega dos materiais se efetuará em até 30 (trinta) dias corridos para produtos nacionais e no máximo 60 (sessenta) dias corridos para produtos importados, a partir do envio da Nota de Empenho ao Licitante. No caso de descumprimento, o licitante será notificado extrajudicialmente, pelas vias administrativas, para que em 72 (setenta e duas) horas, contados da data do recebimento da notificação, faça a entrega do material ou venha apresentar justificativa de impossibilidade de cumprir o compromisso contratual. Em ambos os casos, fica desde já estabelecido que a UFVJM, poderá, a seu critério, cancelar a Nota de Empenho e convocar o segundo colocado, sem entretanto, declinar do seu direito de promover o devido processo administrativo visando aplicação das sanções cabíveis e cobrança administrativa, na forma da Lei 8.666/93: multa, registro de inadimplência no SICAF e, se necessário, promover cobrança judicial e apuração das perdas e danos na forma da lei.</w:t>
      </w:r>
    </w:p>
    <w:p>
      <w:pPr>
        <w:pStyle w:val="Normal"/>
        <w:numPr>
          <w:ilvl w:val="1"/>
          <w:numId w:val="6"/>
        </w:numPr>
        <w:tabs>
          <w:tab w:val="left" w:pos="900" w:leader="none"/>
        </w:tabs>
        <w:spacing w:before="120" w:after="0"/>
        <w:ind w:left="0" w:hanging="0"/>
        <w:jc w:val="both"/>
        <w:rPr>
          <w:rFonts w:ascii="Verdana" w:hAnsi="Verdana" w:cs="Arial"/>
          <w:sz w:val="18"/>
          <w:szCs w:val="18"/>
        </w:rPr>
      </w:pPr>
      <w:r>
        <w:rPr>
          <w:rFonts w:cs="Arial" w:ascii="Verdana" w:hAnsi="Verdana"/>
          <w:sz w:val="18"/>
          <w:szCs w:val="18"/>
        </w:rPr>
        <w:t>O local de entrega será:</w:t>
      </w:r>
    </w:p>
    <w:p>
      <w:pPr>
        <w:pStyle w:val="ListParagraph"/>
        <w:suppressAutoHyphens w:val="false"/>
        <w:spacing w:beforeAutospacing="1" w:afterAutospacing="1"/>
        <w:ind w:left="465" w:hanging="0"/>
        <w:rPr>
          <w:lang w:eastAsia="pt-BR"/>
        </w:rPr>
      </w:pPr>
      <w:r>
        <w:rPr>
          <w:rFonts w:ascii="Verdana" w:hAnsi="Verdana"/>
          <w:b/>
          <w:color w:val="000000"/>
          <w:sz w:val="18"/>
          <w:szCs w:val="18"/>
          <w:lang w:eastAsia="pt-BR"/>
        </w:rPr>
        <w:t>2.5</w:t>
      </w:r>
      <w:r>
        <w:rPr>
          <w:rFonts w:ascii="Verdana" w:hAnsi="Verdana"/>
          <w:color w:val="000000"/>
          <w:sz w:val="18"/>
          <w:szCs w:val="18"/>
          <w:lang w:eastAsia="pt-BR"/>
        </w:rPr>
        <w:t xml:space="preserve"> Nas licitações realizadas sob a modelagem de </w:t>
      </w:r>
      <w:r>
        <w:rPr>
          <w:rFonts w:ascii="Verdana" w:hAnsi="Verdana"/>
          <w:b/>
          <w:bCs/>
          <w:color w:val="000000"/>
          <w:sz w:val="18"/>
          <w:szCs w:val="18"/>
          <w:lang w:eastAsia="pt-BR"/>
        </w:rPr>
        <w:t>aquisição por preço global de grupo de itens,</w:t>
      </w:r>
      <w:r>
        <w:rPr>
          <w:rFonts w:ascii="Verdana" w:hAnsi="Verdana"/>
          <w:color w:val="000000"/>
          <w:sz w:val="18"/>
          <w:szCs w:val="18"/>
          <w:lang w:eastAsia="pt-BR"/>
        </w:rPr>
        <w:t xml:space="preserve"> </w:t>
      </w:r>
      <w:r>
        <w:rPr>
          <w:rFonts w:ascii="Verdana" w:hAnsi="Verdana"/>
          <w:b/>
          <w:bCs/>
          <w:color w:val="000000"/>
          <w:sz w:val="18"/>
          <w:szCs w:val="18"/>
          <w:lang w:eastAsia="pt-BR"/>
        </w:rPr>
        <w:t>somente será admitida a utilização as seguintes hipóteses</w:t>
      </w:r>
      <w:r>
        <w:rPr>
          <w:rFonts w:ascii="Verdana" w:hAnsi="Verdana"/>
          <w:color w:val="000000"/>
          <w:sz w:val="18"/>
          <w:szCs w:val="18"/>
          <w:lang w:eastAsia="pt-BR"/>
        </w:rPr>
        <w:t xml:space="preserve">: </w:t>
      </w:r>
    </w:p>
    <w:p>
      <w:pPr>
        <w:pStyle w:val="ListParagraph"/>
        <w:suppressAutoHyphens w:val="false"/>
        <w:spacing w:beforeAutospacing="1" w:afterAutospacing="1"/>
        <w:ind w:left="465" w:hanging="0"/>
        <w:rPr>
          <w:lang w:eastAsia="pt-BR"/>
        </w:rPr>
      </w:pPr>
      <w:r>
        <w:rPr>
          <w:rFonts w:ascii="Verdana" w:hAnsi="Verdana"/>
          <w:color w:val="000000"/>
          <w:sz w:val="18"/>
          <w:szCs w:val="18"/>
          <w:lang w:eastAsia="pt-BR"/>
        </w:rPr>
        <w:t xml:space="preserve">a) </w:t>
      </w:r>
      <w:r>
        <w:rPr>
          <w:rFonts w:ascii="Verdana" w:hAnsi="Verdana"/>
          <w:b/>
          <w:bCs/>
          <w:color w:val="000000"/>
          <w:sz w:val="18"/>
          <w:szCs w:val="18"/>
          <w:lang w:eastAsia="pt-BR"/>
        </w:rPr>
        <w:t>aquisição da</w:t>
      </w:r>
      <w:r>
        <w:rPr>
          <w:rFonts w:ascii="Verdana" w:hAnsi="Verdana"/>
          <w:color w:val="000000"/>
          <w:sz w:val="18"/>
          <w:szCs w:val="18"/>
          <w:lang w:eastAsia="pt-BR"/>
        </w:rPr>
        <w:t xml:space="preserve"> </w:t>
      </w:r>
      <w:r>
        <w:rPr>
          <w:rFonts w:ascii="Verdana" w:hAnsi="Verdana"/>
          <w:b/>
          <w:bCs/>
          <w:color w:val="000000"/>
          <w:sz w:val="18"/>
          <w:szCs w:val="18"/>
          <w:lang w:eastAsia="pt-BR"/>
        </w:rPr>
        <w:t>totalidade dos itens de grupo</w:t>
      </w:r>
      <w:r>
        <w:rPr>
          <w:rFonts w:ascii="Verdana" w:hAnsi="Verdana"/>
          <w:color w:val="000000"/>
          <w:sz w:val="18"/>
          <w:szCs w:val="18"/>
          <w:lang w:eastAsia="pt-BR"/>
        </w:rPr>
        <w:t xml:space="preserve">, respeitadas as proporções de quantitativos definidos no certame; </w:t>
      </w:r>
      <w:r>
        <w:rPr>
          <w:rFonts w:ascii="Verdana" w:hAnsi="Verdana"/>
          <w:b/>
          <w:bCs/>
          <w:color w:val="000000"/>
          <w:sz w:val="18"/>
          <w:szCs w:val="18"/>
          <w:lang w:eastAsia="pt-BR"/>
        </w:rPr>
        <w:t>ou</w:t>
      </w:r>
      <w:r>
        <w:rPr>
          <w:rFonts w:ascii="Verdana" w:hAnsi="Verdana"/>
          <w:color w:val="000000"/>
          <w:sz w:val="18"/>
          <w:szCs w:val="18"/>
          <w:lang w:eastAsia="pt-BR"/>
        </w:rPr>
        <w:t xml:space="preserve"> </w:t>
      </w:r>
    </w:p>
    <w:p>
      <w:pPr>
        <w:pStyle w:val="ListParagraph"/>
        <w:suppressAutoHyphens w:val="false"/>
        <w:spacing w:beforeAutospacing="1" w:afterAutospacing="1"/>
        <w:ind w:left="465" w:hanging="0"/>
        <w:rPr>
          <w:lang w:eastAsia="pt-BR"/>
        </w:rPr>
      </w:pPr>
      <w:r>
        <w:rPr>
          <w:rFonts w:ascii="Verdana" w:hAnsi="Verdana"/>
          <w:color w:val="000000"/>
          <w:sz w:val="18"/>
          <w:szCs w:val="18"/>
          <w:lang w:eastAsia="pt-BR"/>
        </w:rPr>
        <w:t xml:space="preserve">b) </w:t>
      </w:r>
      <w:r>
        <w:rPr>
          <w:rFonts w:ascii="Verdana" w:hAnsi="Verdana"/>
          <w:b/>
          <w:bCs/>
          <w:color w:val="000000"/>
          <w:sz w:val="18"/>
          <w:szCs w:val="18"/>
          <w:lang w:eastAsia="pt-BR"/>
        </w:rPr>
        <w:t>aquisição de</w:t>
      </w:r>
      <w:r>
        <w:rPr>
          <w:rFonts w:ascii="Verdana" w:hAnsi="Verdana"/>
          <w:color w:val="000000"/>
          <w:sz w:val="18"/>
          <w:szCs w:val="18"/>
          <w:lang w:eastAsia="pt-BR"/>
        </w:rPr>
        <w:t xml:space="preserve"> </w:t>
      </w:r>
      <w:r>
        <w:rPr>
          <w:rFonts w:ascii="Verdana" w:hAnsi="Verdana"/>
          <w:b/>
          <w:bCs/>
          <w:color w:val="000000"/>
          <w:sz w:val="18"/>
          <w:szCs w:val="18"/>
          <w:lang w:eastAsia="pt-BR"/>
        </w:rPr>
        <w:t>item isolado</w:t>
      </w:r>
      <w:r>
        <w:rPr>
          <w:rFonts w:ascii="Verdana" w:hAnsi="Verdana"/>
          <w:color w:val="000000"/>
          <w:sz w:val="18"/>
          <w:szCs w:val="18"/>
          <w:lang w:eastAsia="pt-BR"/>
        </w:rPr>
        <w:t xml:space="preserve"> para o qual o preço unitário adjudicado ao vencedor seja o </w:t>
      </w:r>
      <w:r>
        <w:rPr>
          <w:rFonts w:ascii="Verdana" w:hAnsi="Verdana"/>
          <w:b/>
          <w:bCs/>
          <w:color w:val="000000"/>
          <w:sz w:val="18"/>
          <w:szCs w:val="18"/>
          <w:lang w:eastAsia="pt-BR"/>
        </w:rPr>
        <w:t xml:space="preserve">menor preço válido ofertado para o mesmo item na fase de lances. </w:t>
      </w:r>
    </w:p>
    <w:p>
      <w:pPr>
        <w:pStyle w:val="Normal"/>
        <w:jc w:val="both"/>
        <w:rPr>
          <w:rFonts w:ascii="Verdana" w:hAnsi="Verdana" w:cs="Arial"/>
          <w:b/>
          <w:b/>
          <w:bCs/>
          <w:sz w:val="18"/>
          <w:szCs w:val="18"/>
        </w:rPr>
      </w:pPr>
      <w:r>
        <w:rPr>
          <w:rFonts w:cs="Arial" w:ascii="Verdana" w:hAnsi="Verdana"/>
          <w:b/>
          <w:bCs/>
          <w:sz w:val="18"/>
          <w:szCs w:val="18"/>
        </w:rPr>
      </w:r>
    </w:p>
    <w:p>
      <w:pPr>
        <w:pStyle w:val="Normal"/>
        <w:jc w:val="both"/>
        <w:rPr>
          <w:rFonts w:ascii="Verdana" w:hAnsi="Verdana" w:cs="Arial"/>
          <w:b/>
          <w:b/>
          <w:bCs/>
          <w:iCs/>
          <w:sz w:val="18"/>
          <w:szCs w:val="18"/>
        </w:rPr>
      </w:pPr>
      <w:r>
        <w:rPr>
          <w:rFonts w:cs="Arial" w:ascii="Verdana" w:hAnsi="Verdana"/>
          <w:b/>
          <w:bCs/>
          <w:sz w:val="18"/>
          <w:szCs w:val="18"/>
        </w:rPr>
        <w:t>03. VIGÊNCIA</w:t>
      </w:r>
    </w:p>
    <w:p>
      <w:pPr>
        <w:pStyle w:val="Normal"/>
        <w:jc w:val="both"/>
        <w:rPr>
          <w:rFonts w:ascii="Verdana" w:hAnsi="Verdana" w:cs="Arial"/>
          <w:b/>
          <w:b/>
          <w:bCs/>
          <w:iCs/>
          <w:sz w:val="18"/>
          <w:szCs w:val="18"/>
        </w:rPr>
      </w:pPr>
      <w:r>
        <w:rPr>
          <w:rFonts w:cs="Arial" w:ascii="Verdana" w:hAnsi="Verdana"/>
          <w:b/>
          <w:bCs/>
          <w:iCs/>
          <w:sz w:val="18"/>
          <w:szCs w:val="18"/>
        </w:rPr>
        <w:t xml:space="preserve">03.1 </w:t>
      </w:r>
      <w:r>
        <w:rPr>
          <w:rFonts w:cs="Arial" w:ascii="Verdana" w:hAnsi="Verdana"/>
          <w:bCs/>
          <w:iCs/>
          <w:sz w:val="18"/>
          <w:szCs w:val="18"/>
        </w:rPr>
        <w:t xml:space="preserve">A presente Ata, firmada pela UFVJM e a empresa xxxxxxxxxxx, classificada no processo licitatório do SRP, terá </w:t>
      </w:r>
      <w:r>
        <w:rPr>
          <w:rFonts w:cs="Arial" w:ascii="Verdana" w:hAnsi="Verdana"/>
          <w:sz w:val="18"/>
          <w:szCs w:val="18"/>
        </w:rPr>
        <w:t xml:space="preserve">validade de </w:t>
      </w:r>
      <w:r>
        <w:rPr>
          <w:rFonts w:cs="Arial" w:ascii="Verdana" w:hAnsi="Verdana"/>
          <w:b/>
          <w:sz w:val="18"/>
          <w:szCs w:val="18"/>
        </w:rPr>
        <w:t xml:space="preserve">12 (doze) meses </w:t>
      </w:r>
      <w:r>
        <w:rPr>
          <w:rFonts w:cs="Arial" w:ascii="Verdana" w:hAnsi="Verdana"/>
          <w:sz w:val="18"/>
          <w:szCs w:val="18"/>
        </w:rPr>
        <w:t>contados da data de sua assinatura.</w:t>
      </w:r>
    </w:p>
    <w:p>
      <w:pPr>
        <w:pStyle w:val="Normal"/>
        <w:jc w:val="both"/>
        <w:rPr>
          <w:rFonts w:ascii="Verdana" w:hAnsi="Verdana" w:cs="Arial"/>
          <w:b/>
          <w:b/>
          <w:bCs/>
          <w:iCs/>
          <w:sz w:val="18"/>
          <w:szCs w:val="18"/>
        </w:rPr>
      </w:pPr>
      <w:r>
        <w:rPr>
          <w:rFonts w:cs="Arial" w:ascii="Verdana" w:hAnsi="Verdana"/>
          <w:b/>
          <w:bCs/>
          <w:iCs/>
          <w:sz w:val="18"/>
          <w:szCs w:val="18"/>
        </w:rPr>
      </w:r>
    </w:p>
    <w:p>
      <w:pPr>
        <w:pStyle w:val="Normal"/>
        <w:jc w:val="both"/>
        <w:rPr>
          <w:rFonts w:ascii="Verdana" w:hAnsi="Verdana" w:cs="Arial"/>
          <w:b/>
          <w:b/>
          <w:bCs/>
          <w:iCs/>
          <w:sz w:val="18"/>
          <w:szCs w:val="18"/>
        </w:rPr>
      </w:pPr>
      <w:r>
        <w:rPr>
          <w:rFonts w:cs="Arial" w:ascii="Verdana" w:hAnsi="Verdana"/>
          <w:b/>
          <w:bCs/>
          <w:iCs/>
          <w:sz w:val="18"/>
          <w:szCs w:val="18"/>
        </w:rPr>
      </w:r>
    </w:p>
    <w:p>
      <w:pPr>
        <w:pStyle w:val="Normal"/>
        <w:jc w:val="both"/>
        <w:rPr>
          <w:rFonts w:ascii="Verdana" w:hAnsi="Verdana" w:cs="Arial"/>
          <w:sz w:val="18"/>
          <w:szCs w:val="18"/>
        </w:rPr>
      </w:pPr>
      <w:r>
        <w:rPr>
          <w:rFonts w:cs="Arial" w:ascii="Verdana" w:hAnsi="Verdana"/>
          <w:b/>
          <w:sz w:val="18"/>
          <w:szCs w:val="18"/>
        </w:rPr>
        <w:t>04. DA VINCULAÇÃO</w:t>
      </w:r>
    </w:p>
    <w:p>
      <w:pPr>
        <w:pStyle w:val="Normal"/>
        <w:jc w:val="both"/>
        <w:rPr>
          <w:rFonts w:ascii="Verdana" w:hAnsi="Verdana" w:cs="Arial"/>
          <w:b/>
          <w:b/>
          <w:bCs/>
          <w:iCs/>
          <w:sz w:val="18"/>
          <w:szCs w:val="18"/>
        </w:rPr>
      </w:pPr>
      <w:r>
        <w:rPr>
          <w:rFonts w:cs="Arial" w:ascii="Verdana" w:hAnsi="Verdana"/>
          <w:sz w:val="18"/>
          <w:szCs w:val="18"/>
        </w:rPr>
        <w:t xml:space="preserve">O disposto na presente Ata deverá ser executado fielmente pelas partes, de acordo com as condições avençadas no Edital do Pregão Eletrônico para registro de Preços n° 019/2018, Processo n° </w:t>
      </w:r>
      <w:r>
        <w:rPr>
          <w:rFonts w:cs="Arial" w:ascii="Verdana" w:hAnsi="Verdana"/>
          <w:b/>
          <w:sz w:val="18"/>
          <w:szCs w:val="18"/>
        </w:rPr>
        <w:t>23086.003729/2018-78</w:t>
      </w:r>
      <w:r>
        <w:rPr>
          <w:rFonts w:cs="Arial" w:ascii="Verdana" w:hAnsi="Verdana"/>
          <w:sz w:val="18"/>
          <w:szCs w:val="18"/>
        </w:rPr>
        <w:t>, observadas as disposições do Decreto n° 7.892/2013, Decreto n° 5.450/2005, da Lei n° 10.520/2002, Lei n° 8.666/1993, Lei 8.078/1990 e, ainda as condições estabelecidas no Edital e seus Anexos.</w:t>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t>05. DA OBRIGAÇÃO DE MANTER AS CONDIÇÕES DE PARTICIPAÇÃO OU HABILITAÇÃO EXIGIDAS NA LICITAÇÃO</w:t>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t>05.1.</w:t>
      </w:r>
      <w:r>
        <w:rPr>
          <w:rFonts w:cs="Arial" w:ascii="Verdana" w:hAnsi="Verdana"/>
          <w:iCs/>
          <w:sz w:val="18"/>
          <w:szCs w:val="18"/>
        </w:rPr>
        <w:t xml:space="preserve"> As condições de habilitação e qualificação exigidas no Edital do Pregão Eletrônico n° 019/2018 para Registro de Preços deverão ser mantidas durante toda a vigência da presente Ata, pela empresa classificada, ficando facultado à UFVJM, a qualquer momento, exigir a apresentação de parte ou totalidade dos documentos apresentados quando daquelas fases;</w:t>
      </w:r>
    </w:p>
    <w:p>
      <w:pPr>
        <w:pStyle w:val="Normal"/>
        <w:tabs>
          <w:tab w:val="left" w:pos="1800" w:leader="none"/>
        </w:tabs>
        <w:jc w:val="both"/>
        <w:rPr>
          <w:rFonts w:ascii="Verdana" w:hAnsi="Verdana" w:cs="Arial"/>
          <w:b/>
          <w:b/>
          <w:sz w:val="18"/>
          <w:szCs w:val="18"/>
        </w:rPr>
      </w:pPr>
      <w:r>
        <w:rPr>
          <w:rFonts w:cs="Arial" w:ascii="Verdana" w:hAnsi="Verdana"/>
          <w:b/>
          <w:bCs/>
          <w:iCs/>
          <w:sz w:val="18"/>
          <w:szCs w:val="18"/>
        </w:rPr>
        <w:t>05.2</w:t>
      </w:r>
      <w:r>
        <w:rPr>
          <w:rFonts w:cs="Arial" w:ascii="Verdana" w:hAnsi="Verdana"/>
          <w:iCs/>
          <w:sz w:val="18"/>
          <w:szCs w:val="18"/>
        </w:rPr>
        <w:t xml:space="preserve"> Quando da prestação do serviço, a empresa deverá manter-se em regularidade fiscal e habilitação jurídica com o SICAF.</w:t>
      </w:r>
    </w:p>
    <w:p>
      <w:pPr>
        <w:pStyle w:val="Normal"/>
        <w:tabs>
          <w:tab w:val="left" w:pos="1800" w:leader="none"/>
        </w:tabs>
        <w:jc w:val="both"/>
        <w:rPr>
          <w:rFonts w:ascii="Verdana" w:hAnsi="Verdana" w:cs="Arial"/>
          <w:b/>
          <w:b/>
          <w:iCs/>
          <w:sz w:val="18"/>
          <w:szCs w:val="18"/>
        </w:rPr>
      </w:pPr>
      <w:r>
        <w:rPr>
          <w:rFonts w:cs="Arial" w:ascii="Verdana" w:hAnsi="Verdana"/>
          <w:b/>
          <w:sz w:val="18"/>
          <w:szCs w:val="18"/>
        </w:rPr>
        <w:t>05.3.</w:t>
      </w:r>
      <w:r>
        <w:rPr>
          <w:rFonts w:cs="Arial" w:ascii="Verdana" w:hAnsi="Verdana"/>
          <w:sz w:val="18"/>
          <w:szCs w:val="18"/>
        </w:rPr>
        <w:t xml:space="preserve"> Constatada a situação de irregularidade junto ao SICAF, a contratada será advertida, por escrito, para que no prazo de 05 (cinco) dias úteis, regularize sua situação, ou no mesmo prazo apresente sua defesa, sob pena de rescisão do contrato.</w:t>
      </w:r>
    </w:p>
    <w:p>
      <w:pPr>
        <w:pStyle w:val="Normal"/>
        <w:tabs>
          <w:tab w:val="left" w:pos="1800" w:leader="none"/>
        </w:tabs>
        <w:jc w:val="both"/>
        <w:rPr>
          <w:rFonts w:ascii="Verdana" w:hAnsi="Verdana" w:cs="Arial"/>
          <w:b/>
          <w:b/>
          <w:iCs/>
          <w:sz w:val="18"/>
          <w:szCs w:val="18"/>
        </w:rPr>
      </w:pPr>
      <w:r>
        <w:rPr>
          <w:rFonts w:cs="Arial" w:ascii="Verdana" w:hAnsi="Verdana"/>
          <w:b/>
          <w:iCs/>
          <w:sz w:val="18"/>
          <w:szCs w:val="18"/>
        </w:rPr>
        <w:t>05.4.</w:t>
      </w:r>
      <w:r>
        <w:rPr>
          <w:rFonts w:cs="Arial" w:ascii="Verdana" w:hAnsi="Verdana"/>
          <w:iCs/>
          <w:sz w:val="18"/>
          <w:szCs w:val="18"/>
        </w:rPr>
        <w:t xml:space="preserve"> </w:t>
      </w:r>
      <w:r>
        <w:rPr>
          <w:rFonts w:cs="Arial" w:ascii="Verdana" w:hAnsi="Verdana"/>
          <w:sz w:val="18"/>
          <w:szCs w:val="18"/>
        </w:rPr>
        <w:t>O prazo descrito no item 05.3 poderá ser prorrogado a critério da administração</w:t>
      </w:r>
    </w:p>
    <w:p>
      <w:pPr>
        <w:pStyle w:val="Normal"/>
        <w:tabs>
          <w:tab w:val="left" w:pos="1800" w:leader="none"/>
        </w:tabs>
        <w:jc w:val="both"/>
        <w:rPr>
          <w:rFonts w:ascii="Verdana" w:hAnsi="Verdana" w:cs="Arial"/>
          <w:iCs/>
          <w:sz w:val="18"/>
          <w:szCs w:val="18"/>
        </w:rPr>
      </w:pPr>
      <w:r>
        <w:rPr>
          <w:rFonts w:cs="Arial" w:ascii="Verdana" w:hAnsi="Verdana"/>
          <w:b/>
          <w:iCs/>
          <w:sz w:val="18"/>
          <w:szCs w:val="18"/>
        </w:rPr>
        <w:t>05.</w:t>
      </w:r>
      <w:r>
        <w:rPr>
          <w:rFonts w:cs="Arial" w:ascii="Verdana" w:hAnsi="Verdana"/>
          <w:b/>
          <w:sz w:val="18"/>
          <w:szCs w:val="18"/>
        </w:rPr>
        <w:t>5.</w:t>
      </w:r>
      <w:r>
        <w:rPr>
          <w:rFonts w:cs="Arial" w:ascii="Verdana" w:hAnsi="Verdana"/>
          <w:sz w:val="18"/>
          <w:szCs w:val="18"/>
        </w:rPr>
        <w:t xml:space="preserve"> Caso a contratada, não regularize sua situação junto ao SICAF, ou apresente defesa, no prazo descrito no item 05.3 será providenciada a abertura de processo administrativo visando a aplicação das penalidades cabíveis.</w:t>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sz w:val="18"/>
          <w:szCs w:val="18"/>
        </w:rPr>
      </w:pPr>
      <w:r>
        <w:rPr>
          <w:rFonts w:cs="Arial" w:ascii="Verdana" w:hAnsi="Verdana"/>
          <w:b/>
          <w:sz w:val="18"/>
          <w:szCs w:val="18"/>
        </w:rPr>
        <w:t>06. DO RECEBIMENTO E DO PAGAMENTO</w:t>
      </w:r>
    </w:p>
    <w:p>
      <w:pPr>
        <w:pStyle w:val="Normal"/>
        <w:tabs>
          <w:tab w:val="left" w:pos="1800" w:leader="none"/>
        </w:tabs>
        <w:jc w:val="both"/>
        <w:rPr>
          <w:rFonts w:ascii="Verdana" w:hAnsi="Verdana" w:cs="Arial"/>
          <w:b/>
          <w:b/>
          <w:bCs/>
          <w:iCs/>
          <w:sz w:val="18"/>
          <w:szCs w:val="18"/>
        </w:rPr>
      </w:pPr>
      <w:r>
        <w:rPr>
          <w:rFonts w:cs="Arial" w:ascii="Verdana" w:hAnsi="Verdana"/>
          <w:sz w:val="18"/>
          <w:szCs w:val="18"/>
        </w:rPr>
        <w:t xml:space="preserve">Conforme </w:t>
      </w:r>
      <w:r>
        <w:rPr>
          <w:rFonts w:cs="Arial" w:ascii="Verdana" w:hAnsi="Verdana"/>
          <w:b/>
          <w:sz w:val="18"/>
          <w:szCs w:val="18"/>
        </w:rPr>
        <w:t xml:space="preserve">item 16 e 17 do Edital </w:t>
      </w:r>
      <w:r>
        <w:rPr>
          <w:rFonts w:cs="Arial" w:ascii="Verdana" w:hAnsi="Verdana"/>
          <w:sz w:val="18"/>
          <w:szCs w:val="18"/>
        </w:rPr>
        <w:t>do Pregão Eletrônico nº 034/2018</w:t>
      </w:r>
    </w:p>
    <w:p>
      <w:pPr>
        <w:pStyle w:val="Normal"/>
        <w:tabs>
          <w:tab w:val="left" w:pos="1800" w:leader="none"/>
        </w:tabs>
        <w:ind w:left="360" w:hanging="0"/>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ind w:left="360" w:hanging="0"/>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sz w:val="18"/>
          <w:szCs w:val="18"/>
        </w:rPr>
      </w:pPr>
      <w:r>
        <w:rPr>
          <w:rFonts w:cs="Arial" w:ascii="Verdana" w:hAnsi="Verdana"/>
          <w:b/>
          <w:sz w:val="18"/>
          <w:szCs w:val="18"/>
        </w:rPr>
        <w:t>07. DA REVISÃO DOS PREÇOS</w:t>
      </w:r>
    </w:p>
    <w:p>
      <w:pPr>
        <w:pStyle w:val="Recuodecorpodetexto31"/>
        <w:tabs>
          <w:tab w:val="left" w:pos="284" w:leader="none"/>
        </w:tabs>
        <w:spacing w:before="0" w:after="0"/>
        <w:ind w:left="0" w:hanging="0"/>
        <w:jc w:val="both"/>
        <w:rPr>
          <w:rFonts w:ascii="Verdana" w:hAnsi="Verdana" w:cs="Arial"/>
          <w:sz w:val="18"/>
          <w:szCs w:val="18"/>
        </w:rPr>
      </w:pPr>
      <w:r>
        <w:rPr>
          <w:rFonts w:cs="Arial" w:ascii="Verdana" w:hAnsi="Verdana"/>
          <w:sz w:val="18"/>
          <w:szCs w:val="18"/>
        </w:rPr>
        <w:t xml:space="preserve">Conforme </w:t>
      </w:r>
      <w:r>
        <w:rPr>
          <w:rFonts w:cs="Arial" w:ascii="Verdana" w:hAnsi="Verdana"/>
          <w:b/>
          <w:sz w:val="18"/>
          <w:szCs w:val="18"/>
        </w:rPr>
        <w:t>item 18 do Edital</w:t>
      </w:r>
      <w:r>
        <w:rPr>
          <w:rFonts w:cs="Arial" w:ascii="Verdana" w:hAnsi="Verdana"/>
          <w:sz w:val="18"/>
          <w:szCs w:val="18"/>
        </w:rPr>
        <w:t xml:space="preserve"> do Pregão Eletrônico nº 034/2018 no Sistema de Registro de Preços para referida Ata. </w:t>
      </w:r>
    </w:p>
    <w:p>
      <w:pPr>
        <w:pStyle w:val="Recuodecorpodetexto31"/>
        <w:tabs>
          <w:tab w:val="left" w:pos="284" w:leader="none"/>
        </w:tabs>
        <w:spacing w:before="0" w:after="0"/>
        <w:ind w:left="0" w:hanging="0"/>
        <w:jc w:val="both"/>
        <w:rPr>
          <w:rFonts w:ascii="Verdana" w:hAnsi="Verdana" w:cs="Arial"/>
          <w:b/>
          <w:b/>
          <w:sz w:val="18"/>
          <w:szCs w:val="18"/>
        </w:rPr>
      </w:pPr>
      <w:r>
        <w:rPr>
          <w:rFonts w:cs="Arial" w:ascii="Verdana" w:hAnsi="Verdana"/>
          <w:b/>
          <w:sz w:val="18"/>
          <w:szCs w:val="18"/>
        </w:rPr>
      </w:r>
    </w:p>
    <w:p>
      <w:pPr>
        <w:pStyle w:val="Recuodecorpodetexto31"/>
        <w:tabs>
          <w:tab w:val="left" w:pos="0" w:leader="none"/>
        </w:tabs>
        <w:spacing w:before="0" w:after="0"/>
        <w:ind w:left="0" w:hanging="0"/>
        <w:rPr>
          <w:rFonts w:ascii="Verdana" w:hAnsi="Verdana" w:cs="Arial"/>
          <w:b/>
          <w:b/>
          <w:sz w:val="18"/>
          <w:szCs w:val="18"/>
        </w:rPr>
      </w:pPr>
      <w:r>
        <w:rPr>
          <w:rFonts w:cs="Arial" w:ascii="Verdana" w:hAnsi="Verdana"/>
          <w:b/>
          <w:sz w:val="18"/>
          <w:szCs w:val="18"/>
        </w:rPr>
      </w:r>
    </w:p>
    <w:p>
      <w:pPr>
        <w:pStyle w:val="Recuodecorpodetexto31"/>
        <w:tabs>
          <w:tab w:val="left" w:pos="0" w:leader="none"/>
        </w:tabs>
        <w:spacing w:before="0" w:after="0"/>
        <w:ind w:left="0" w:hanging="0"/>
        <w:rPr>
          <w:rFonts w:ascii="Verdana" w:hAnsi="Verdana" w:cs="Arial"/>
          <w:b/>
          <w:b/>
          <w:sz w:val="18"/>
          <w:szCs w:val="18"/>
        </w:rPr>
      </w:pPr>
      <w:r>
        <w:rPr>
          <w:rFonts w:cs="Arial" w:ascii="Verdana" w:hAnsi="Verdana"/>
          <w:b/>
          <w:sz w:val="18"/>
          <w:szCs w:val="18"/>
        </w:rPr>
        <w:t>08. DA FORMA DE EXECUÇÃO DO CONTRATO</w:t>
      </w:r>
    </w:p>
    <w:p>
      <w:pPr>
        <w:pStyle w:val="Normal"/>
        <w:jc w:val="both"/>
        <w:rPr>
          <w:rFonts w:ascii="Verdana" w:hAnsi="Verdana" w:cs="Arial"/>
          <w:sz w:val="18"/>
          <w:szCs w:val="18"/>
        </w:rPr>
      </w:pPr>
      <w:r>
        <w:rPr>
          <w:rFonts w:cs="Arial" w:ascii="Verdana" w:hAnsi="Verdana"/>
          <w:b/>
          <w:sz w:val="18"/>
          <w:szCs w:val="18"/>
        </w:rPr>
        <w:t xml:space="preserve">08.1 </w:t>
      </w:r>
      <w:r>
        <w:rPr>
          <w:rFonts w:cs="Arial" w:ascii="Verdana" w:hAnsi="Verdana"/>
          <w:sz w:val="18"/>
          <w:szCs w:val="18"/>
        </w:rPr>
        <w:t>São deveres do contratado:</w:t>
      </w:r>
    </w:p>
    <w:p>
      <w:pPr>
        <w:pStyle w:val="Corpodetexto"/>
        <w:numPr>
          <w:ilvl w:val="0"/>
          <w:numId w:val="18"/>
        </w:numPr>
        <w:spacing w:before="0" w:after="0"/>
        <w:ind w:left="0" w:hanging="11"/>
        <w:jc w:val="both"/>
        <w:rPr>
          <w:rFonts w:ascii="Verdana" w:hAnsi="Verdana"/>
          <w:bCs/>
          <w:sz w:val="18"/>
          <w:szCs w:val="18"/>
        </w:rPr>
      </w:pPr>
      <w:r>
        <w:rPr>
          <w:rFonts w:ascii="Verdana" w:hAnsi="Verdana"/>
          <w:bCs/>
          <w:sz w:val="18"/>
          <w:szCs w:val="18"/>
        </w:rPr>
        <w:t>Executar os fornecimentos rigorosamente conforme descrito cumprindo todas as cláusulas definidas no edital e fornecendo o objeto contratado dentro dos parâmetros e rotinas estabelecidos, em observância às normas legais e regulamentares aplicáveis, de âmbito federal, estadual e municipal.</w:t>
      </w:r>
    </w:p>
    <w:p>
      <w:pPr>
        <w:pStyle w:val="Corpodetexto"/>
        <w:numPr>
          <w:ilvl w:val="0"/>
          <w:numId w:val="18"/>
        </w:numPr>
        <w:spacing w:before="0" w:after="0"/>
        <w:ind w:left="0" w:hanging="11"/>
        <w:jc w:val="both"/>
        <w:rPr>
          <w:rFonts w:ascii="Verdana" w:hAnsi="Verdana"/>
          <w:bCs/>
          <w:sz w:val="18"/>
          <w:szCs w:val="18"/>
        </w:rPr>
      </w:pPr>
      <w:r>
        <w:rPr>
          <w:rFonts w:ascii="Verdana" w:hAnsi="Verdana"/>
          <w:bCs/>
          <w:sz w:val="18"/>
          <w:szCs w:val="18"/>
        </w:rPr>
        <w:t>Atender plenamente o compromisso assumido com a UFVJM-MG mediante solicitações do Gestor da Ata de Registro de Preços.</w:t>
      </w:r>
    </w:p>
    <w:p>
      <w:pPr>
        <w:pStyle w:val="Corpodetexto"/>
        <w:numPr>
          <w:ilvl w:val="0"/>
          <w:numId w:val="18"/>
        </w:numPr>
        <w:spacing w:before="0" w:after="0"/>
        <w:ind w:left="0" w:hanging="11"/>
        <w:jc w:val="both"/>
        <w:rPr>
          <w:rFonts w:ascii="Verdana" w:hAnsi="Verdana"/>
          <w:bCs/>
          <w:sz w:val="18"/>
          <w:szCs w:val="18"/>
        </w:rPr>
      </w:pPr>
      <w:r>
        <w:rPr>
          <w:rFonts w:ascii="Verdana" w:hAnsi="Verdana"/>
          <w:bCs/>
          <w:sz w:val="18"/>
          <w:szCs w:val="18"/>
        </w:rPr>
        <w:t>Recolher todas as contribuições fiscais e parafiscais, responsabilizando-se por todos os tributos, que incidem ou venham a incidir, direta ou indiretamente, sobre os produtos contratados.</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Assinar e devolver a Ata de Registro de Preços até 10 (dez) dias úteis após seu recebimento conforme instruções da Administração da Universidade Federal dos Vales do Jequitinhonha e Mucuri;</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 xml:space="preserve">Fornecer os itens objetos deste, conforme especificações, marcas, validades e preços indicados na licitação e registrados nesta ata; </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 xml:space="preserve">Responsabilizar-se por todas as despesas diretas ou indiretas, tais como: salários, transportes, encargos sociais, fiscais, trabalhistas, previdenciários e de ordem de classe, indenizações e quaisquer outras que forem devidas aos seus empregados, no cumprimento das obrigações deste SRP, ficando, ainda, a Universidade Federal dos Vale do Jequitinhonha e Mucuri isenta de qualquer vínculo empregatício, responsabilidade solidária ou subsidiária; </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Substituir, no prazo máximo de 05 (cinco) dias úteis, qualquer item objeto deste certame, em desacordo com as especificações exigidas no edital e seus anexos;</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Providenciar a imediata correção das deficiências, falhas ou irregularidades constatadas pelo Gestor da Ata, referentes à forma de fornecimento do material e ao cumprimento das demais obrigações assumidas nesta ata;</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Os itens objetos deste certame deverão ser executados de forma fracionada durante o decorrer do ano e de acordo com a demanda da UFVJM com a finalidade de não haver interferências nas atividades administrativas e acadêmicas;</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Fornecer sempre, à medida que forem vencendo os prazos de validade da documentação apresentada, novo(s) documento(s) que comprove(m) todas as condições de habilitação e qualificação exigidas para contratação, bem como os que comprovem a sua compatibilidade com as obrigações assumidas;</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Prover condições que possibilitem o atendimento das condições firmadas a partir da data da assinatura da presente ARP;</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Ressarcir os eventuais prejuízos causados a Universidade Federal dos Vale do Jequitinhonha e Mucuri e/ou a terceiros, provocados por ineficiência ou irregularidades cometidas na execução das obrigações assumidas na presente ARP;</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Entregar os itens objeto deste certame acompanhados da Nota Fiscal ou Nota Fiscal Fatura correspondente, observando que os ônus decorrentes dessa deverá ser por conta da CONTRATADA;</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Deverá informar na nota fiscal a descrição do produto fornecido pela empresa, de acordo com as especificações descritas na proposta apresentada pela mesma no ato da licitação, e em conformidade com as especificações constantes no Termo de Referência.</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Pagar, pontualmente, aos fornecedores e as obrigações fiscais, relativo ao material fornecido, com base na presente Ata, exonerando a Universidade Federal dos Vale do Jequitinhonha e Mucuri de responsabilidade solidária ou subsidiária por tal pagamento;</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Manter durante a vigência da presente Ata de Registro todas as condições de habilitação exigidas no Instrumento convocatório;</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Manter sempre atualizado o seu endereço, telefone, fax, e-mail e meios de contato junto à CONTRATANTE;</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Gestionar para a solução de problemas que venham a surgir, relacionados com o objeto a ser executado.</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Reparar, corrigir, ou substituir, a suas expensas, no todo ou em parte, o objeto desta contratação, em que se verificarem vícios, defeitos ou incorreções, resultantes do fornecimento dos produtos, salvo quando o defeito for, comprovadamente, provocado por uso indevido por parte da Contratante.</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Comunicar imediatamente, por escrito, ao gestor da Ata de Registro de Preços, qualquer anormalidade verificada, inclusive de ordem funcional, para que sejam adotadas as providências de regularização necessária.</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Zelar pelo perfeito fornecimento do objeto contratado, devendo as falhas que porventura venham a ocorrer serem sanadas no prazo de que não prejudique os beneficiários.</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Implantar, adequadamente, a supervisão permanente dos fornecimentos, de forma a se obter uma operação correta e eficaz.</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Não transferir a outrem, no todo ou em parte, a execução do contrato, salvo com prévia e expressa autorização da Contratante.</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Responder administrativa, civil e penalmente por quaisquer danos materiais ou pessoais ocasionados à CONTRATANTE e/ou a terceiros, por seus empregados, dolosa ou culposamente.</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 xml:space="preserve">Arcar com todos os gastos referentes à realização das atividades vinculadas ao objeto contratado, a exemplo de deslocamentos, taxas, emolumentos, cópias, fotos e quaisquer outras despesas vinculadas ao objeto contratado; </w:t>
      </w:r>
    </w:p>
    <w:p>
      <w:pPr>
        <w:pStyle w:val="Corpodetexto"/>
        <w:numPr>
          <w:ilvl w:val="0"/>
          <w:numId w:val="18"/>
        </w:numPr>
        <w:spacing w:before="0" w:after="0"/>
        <w:ind w:left="0" w:hanging="11"/>
        <w:jc w:val="both"/>
        <w:rPr>
          <w:rFonts w:ascii="Verdana" w:hAnsi="Verdana"/>
          <w:bCs/>
          <w:sz w:val="18"/>
          <w:szCs w:val="18"/>
        </w:rPr>
      </w:pPr>
      <w:r>
        <w:rPr>
          <w:rFonts w:ascii="Verdana" w:hAnsi="Verdana"/>
          <w:color w:val="000000"/>
          <w:sz w:val="18"/>
          <w:szCs w:val="18"/>
          <w:lang w:eastAsia="pt-BR"/>
        </w:rPr>
        <w:t>Reparar, corrigir ou substituir os serviços que apresentarem vícios ou defeitos.</w:t>
      </w:r>
    </w:p>
    <w:p>
      <w:pPr>
        <w:pStyle w:val="Corpodetexto"/>
        <w:spacing w:before="0" w:after="0"/>
        <w:ind w:left="720" w:hanging="0"/>
        <w:jc w:val="both"/>
        <w:rPr>
          <w:rFonts w:ascii="Verdana" w:hAnsi="Verdana"/>
          <w:bCs/>
          <w:sz w:val="18"/>
          <w:szCs w:val="18"/>
        </w:rPr>
      </w:pPr>
      <w:r>
        <w:rPr>
          <w:rFonts w:ascii="Verdana" w:hAnsi="Verdana"/>
          <w:bCs/>
          <w:sz w:val="18"/>
          <w:szCs w:val="18"/>
        </w:rPr>
      </w:r>
    </w:p>
    <w:p>
      <w:pPr>
        <w:pStyle w:val="Corpodetexto"/>
        <w:spacing w:before="0" w:after="0"/>
        <w:ind w:left="426" w:hanging="0"/>
        <w:jc w:val="both"/>
        <w:rPr>
          <w:rFonts w:ascii="Verdana" w:hAnsi="Verdana"/>
          <w:bCs/>
          <w:sz w:val="18"/>
          <w:szCs w:val="18"/>
        </w:rPr>
      </w:pPr>
      <w:r>
        <w:rPr>
          <w:rFonts w:ascii="Verdana" w:hAnsi="Verdana"/>
          <w:b/>
          <w:bCs/>
          <w:sz w:val="18"/>
          <w:szCs w:val="18"/>
        </w:rPr>
        <w:t xml:space="preserve">08.2 </w:t>
      </w:r>
      <w:r>
        <w:rPr>
          <w:rFonts w:ascii="Verdana" w:hAnsi="Verdana"/>
          <w:bCs/>
          <w:sz w:val="18"/>
          <w:szCs w:val="18"/>
        </w:rPr>
        <w:t>São deveres do contratante:</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Emitir nota de empenho a crédito da CONTRATADA no valor total correspondente ao material solicitado;</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Solicitar o eventual fornecimento de produto licitado, cujos preços encontram-se registrados na presente ARP.</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Enviar eletronicamente, por e-mail, a nota de empenho digitalizada emitida em favor da CONTRATADA, ou quando da impossibilidade de comunicação citada anteriormente o encaminhamento do empenho será feito por outros meios (fax, via postal, etc);</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Permitir o acesso dos empregados da CONTRATADA, às dependências da CONTRATANTE, para execução do objeto;</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 xml:space="preserve">Impedir que pessoas não autorizadas pela CONTRATADA realizem a entrega dos materiais; </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Oferecer todas as condições e informações necessárias para que a CONTRATADA possa realizar os fornecimentos dos itens objetos deste certame, dentro das especificações exigidas neste termo e seus anexos;</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 xml:space="preserve">Fornecer à CONTRATADA, a qualquer tempo, toda a informação que julgar pertinente à execução do objeto licitado, no intuito do bom desenvolvimento do compromisso assumido, sempre se pautando nas normas reguladoras citadas e outras que venham a ser emitidas mesmo após a celebração da Ata de Registro de Preços; </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 xml:space="preserve">Acompanhar e fiscalizar o cumprimento das obrigações assumidas pela CONTRATADA através de um representante da administração, especialmente designado, a quem caberá registrar em livro, documento ou sistema próprio todas as ocorrências relacionadas com a execução do objeto, determinando o que for necessário à regularização das faltas, senões ou defeitos observados; </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 xml:space="preserve">Solicitar à CONTRATADA a retificação de qualquer fornecimento de material cujo padrão de qualidade esteja fora das especificações contidas no Termo de Referência e/ou no Relatório de Materiais Licitados; </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Comunicar à CONTRATADA, tão logo constate casos de irregularidades, defeitos, vícios ou incorreções, durante a execução do objeto, para que a mesma adote medidas indispensáveis ao bom andamento do que foi solicitado, conforme objeto constante no edital e seus anexos;</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 xml:space="preserve">Observar para que, durante a vigência da Ata de Registro de Preços, sejam mantidas, pela CONTRATADA, todas as condições de habilitação e qualificação exigidas para contratação, bem como, a sua compatibilidade com as obrigações assumidas; </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Exigir da empresa CONTRATADA integral responsabilidade pela boa execução e eficiência no cumprimento do objeto, mormente no que se refere ao fornecimento dos materiais licitados;</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Efetuar o pagamento até o 12º (décimo segundo) dia útil após cada entrega e recebimento definitivo do(s) dos fornecimento(s) dos itens objeto deste certame, devendo a Nota Fiscal/Fatura estar devidamente atestada pelo setor competente;</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Acompanhar e fiscalizar a perfeita execução do presente Registro de Preços;</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A fiscalização exercida pela CONTRATANTE não excluirá ou reduzirá a responsabilidade da CONTRATADA pela completa e perfeita execução do objeto contratual.</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Rejeitar no todo ou em parte o objeto entregue em desacordo com as especificações do objeto contratado;</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t>Notificar, por meio formal, a CONTRATADA, quando da ocorrência de eventuais imperfeições no curso da execução do objeto, fixando prazo para sua correção.</w:t>
      </w:r>
    </w:p>
    <w:p>
      <w:pPr>
        <w:pStyle w:val="ListParagraph"/>
        <w:numPr>
          <w:ilvl w:val="1"/>
          <w:numId w:val="19"/>
        </w:numPr>
        <w:suppressAutoHyphens w:val="false"/>
        <w:spacing w:before="0" w:after="0"/>
        <w:ind w:left="0" w:hanging="0"/>
        <w:contextualSpacing/>
        <w:jc w:val="both"/>
        <w:rPr>
          <w:rFonts w:ascii="Verdana" w:hAnsi="Verdana"/>
          <w:color w:val="000000"/>
          <w:sz w:val="18"/>
          <w:szCs w:val="18"/>
          <w:lang w:eastAsia="pt-BR"/>
        </w:rPr>
      </w:pPr>
      <w:r>
        <w:rPr>
          <w:rFonts w:ascii="Verdana" w:hAnsi="Verdana"/>
          <w:color w:val="000000"/>
          <w:sz w:val="18"/>
          <w:szCs w:val="18"/>
          <w:lang w:eastAsia="pt-BR"/>
        </w:rPr>
      </w:r>
    </w:p>
    <w:p>
      <w:pPr>
        <w:pStyle w:val="Corpodetexto"/>
        <w:suppressAutoHyphens w:val="false"/>
        <w:spacing w:before="0" w:after="0"/>
        <w:jc w:val="both"/>
        <w:rPr>
          <w:rFonts w:ascii="Verdana" w:hAnsi="Verdana" w:cs="Arial"/>
          <w:b/>
          <w:b/>
          <w:sz w:val="18"/>
          <w:szCs w:val="18"/>
        </w:rPr>
      </w:pPr>
      <w:r>
        <w:rPr>
          <w:rFonts w:cs="Arial" w:ascii="Verdana" w:hAnsi="Verdana"/>
          <w:b/>
          <w:sz w:val="18"/>
          <w:szCs w:val="18"/>
        </w:rPr>
      </w:r>
    </w:p>
    <w:p>
      <w:pPr>
        <w:pStyle w:val="Corpodetexto"/>
        <w:suppressAutoHyphens w:val="false"/>
        <w:spacing w:before="0" w:after="0"/>
        <w:jc w:val="both"/>
        <w:rPr>
          <w:rFonts w:ascii="Verdana" w:hAnsi="Verdana" w:cs="Arial"/>
          <w:sz w:val="18"/>
          <w:szCs w:val="18"/>
          <w:lang w:eastAsia="en-US"/>
        </w:rPr>
      </w:pPr>
      <w:r>
        <w:rPr>
          <w:rFonts w:cs="Arial" w:ascii="Verdana" w:hAnsi="Verdana"/>
          <w:b/>
          <w:sz w:val="18"/>
          <w:szCs w:val="18"/>
        </w:rPr>
        <w:t>09. ALTERAÇÃO SUBJETIVA</w:t>
      </w:r>
    </w:p>
    <w:p>
      <w:pPr>
        <w:pStyle w:val="Corpodetexto"/>
        <w:suppressAutoHyphens w:val="false"/>
        <w:spacing w:before="0" w:after="0"/>
        <w:jc w:val="both"/>
        <w:rPr>
          <w:rFonts w:ascii="Verdana" w:hAnsi="Verdana" w:cs="Arial"/>
          <w:sz w:val="18"/>
          <w:szCs w:val="18"/>
          <w:lang w:eastAsia="en-US"/>
        </w:rPr>
      </w:pPr>
      <w:r>
        <w:rPr>
          <w:rFonts w:cs="Arial" w:ascii="Verdana" w:hAnsi="Verdana"/>
          <w:sz w:val="18"/>
          <w:szCs w:val="18"/>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Corpodetexto"/>
        <w:suppressAutoHyphens w:val="false"/>
        <w:spacing w:before="0" w:after="0"/>
        <w:jc w:val="both"/>
        <w:rPr>
          <w:rFonts w:ascii="Verdana" w:hAnsi="Verdana" w:cs="Arial"/>
          <w:sz w:val="18"/>
          <w:szCs w:val="18"/>
        </w:rPr>
      </w:pPr>
      <w:r>
        <w:rPr>
          <w:rFonts w:cs="Arial" w:ascii="Verdana" w:hAnsi="Verdana"/>
          <w:sz w:val="18"/>
          <w:szCs w:val="18"/>
        </w:rPr>
      </w:r>
    </w:p>
    <w:p>
      <w:pPr>
        <w:pStyle w:val="Normal"/>
        <w:tabs>
          <w:tab w:val="left" w:pos="1800" w:leader="none"/>
        </w:tabs>
        <w:jc w:val="both"/>
        <w:rPr>
          <w:rFonts w:ascii="Verdana" w:hAnsi="Verdana" w:cs="Arial"/>
          <w:sz w:val="18"/>
          <w:szCs w:val="18"/>
        </w:rPr>
      </w:pPr>
      <w:r>
        <w:rPr>
          <w:rFonts w:cs="Arial" w:ascii="Verdana" w:hAnsi="Verdana"/>
          <w:sz w:val="18"/>
          <w:szCs w:val="18"/>
        </w:rPr>
      </w:r>
    </w:p>
    <w:p>
      <w:pPr>
        <w:pStyle w:val="Normal"/>
        <w:tabs>
          <w:tab w:val="left" w:pos="1800" w:leader="none"/>
        </w:tabs>
        <w:jc w:val="both"/>
        <w:rPr>
          <w:rFonts w:ascii="Verdana" w:hAnsi="Verdana" w:cs="Arial"/>
          <w:sz w:val="18"/>
          <w:szCs w:val="18"/>
        </w:rPr>
      </w:pPr>
      <w:r>
        <w:rPr>
          <w:rFonts w:cs="Arial" w:ascii="Verdana" w:hAnsi="Verdana"/>
          <w:b/>
          <w:bCs/>
          <w:sz w:val="18"/>
          <w:szCs w:val="18"/>
        </w:rPr>
        <w:t>10. DAS PENALIDADES</w:t>
      </w:r>
    </w:p>
    <w:p>
      <w:pPr>
        <w:pStyle w:val="Normal"/>
        <w:tabs>
          <w:tab w:val="left" w:pos="1800" w:leader="none"/>
        </w:tabs>
        <w:jc w:val="both"/>
        <w:rPr>
          <w:rFonts w:ascii="Verdana" w:hAnsi="Verdana" w:cs="Arial"/>
          <w:b/>
          <w:b/>
          <w:bCs/>
          <w:iCs/>
          <w:sz w:val="18"/>
          <w:szCs w:val="18"/>
        </w:rPr>
      </w:pPr>
      <w:r>
        <w:rPr>
          <w:rFonts w:cs="Arial" w:ascii="Verdana" w:hAnsi="Verdana"/>
          <w:sz w:val="18"/>
          <w:szCs w:val="18"/>
        </w:rPr>
        <w:t xml:space="preserve">No caso de inadimplência ou inexecução total ou parcial do compromisso assumido com a UFVJM, garantida a prévia defesa, aplicar-se-á as sanções previstas no </w:t>
      </w:r>
      <w:r>
        <w:rPr>
          <w:rFonts w:cs="Arial" w:ascii="Verdana" w:hAnsi="Verdana"/>
          <w:b/>
          <w:sz w:val="18"/>
          <w:szCs w:val="18"/>
        </w:rPr>
        <w:t>item 21 do Edital</w:t>
      </w:r>
      <w:r>
        <w:rPr>
          <w:rFonts w:cs="Arial" w:ascii="Verdana" w:hAnsi="Verdana"/>
          <w:sz w:val="18"/>
          <w:szCs w:val="18"/>
        </w:rPr>
        <w:t xml:space="preserve"> do Pregão Eletrônico nº 034</w:t>
      </w:r>
      <w:bookmarkStart w:id="0" w:name="_GoBack"/>
      <w:bookmarkEnd w:id="0"/>
      <w:r>
        <w:rPr>
          <w:rFonts w:cs="Arial" w:ascii="Verdana" w:hAnsi="Verdana"/>
          <w:sz w:val="18"/>
          <w:szCs w:val="18"/>
        </w:rPr>
        <w:t>/2018.</w:t>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b/>
          <w:b/>
          <w:bCs/>
          <w:iCs/>
          <w:sz w:val="18"/>
          <w:szCs w:val="18"/>
        </w:rPr>
      </w:pPr>
      <w:r>
        <w:rPr>
          <w:rFonts w:cs="Arial" w:ascii="Verdana" w:hAnsi="Verdana"/>
          <w:b/>
          <w:bCs/>
          <w:iCs/>
          <w:sz w:val="18"/>
          <w:szCs w:val="18"/>
        </w:rPr>
      </w:r>
    </w:p>
    <w:p>
      <w:pPr>
        <w:pStyle w:val="Normal"/>
        <w:tabs>
          <w:tab w:val="left" w:pos="1800" w:leader="none"/>
        </w:tabs>
        <w:jc w:val="both"/>
        <w:rPr>
          <w:rFonts w:ascii="Verdana" w:hAnsi="Verdana" w:cs="Arial"/>
          <w:b/>
          <w:b/>
          <w:sz w:val="18"/>
          <w:szCs w:val="18"/>
        </w:rPr>
      </w:pPr>
      <w:r>
        <w:rPr>
          <w:rFonts w:cs="Arial" w:ascii="Verdana" w:hAnsi="Verdana"/>
          <w:b/>
          <w:sz w:val="18"/>
          <w:szCs w:val="18"/>
        </w:rPr>
        <w:t>11. DAS DISPOSIÇÕES GERAIS</w:t>
      </w:r>
    </w:p>
    <w:p>
      <w:pPr>
        <w:pStyle w:val="Normal"/>
        <w:tabs>
          <w:tab w:val="left" w:pos="1800" w:leader="none"/>
        </w:tabs>
        <w:jc w:val="both"/>
        <w:rPr>
          <w:rFonts w:ascii="Verdana" w:hAnsi="Verdana" w:cs="Arial"/>
          <w:sz w:val="18"/>
          <w:szCs w:val="18"/>
        </w:rPr>
      </w:pPr>
      <w:r>
        <w:rPr>
          <w:rFonts w:cs="Arial" w:ascii="Verdana" w:hAnsi="Verdana"/>
          <w:b/>
          <w:sz w:val="18"/>
          <w:szCs w:val="18"/>
        </w:rPr>
        <w:t>11.1.</w:t>
      </w:r>
      <w:r>
        <w:rPr>
          <w:rFonts w:cs="Arial" w:ascii="Verdana" w:hAnsi="Verdana"/>
          <w:sz w:val="18"/>
          <w:szCs w:val="18"/>
        </w:rPr>
        <w:t xml:space="preserve"> Ocorrendo, em qualquer hipótese, a negativa do fornecimento do Objeto desta licitação por parte da LICITANTE VENCEDORA, o mesmo poderá ser adjudicado às Licitantes remanescentes, na ordem de classificação e de acordo com as Propostas apresentadas, sem prejuízo às sanções previstas em lei;</w:t>
      </w:r>
    </w:p>
    <w:p>
      <w:pPr>
        <w:pStyle w:val="Normal"/>
        <w:tabs>
          <w:tab w:val="left" w:pos="1800" w:leader="none"/>
        </w:tabs>
        <w:jc w:val="both"/>
        <w:rPr>
          <w:rFonts w:ascii="Verdana" w:hAnsi="Verdana" w:cs="Arial"/>
          <w:sz w:val="18"/>
          <w:szCs w:val="18"/>
        </w:rPr>
      </w:pPr>
      <w:r>
        <w:rPr>
          <w:rFonts w:cs="Arial" w:ascii="Verdana" w:hAnsi="Verdana"/>
          <w:b/>
          <w:sz w:val="18"/>
          <w:szCs w:val="18"/>
        </w:rPr>
        <w:t xml:space="preserve">11.2. </w:t>
      </w:r>
      <w:r>
        <w:rPr>
          <w:rFonts w:cs="Arial" w:ascii="Verdana" w:hAnsi="Verdana"/>
          <w:sz w:val="18"/>
          <w:szCs w:val="18"/>
        </w:rPr>
        <w:t>Conforme IN 08, de 04/12/1998, art.14, ficará sob a responsabilidade do MARE a publicação, trimestralmente, na imprensa oficial dos preços registrados para orientação da Administração.</w:t>
      </w:r>
    </w:p>
    <w:p>
      <w:pPr>
        <w:pStyle w:val="Normal"/>
        <w:tabs>
          <w:tab w:val="left" w:pos="1800" w:leader="none"/>
        </w:tabs>
        <w:jc w:val="both"/>
        <w:rPr>
          <w:rFonts w:ascii="Verdana" w:hAnsi="Verdana" w:cs="Arial"/>
          <w:sz w:val="18"/>
          <w:szCs w:val="18"/>
        </w:rPr>
      </w:pPr>
      <w:r>
        <w:rPr>
          <w:rFonts w:cs="Arial" w:ascii="Verdana" w:hAnsi="Verdana"/>
          <w:b/>
          <w:sz w:val="18"/>
          <w:szCs w:val="18"/>
        </w:rPr>
        <w:t>11.3.</w:t>
      </w:r>
      <w:r>
        <w:rPr>
          <w:rFonts w:cs="Arial" w:ascii="Verdana" w:hAnsi="Verdana"/>
          <w:sz w:val="18"/>
          <w:szCs w:val="18"/>
        </w:rPr>
        <w:t xml:space="preserve"> Fica eleito o Foro da Justiça Federal, Seção Judiciária de Minas, em Belo Horizonte, para dirimir qualquer controvérsia não resolvida entre as partes.</w:t>
      </w:r>
    </w:p>
    <w:p>
      <w:pPr>
        <w:pStyle w:val="BodyText21"/>
        <w:tabs>
          <w:tab w:val="left" w:pos="1800" w:leader="none"/>
        </w:tabs>
        <w:rPr>
          <w:rFonts w:ascii="Verdana" w:hAnsi="Verdana" w:cs="Arial"/>
          <w:sz w:val="18"/>
          <w:szCs w:val="18"/>
        </w:rPr>
      </w:pPr>
      <w:r>
        <w:rPr>
          <w:rFonts w:cs="Arial" w:ascii="Verdana" w:hAnsi="Verdana"/>
          <w:b/>
          <w:sz w:val="18"/>
          <w:szCs w:val="18"/>
        </w:rPr>
        <w:t>11.4.</w:t>
      </w:r>
      <w:r>
        <w:rPr>
          <w:rFonts w:cs="Arial" w:ascii="Verdana" w:hAnsi="Verdana"/>
          <w:sz w:val="18"/>
          <w:szCs w:val="18"/>
        </w:rPr>
        <w:t xml:space="preserve"> Por estarem as partes acordadas com o teor da presente Ata, assinam a mesma em 03 (três) vias, de igual teor e forma.</w:t>
      </w:r>
    </w:p>
    <w:p>
      <w:pPr>
        <w:pStyle w:val="Normal"/>
        <w:keepLines/>
        <w:spacing w:before="120" w:after="0"/>
        <w:jc w:val="center"/>
        <w:rPr>
          <w:rFonts w:ascii="Verdana" w:hAnsi="Verdana" w:cs="Arial"/>
          <w:sz w:val="18"/>
          <w:szCs w:val="18"/>
        </w:rPr>
      </w:pPr>
      <w:r>
        <w:rPr>
          <w:rFonts w:cs="Arial" w:ascii="Verdana" w:hAnsi="Verdana"/>
          <w:sz w:val="18"/>
          <w:szCs w:val="18"/>
        </w:rPr>
      </w:r>
    </w:p>
    <w:p>
      <w:pPr>
        <w:pStyle w:val="Normal"/>
        <w:keepLines/>
        <w:spacing w:before="120" w:after="0"/>
        <w:jc w:val="center"/>
        <w:rPr>
          <w:rFonts w:ascii="Verdana" w:hAnsi="Verdana" w:cs="Arial"/>
          <w:sz w:val="18"/>
          <w:szCs w:val="18"/>
        </w:rPr>
      </w:pPr>
      <w:r>
        <w:rPr>
          <w:rFonts w:cs="Arial" w:ascii="Verdana" w:hAnsi="Verdana"/>
          <w:sz w:val="18"/>
          <w:szCs w:val="18"/>
        </w:rPr>
        <w:t>Diamantina, xx de xxxxxxxxxxx de 2018.</w:t>
      </w:r>
    </w:p>
    <w:p>
      <w:pPr>
        <w:pStyle w:val="Normal"/>
        <w:keepLines/>
        <w:spacing w:before="120" w:after="0"/>
        <w:rPr>
          <w:rFonts w:ascii="Verdana" w:hAnsi="Verdana" w:cs="Arial"/>
          <w:sz w:val="18"/>
          <w:szCs w:val="18"/>
        </w:rPr>
      </w:pPr>
      <w:r>
        <w:rPr>
          <w:rFonts w:cs="Arial" w:ascii="Verdana" w:hAnsi="Verdana"/>
          <w:sz w:val="18"/>
          <w:szCs w:val="18"/>
        </w:rPr>
      </w:r>
    </w:p>
    <w:p>
      <w:pPr>
        <w:pStyle w:val="Normal"/>
        <w:keepLines/>
        <w:spacing w:before="120" w:after="0"/>
        <w:rPr>
          <w:rFonts w:ascii="Verdana" w:hAnsi="Verdana" w:cs="Arial"/>
          <w:b/>
          <w:b/>
          <w:sz w:val="18"/>
          <w:szCs w:val="18"/>
        </w:rPr>
      </w:pPr>
      <w:r>
        <w:rPr>
          <w:rFonts w:cs="Arial" w:ascii="Verdana" w:hAnsi="Verdana"/>
          <w:b/>
          <w:sz w:val="18"/>
          <w:szCs w:val="18"/>
        </w:rPr>
      </w:r>
    </w:p>
    <w:p>
      <w:pPr>
        <w:pStyle w:val="Normal"/>
        <w:keepLines/>
        <w:spacing w:before="120" w:after="0"/>
        <w:rPr>
          <w:rFonts w:ascii="Verdana" w:hAnsi="Verdana" w:cs="Arial"/>
          <w:sz w:val="18"/>
          <w:szCs w:val="18"/>
        </w:rPr>
      </w:pPr>
      <w:r>
        <w:rPr>
          <w:rFonts w:cs="Arial" w:ascii="Verdana" w:hAnsi="Verdana"/>
          <w:sz w:val="18"/>
          <w:szCs w:val="18"/>
        </w:rPr>
      </w:r>
    </w:p>
    <w:p>
      <w:pPr>
        <w:pStyle w:val="Normal"/>
        <w:keepLines/>
        <w:spacing w:before="120" w:after="0"/>
        <w:rPr>
          <w:rFonts w:ascii="Verdana" w:hAnsi="Verdana" w:cs="Arial"/>
          <w:b/>
          <w:b/>
          <w:sz w:val="18"/>
          <w:szCs w:val="18"/>
        </w:rPr>
      </w:pPr>
      <w:r>
        <w:rPr>
          <w:rFonts w:cs="Arial" w:ascii="Verdana" w:hAnsi="Verdana"/>
          <w:b/>
          <w:sz w:val="18"/>
          <w:szCs w:val="18"/>
        </w:rPr>
      </w:r>
    </w:p>
    <w:p>
      <w:pPr>
        <w:pStyle w:val="Normal"/>
        <w:keepLines/>
        <w:spacing w:before="120" w:after="0"/>
        <w:rPr>
          <w:rFonts w:ascii="Verdana" w:hAnsi="Verdana" w:cs="Arial"/>
          <w:sz w:val="18"/>
          <w:szCs w:val="18"/>
        </w:rPr>
      </w:pPr>
      <w:r>
        <w:rPr>
          <w:rFonts w:cs="Arial" w:ascii="Verdana" w:hAnsi="Verdana"/>
          <w:b/>
          <w:sz w:val="18"/>
          <w:szCs w:val="18"/>
        </w:rPr>
        <w:t>Representante Legal da UFVJM:</w:t>
      </w:r>
    </w:p>
    <w:p>
      <w:pPr>
        <w:pStyle w:val="Normal"/>
        <w:keepLines/>
        <w:spacing w:before="120" w:after="0"/>
        <w:rPr>
          <w:rFonts w:ascii="Verdana" w:hAnsi="Verdana" w:cs="Arial"/>
          <w:sz w:val="18"/>
          <w:szCs w:val="18"/>
        </w:rPr>
      </w:pPr>
      <w:r>
        <w:rPr>
          <w:rFonts w:cs="Arial" w:ascii="Verdana" w:hAnsi="Verdana"/>
          <w:sz w:val="18"/>
          <w:szCs w:val="18"/>
        </w:rPr>
      </w:r>
    </w:p>
    <w:p>
      <w:pPr>
        <w:pStyle w:val="Normal"/>
        <w:keepLines/>
        <w:spacing w:before="120" w:after="0"/>
        <w:jc w:val="center"/>
        <w:rPr>
          <w:rFonts w:ascii="Verdana" w:hAnsi="Verdana" w:cs="Arial"/>
          <w:sz w:val="18"/>
          <w:szCs w:val="18"/>
        </w:rPr>
      </w:pPr>
      <w:r>
        <w:rPr>
          <w:rFonts w:cs="Arial" w:ascii="Verdana" w:hAnsi="Verdana"/>
          <w:sz w:val="18"/>
          <w:szCs w:val="18"/>
        </w:rPr>
        <w:t>_____________________________________</w:t>
      </w:r>
    </w:p>
    <w:p>
      <w:pPr>
        <w:pStyle w:val="Normal"/>
        <w:keepLines/>
        <w:spacing w:before="120" w:after="0"/>
        <w:jc w:val="center"/>
        <w:rPr>
          <w:rFonts w:ascii="Verdana" w:hAnsi="Verdana" w:cs="Arial"/>
          <w:sz w:val="18"/>
          <w:szCs w:val="18"/>
        </w:rPr>
      </w:pPr>
      <w:r>
        <w:rPr>
          <w:rFonts w:cs="Arial" w:ascii="Verdana" w:hAnsi="Verdana"/>
          <w:sz w:val="18"/>
          <w:szCs w:val="18"/>
        </w:rPr>
        <w:t>Prof. Fernando Costa Archanjo</w:t>
      </w:r>
    </w:p>
    <w:p>
      <w:pPr>
        <w:pStyle w:val="Normal"/>
        <w:keepLines/>
        <w:jc w:val="center"/>
        <w:rPr>
          <w:rFonts w:ascii="Verdana" w:hAnsi="Verdana" w:cs="Arial"/>
          <w:sz w:val="18"/>
          <w:szCs w:val="18"/>
        </w:rPr>
      </w:pPr>
      <w:r>
        <w:rPr>
          <w:rFonts w:cs="Arial" w:ascii="Verdana" w:hAnsi="Verdana"/>
          <w:sz w:val="18"/>
          <w:szCs w:val="18"/>
        </w:rPr>
        <w:t>Pró Reitor de Administração da UFVJM</w:t>
      </w:r>
    </w:p>
    <w:p>
      <w:pPr>
        <w:pStyle w:val="Cabealho"/>
        <w:keepLines/>
        <w:spacing w:before="120" w:after="0"/>
        <w:rPr>
          <w:rFonts w:ascii="Verdana" w:hAnsi="Verdana" w:cs="Arial"/>
          <w:sz w:val="18"/>
          <w:szCs w:val="18"/>
        </w:rPr>
      </w:pPr>
      <w:r>
        <w:rPr>
          <w:rFonts w:cs="Arial" w:ascii="Verdana" w:hAnsi="Verdana"/>
          <w:sz w:val="18"/>
          <w:szCs w:val="18"/>
        </w:rPr>
      </w:r>
    </w:p>
    <w:p>
      <w:pPr>
        <w:pStyle w:val="Rodap"/>
        <w:keepLines/>
        <w:spacing w:before="120" w:after="0"/>
        <w:rPr>
          <w:rFonts w:ascii="Verdana" w:hAnsi="Verdana" w:cs="Arial"/>
          <w:sz w:val="18"/>
          <w:szCs w:val="18"/>
        </w:rPr>
      </w:pPr>
      <w:r>
        <w:rPr>
          <w:rFonts w:cs="Arial" w:ascii="Verdana" w:hAnsi="Verdana"/>
          <w:b/>
          <w:sz w:val="18"/>
          <w:szCs w:val="18"/>
        </w:rPr>
        <w:t>Empresa classificada: xxxxxxxxxxxx</w:t>
      </w:r>
    </w:p>
    <w:p>
      <w:pPr>
        <w:pStyle w:val="Xl23"/>
        <w:keepLines/>
        <w:spacing w:before="120" w:after="0"/>
        <w:jc w:val="left"/>
        <w:rPr>
          <w:rFonts w:ascii="Verdana" w:hAnsi="Verdana" w:cs="Arial"/>
          <w:sz w:val="18"/>
          <w:szCs w:val="18"/>
        </w:rPr>
      </w:pPr>
      <w:r>
        <w:rPr>
          <w:rFonts w:cs="Arial" w:ascii="Verdana" w:hAnsi="Verdana"/>
          <w:sz w:val="18"/>
          <w:szCs w:val="18"/>
        </w:rPr>
      </w:r>
    </w:p>
    <w:p>
      <w:pPr>
        <w:pStyle w:val="Xl23"/>
        <w:keepLines/>
        <w:spacing w:before="120" w:after="0"/>
        <w:rPr>
          <w:rFonts w:ascii="Verdana" w:hAnsi="Verdana" w:cs="Arial"/>
          <w:sz w:val="18"/>
          <w:szCs w:val="18"/>
        </w:rPr>
      </w:pPr>
      <w:r>
        <w:rPr>
          <w:rFonts w:cs="Arial" w:ascii="Verdana" w:hAnsi="Verdana"/>
          <w:sz w:val="18"/>
          <w:szCs w:val="18"/>
        </w:rPr>
        <w:t>_____________________________________</w:t>
      </w:r>
    </w:p>
    <w:p>
      <w:pPr>
        <w:pStyle w:val="Xl23"/>
        <w:keepLines/>
        <w:spacing w:before="120" w:after="0"/>
        <w:rPr>
          <w:rFonts w:ascii="Verdana" w:hAnsi="Verdana" w:cs="Arial"/>
          <w:sz w:val="18"/>
          <w:szCs w:val="18"/>
        </w:rPr>
      </w:pPr>
      <w:r>
        <w:rPr>
          <w:rFonts w:cs="Arial" w:ascii="Verdana" w:hAnsi="Verdana"/>
          <w:sz w:val="18"/>
          <w:szCs w:val="18"/>
        </w:rPr>
        <w:t>Nome do Representante legal</w:t>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t>CPF N° : xxx.xxx.xxx-xx</w:t>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t>CI N° : xxxxxxxxxxxxxx</w:t>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keepLines/>
        <w:spacing w:before="60" w:after="0"/>
        <w:ind w:left="4944" w:hanging="4944"/>
        <w:jc w:val="center"/>
        <w:rPr>
          <w:rFonts w:ascii="Verdana" w:hAnsi="Verdana" w:cs="Arial"/>
          <w:sz w:val="18"/>
          <w:szCs w:val="18"/>
        </w:rPr>
      </w:pPr>
      <w:r>
        <w:rPr>
          <w:rFonts w:cs="Arial" w:ascii="Verdana" w:hAnsi="Verdana"/>
          <w:sz w:val="18"/>
          <w:szCs w:val="18"/>
        </w:rPr>
      </w:r>
    </w:p>
    <w:p>
      <w:pPr>
        <w:pStyle w:val="Normal"/>
        <w:suppressAutoHyphens w:val="false"/>
        <w:rPr/>
      </w:pPr>
      <w:r>
        <w:rPr/>
      </w:r>
    </w:p>
    <w:sectPr>
      <w:headerReference w:type="default" r:id="rId25"/>
      <w:footerReference w:type="default" r:id="rId26"/>
      <w:type w:val="nextPage"/>
      <w:pgSz w:w="11906" w:h="16838"/>
      <w:pgMar w:left="1701" w:right="1701" w:header="720" w:top="1134" w:footer="70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Wingdings">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swiss"/>
    <w:pitch w:val="variable"/>
  </w:font>
  <w:font w:name="Calibri">
    <w:charset w:val="00"/>
    <w:family w:val="roman"/>
    <w:pitch w:val="variable"/>
  </w:font>
  <w:font w:name="TimesNewRomanPS-BoldMT">
    <w:charset w:val="00"/>
    <w:family w:val="roman"/>
    <w:pitch w:val="variable"/>
  </w:font>
  <w:font w:name="TimesNewRomanPSMT">
    <w:charset w:val="00"/>
    <w:family w:val="roman"/>
    <w:pitch w:val="variable"/>
  </w:font>
  <w:font w:name="TimesNewRomanPS-ItalicMT">
    <w:charset w:val="00"/>
    <w:family w:val="roman"/>
    <w:pitch w:val="variable"/>
  </w:font>
  <w:font w:name="Calibri-Bold">
    <w:charset w:val="00"/>
    <w:family w:val="roman"/>
    <w:pitch w:val="variable"/>
  </w:font>
  <w:font w:name="Webding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Web"/>
      <w:spacing w:before="100" w:after="100"/>
      <w:rPr/>
    </w:pPr>
    <w:r>
      <w:rPr>
        <w:rFonts w:eastAsia="Webdings" w:cs="Webdings" w:ascii="Webdings" w:hAnsi="Webdings"/>
        <w:color w:val="008000"/>
        <w:sz w:val="27"/>
        <w:szCs w:val="27"/>
      </w:rPr>
      <w:t></w:t>
    </w:r>
    <w:r>
      <w:rPr>
        <w:rFonts w:cs="Arial" w:ascii="Arial" w:hAnsi="Arial"/>
        <w:b/>
        <w:bCs/>
        <w:color w:val="008000"/>
        <w:sz w:val="15"/>
        <w:szCs w:val="15"/>
      </w:rPr>
      <w:t>Antes de imprimir pense em seu compromisso com o Meio Ambiente.</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fldChar w:fldCharType="begin"/>
    </w:r>
    <w:r>
      <w:instrText> PAGE </w:instrText>
    </w:r>
    <w:r>
      <w:fldChar w:fldCharType="separate"/>
    </w:r>
    <w:r>
      <w:t>6</w:t>
    </w:r>
    <w:r>
      <w:fldChar w:fldCharType="end"/>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lowerLetter"/>
      <w:lvlText w:val="%1)"/>
      <w:lvlJc w:val="left"/>
      <w:pPr>
        <w:tabs>
          <w:tab w:val="num" w:pos="1353"/>
        </w:tabs>
        <w:ind w:left="135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360"/>
        </w:tabs>
        <w:ind w:left="360" w:hanging="360"/>
      </w:pPr>
      <w:rPr>
        <w:sz w:val="18"/>
        <w:b/>
        <w:szCs w:val="18"/>
        <w:rFonts w:ascii="Verdana" w:hAnsi="Verdana" w:cs="Arial"/>
      </w:rPr>
    </w:lvl>
    <w:lvl w:ilvl="1">
      <w:start w:val="1"/>
      <w:numFmt w:val="decimal"/>
      <w:lvlText w:val="%1.%2."/>
      <w:lvlJc w:val="left"/>
      <w:pPr>
        <w:tabs>
          <w:tab w:val="num" w:pos="432"/>
        </w:tabs>
        <w:ind w:left="432" w:hanging="432"/>
      </w:pPr>
      <w:rPr>
        <w:sz w:val="18"/>
        <w:i w:val="false"/>
        <w:b/>
        <w:szCs w:val="20"/>
        <w:iCs/>
        <w:bCs/>
        <w:rFonts w:ascii="Verdana" w:hAnsi="Verdana" w:cs="Arial"/>
        <w:lang w:eastAsia="pt-BR"/>
      </w:rPr>
    </w:lvl>
    <w:lvl w:ilvl="2">
      <w:start w:val="1"/>
      <w:numFmt w:val="decimal"/>
      <w:lvlText w:val="%1.%2.%3."/>
      <w:lvlJc w:val="left"/>
      <w:pPr>
        <w:tabs>
          <w:tab w:val="num" w:pos="1440"/>
        </w:tabs>
        <w:ind w:left="1224" w:hanging="504"/>
      </w:pPr>
      <w:rPr>
        <w:sz w:val="18"/>
        <w:b/>
        <w:szCs w:val="18"/>
        <w:rFonts w:ascii="Verdana" w:hAnsi="Verdana" w:cs="Arial"/>
      </w:rPr>
    </w:lvl>
    <w:lvl w:ilvl="3">
      <w:start w:val="1"/>
      <w:numFmt w:val="decimal"/>
      <w:lvlText w:val="%1.%2.%3.%4."/>
      <w:lvlJc w:val="left"/>
      <w:pPr>
        <w:tabs>
          <w:tab w:val="num" w:pos="2160"/>
        </w:tabs>
        <w:ind w:left="1474" w:hanging="623"/>
      </w:pPr>
      <w:rPr>
        <w:sz w:val="18"/>
        <w:b w:val="false"/>
        <w:szCs w:val="18"/>
        <w:rFonts w:cs="Arial"/>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lvl w:ilvl="0">
      <w:start w:val="1"/>
      <w:numFmt w:val="bullet"/>
      <w:lvlText w:val=""/>
      <w:lvlJc w:val="left"/>
      <w:pPr>
        <w:tabs>
          <w:tab w:val="num" w:pos="708"/>
        </w:tabs>
        <w:ind w:left="720" w:hanging="360"/>
      </w:pPr>
      <w:rPr>
        <w:rFonts w:ascii="Symbol" w:hAnsi="Symbol" w:cs="Symbol" w:hint="default"/>
        <w:sz w:val="18"/>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6"/>
      <w:numFmt w:val="decimal"/>
      <w:lvlText w:val="%1"/>
      <w:lvlJc w:val="left"/>
      <w:pPr>
        <w:ind w:left="420" w:hanging="420"/>
      </w:pPr>
    </w:lvl>
    <w:lvl w:ilvl="1">
      <w:start w:val="8"/>
      <w:numFmt w:val="decimal"/>
      <w:lvlText w:val="%1.%2"/>
      <w:lvlJc w:val="left"/>
      <w:pPr>
        <w:ind w:left="846" w:hanging="420"/>
      </w:pPr>
      <w:rPr>
        <w:sz w:val="18"/>
        <w:szCs w:val="18"/>
        <w:rFonts w:ascii="Verdana" w:hAnsi="Verdana" w:cs="Arial"/>
      </w:r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6">
    <w:lvl w:ilvl="0">
      <w:start w:val="2"/>
      <w:numFmt w:val="decimal"/>
      <w:lvlText w:val="%1"/>
      <w:lvlJc w:val="left"/>
      <w:pPr>
        <w:ind w:left="465" w:hanging="465"/>
      </w:pPr>
      <w:rPr>
        <w:b/>
        <w:rFonts w:cs="Arial"/>
      </w:rPr>
    </w:lvl>
    <w:lvl w:ilvl="1">
      <w:start w:val="3"/>
      <w:numFmt w:val="decimal"/>
      <w:lvlText w:val="%1.%2"/>
      <w:lvlJc w:val="left"/>
      <w:pPr>
        <w:ind w:left="825" w:hanging="465"/>
      </w:pPr>
      <w:rPr>
        <w:sz w:val="18"/>
        <w:b/>
        <w:rFonts w:ascii="Verdana" w:hAnsi="Verdana" w:cs="Arial"/>
      </w:rPr>
    </w:lvl>
    <w:lvl w:ilvl="2">
      <w:start w:val="1"/>
      <w:numFmt w:val="decimal"/>
      <w:lvlText w:val="%1.%2.%3"/>
      <w:lvlJc w:val="left"/>
      <w:pPr>
        <w:ind w:left="1440" w:hanging="720"/>
      </w:pPr>
      <w:rPr>
        <w:b/>
        <w:rFonts w:cs="Arial"/>
      </w:rPr>
    </w:lvl>
    <w:lvl w:ilvl="3">
      <w:start w:val="1"/>
      <w:numFmt w:val="decimal"/>
      <w:lvlText w:val="%1.%2.%3.%4"/>
      <w:lvlJc w:val="left"/>
      <w:pPr>
        <w:ind w:left="2160" w:hanging="1080"/>
      </w:pPr>
      <w:rPr>
        <w:b/>
        <w:rFonts w:cs="Arial"/>
      </w:rPr>
    </w:lvl>
    <w:lvl w:ilvl="4">
      <w:start w:val="1"/>
      <w:numFmt w:val="decimal"/>
      <w:lvlText w:val="%1.%2.%3.%4.%5"/>
      <w:lvlJc w:val="left"/>
      <w:pPr>
        <w:ind w:left="2520" w:hanging="1080"/>
      </w:pPr>
      <w:rPr>
        <w:b/>
        <w:rFonts w:cs="Arial"/>
      </w:rPr>
    </w:lvl>
    <w:lvl w:ilvl="5">
      <w:start w:val="1"/>
      <w:numFmt w:val="decimal"/>
      <w:lvlText w:val="%1.%2.%3.%4.%5.%6"/>
      <w:lvlJc w:val="left"/>
      <w:pPr>
        <w:ind w:left="3240" w:hanging="1440"/>
      </w:pPr>
      <w:rPr>
        <w:b/>
        <w:rFonts w:cs="Arial"/>
      </w:rPr>
    </w:lvl>
    <w:lvl w:ilvl="6">
      <w:start w:val="1"/>
      <w:numFmt w:val="decimal"/>
      <w:lvlText w:val="%1.%2.%3.%4.%5.%6.%7"/>
      <w:lvlJc w:val="left"/>
      <w:pPr>
        <w:ind w:left="3600" w:hanging="1440"/>
      </w:pPr>
      <w:rPr>
        <w:b/>
        <w:rFonts w:cs="Arial"/>
      </w:rPr>
    </w:lvl>
    <w:lvl w:ilvl="7">
      <w:start w:val="1"/>
      <w:numFmt w:val="decimal"/>
      <w:lvlText w:val="%1.%2.%3.%4.%5.%6.%7.%8"/>
      <w:lvlJc w:val="left"/>
      <w:pPr>
        <w:ind w:left="4320" w:hanging="1800"/>
      </w:pPr>
      <w:rPr>
        <w:b/>
        <w:rFonts w:cs="Arial"/>
      </w:rPr>
    </w:lvl>
    <w:lvl w:ilvl="8">
      <w:start w:val="1"/>
      <w:numFmt w:val="decimal"/>
      <w:lvlText w:val="%1.%2.%3.%4.%5.%6.%7.%8.%9"/>
      <w:lvlJc w:val="left"/>
      <w:pPr>
        <w:ind w:left="5040" w:hanging="2160"/>
      </w:pPr>
      <w:rPr>
        <w:b/>
        <w:rFonts w:cs="Arial"/>
      </w:rPr>
    </w:lvl>
  </w:abstractNum>
  <w:abstractNum w:abstractNumId="7">
    <w:lvl w:ilvl="0">
      <w:start w:val="8"/>
      <w:numFmt w:val="decimal"/>
      <w:lvlText w:val="%1"/>
      <w:lvlJc w:val="left"/>
      <w:pPr>
        <w:ind w:left="360" w:hanging="360"/>
      </w:pPr>
    </w:lvl>
    <w:lvl w:ilvl="1">
      <w:start w:val="7"/>
      <w:numFmt w:val="decimal"/>
      <w:lvlText w:val="%1.%2"/>
      <w:lvlJc w:val="left"/>
      <w:pPr>
        <w:ind w:left="360" w:hanging="360"/>
      </w:pPr>
      <w:rPr>
        <w:sz w:val="18"/>
        <w:b w:val="false"/>
        <w:szCs w:val="18"/>
        <w:rFonts w:ascii="Verdana" w:hAnsi="Verdana"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08"/>
        </w:tabs>
        <w:ind w:left="720" w:hanging="720"/>
      </w:pPr>
      <w:rPr>
        <w:sz w:val="18"/>
        <w:szCs w:val="18"/>
        <w:rFonts w:ascii="Verdana" w:hAnsi="Verdana" w:eastAsia="Arial" w:cs="Arial"/>
        <w:color w:val="000000"/>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lvl w:ilvl="0">
      <w:start w:val="165"/>
      <w:numFmt w:val="decimal"/>
      <w:lvlText w:val="%1"/>
      <w:lvlJc w:val="left"/>
      <w:pPr>
        <w:ind w:left="720" w:hanging="720"/>
      </w:pPr>
    </w:lvl>
    <w:lvl w:ilvl="1">
      <w:start w:val="1"/>
      <w:numFmt w:val="decimal"/>
      <w:lvlText w:val="%1.%2"/>
      <w:lvlJc w:val="left"/>
      <w:pPr>
        <w:ind w:left="1146" w:hanging="720"/>
      </w:pPr>
    </w:lvl>
    <w:lvl w:ilvl="2">
      <w:start w:val="1"/>
      <w:numFmt w:val="decimal"/>
      <w:lvlText w:val="%1.%2.%3"/>
      <w:lvlJc w:val="left"/>
      <w:pPr>
        <w:ind w:left="1572" w:hanging="720"/>
      </w:pPr>
      <w:rPr>
        <w:sz w:val="18"/>
        <w:szCs w:val="18"/>
        <w:rFonts w:ascii="Verdana" w:hAnsi="Verdana" w:cs="Arial"/>
      </w:r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10">
    <w:lvl w:ilvl="0">
      <w:start w:val="21"/>
      <w:numFmt w:val="decimal"/>
      <w:lvlText w:val="%1"/>
      <w:lvlJc w:val="left"/>
      <w:pPr>
        <w:ind w:left="420" w:hanging="420"/>
      </w:pPr>
    </w:lvl>
    <w:lvl w:ilvl="1">
      <w:start w:val="6"/>
      <w:numFmt w:val="decimal"/>
      <w:lvlText w:val="%1.%2"/>
      <w:lvlJc w:val="left"/>
      <w:pPr>
        <w:tabs>
          <w:tab w:val="num" w:pos="708"/>
        </w:tabs>
        <w:ind w:left="1130" w:hanging="420"/>
      </w:pPr>
      <w:rPr>
        <w:sz w:val="18"/>
        <w:szCs w:val="18"/>
        <w:rFonts w:ascii="Verdana" w:hAnsi="Verdana" w:cs="Arial"/>
        <w:lang w:eastAsia="pt-BR"/>
      </w:r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840" w:hanging="2160"/>
      </w:pPr>
    </w:lvl>
  </w:abstractNum>
  <w:abstractNum w:abstractNumId="11">
    <w:lvl w:ilvl="0">
      <w:start w:val="1"/>
      <w:numFmt w:val="lowerLetter"/>
      <w:lvlText w:val="%1)"/>
      <w:lvlJc w:val="left"/>
      <w:pPr>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0"/>
      <w:numFmt w:val="decimal"/>
      <w:lvlText w:val="%1"/>
      <w:lvlJc w:val="left"/>
      <w:pPr>
        <w:ind w:left="600" w:hanging="600"/>
      </w:pPr>
    </w:lvl>
    <w:lvl w:ilvl="1">
      <w:start w:val="1"/>
      <w:numFmt w:val="decimal"/>
      <w:lvlText w:val="%1.%2"/>
      <w:lvlJc w:val="left"/>
      <w:pPr>
        <w:ind w:left="1050" w:hanging="600"/>
      </w:pPr>
      <w:rPr>
        <w:sz w:val="18"/>
        <w:b/>
        <w:rFonts w:ascii="Verdana" w:hAnsi="Verdana"/>
      </w:rPr>
    </w:lvl>
    <w:lvl w:ilvl="2">
      <w:start w:val="1"/>
      <w:numFmt w:val="decimal"/>
      <w:lvlText w:val="%1.%2.%3"/>
      <w:lvlJc w:val="left"/>
      <w:pPr>
        <w:ind w:left="1620" w:hanging="720"/>
      </w:pPr>
      <w:rPr>
        <w:sz w:val="18"/>
        <w:szCs w:val="18"/>
        <w:rFonts w:ascii="Verdana" w:hAnsi="Verdana" w:cs="Arial"/>
        <w:color w:val="000000"/>
      </w:r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3">
    <w:lvl w:ilvl="0">
      <w:start w:val="18"/>
      <w:numFmt w:val="decimal"/>
      <w:lvlText w:val="%1"/>
      <w:lvlJc w:val="left"/>
      <w:pPr>
        <w:ind w:left="600" w:hanging="600"/>
      </w:pPr>
    </w:lvl>
    <w:lvl w:ilvl="1">
      <w:start w:val="2"/>
      <w:numFmt w:val="decimal"/>
      <w:lvlText w:val="%1.%2"/>
      <w:lvlJc w:val="left"/>
      <w:pPr>
        <w:ind w:left="1050" w:hanging="600"/>
      </w:pPr>
    </w:lvl>
    <w:lvl w:ilvl="2">
      <w:start w:val="2"/>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140" w:hanging="144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4">
    <w:lvl w:ilvl="0">
      <w:start w:val="21"/>
      <w:numFmt w:val="decimal"/>
      <w:lvlText w:val="%1"/>
      <w:lvlJc w:val="left"/>
      <w:pPr>
        <w:ind w:left="420" w:hanging="420"/>
      </w:pPr>
    </w:lvl>
    <w:lvl w:ilvl="1">
      <w:start w:val="1"/>
      <w:numFmt w:val="decimal"/>
      <w:lvlText w:val="%1.%2"/>
      <w:lvlJc w:val="left"/>
      <w:pPr>
        <w:ind w:left="1130" w:hanging="420"/>
      </w:pPr>
      <w:rPr>
        <w:sz w:val="18"/>
        <w:szCs w:val="18"/>
        <w:rFonts w:ascii="Verdana" w:hAnsi="Verdana" w:cs="Arial"/>
      </w:r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840" w:hanging="2160"/>
      </w:pPr>
    </w:lvl>
  </w:abstractNum>
  <w:abstractNum w:abstractNumId="15">
    <w:lvl w:ilvl="0">
      <w:start w:val="16"/>
      <w:numFmt w:val="decimal"/>
      <w:lvlText w:val="%1"/>
      <w:lvlJc w:val="left"/>
      <w:pPr>
        <w:ind w:left="420" w:hanging="420"/>
      </w:pPr>
    </w:lvl>
    <w:lvl w:ilvl="1">
      <w:start w:val="1"/>
      <w:numFmt w:val="decimal"/>
      <w:lvlText w:val="%1.%2"/>
      <w:lvlJc w:val="left"/>
      <w:pPr>
        <w:ind w:left="846" w:hanging="420"/>
      </w:pPr>
      <w:rPr>
        <w:sz w:val="18"/>
        <w:szCs w:val="18"/>
        <w:rFonts w:ascii="Verdana" w:hAnsi="Verdana" w:cs="Arial"/>
      </w:r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16">
    <w:lvl w:ilvl="0">
      <w:start w:val="9"/>
      <w:numFmt w:val="decimal"/>
      <w:lvlText w:val="%1"/>
      <w:lvlJc w:val="left"/>
      <w:pPr>
        <w:ind w:left="480" w:hanging="480"/>
      </w:pPr>
    </w:lvl>
    <w:lvl w:ilvl="1">
      <w:start w:val="1"/>
      <w:numFmt w:val="decimal"/>
      <w:lvlText w:val="%1.%2"/>
      <w:lvlJc w:val="left"/>
      <w:pPr>
        <w:ind w:left="976" w:hanging="480"/>
      </w:pPr>
    </w:lvl>
    <w:lvl w:ilvl="2">
      <w:start w:val="1"/>
      <w:numFmt w:val="decimal"/>
      <w:lvlText w:val="%1.%2.%3"/>
      <w:lvlJc w:val="left"/>
      <w:pPr>
        <w:ind w:left="1712" w:hanging="720"/>
      </w:pPr>
    </w:lvl>
    <w:lvl w:ilvl="3">
      <w:start w:val="1"/>
      <w:numFmt w:val="decimal"/>
      <w:lvlText w:val="%1.%2.%3.%4"/>
      <w:lvlJc w:val="left"/>
      <w:pPr>
        <w:ind w:left="2568" w:hanging="1080"/>
      </w:pPr>
    </w:lvl>
    <w:lvl w:ilvl="4">
      <w:start w:val="1"/>
      <w:numFmt w:val="decimal"/>
      <w:lvlText w:val="%1.%2.%3.%4.%5"/>
      <w:lvlJc w:val="left"/>
      <w:pPr>
        <w:ind w:left="3064" w:hanging="1080"/>
      </w:pPr>
    </w:lvl>
    <w:lvl w:ilvl="5">
      <w:start w:val="1"/>
      <w:numFmt w:val="decimal"/>
      <w:lvlText w:val="%1.%2.%3.%4.%5.%6"/>
      <w:lvlJc w:val="left"/>
      <w:pPr>
        <w:ind w:left="3920" w:hanging="1440"/>
      </w:pPr>
    </w:lvl>
    <w:lvl w:ilvl="6">
      <w:start w:val="1"/>
      <w:numFmt w:val="decimal"/>
      <w:lvlText w:val="%1.%2.%3.%4.%5.%6.%7"/>
      <w:lvlJc w:val="left"/>
      <w:pPr>
        <w:ind w:left="4416" w:hanging="1440"/>
      </w:pPr>
    </w:lvl>
    <w:lvl w:ilvl="7">
      <w:start w:val="1"/>
      <w:numFmt w:val="decimal"/>
      <w:lvlText w:val="%1.%2.%3.%4.%5.%6.%7.%8"/>
      <w:lvlJc w:val="left"/>
      <w:pPr>
        <w:ind w:left="5272" w:hanging="1800"/>
      </w:pPr>
    </w:lvl>
    <w:lvl w:ilvl="8">
      <w:start w:val="1"/>
      <w:numFmt w:val="decimal"/>
      <w:lvlText w:val="%1.%2.%3.%4.%5.%6.%7.%8.%9"/>
      <w:lvlJc w:val="left"/>
      <w:pPr>
        <w:ind w:left="6128" w:hanging="2160"/>
      </w:pPr>
    </w:lvl>
  </w:abstractNum>
  <w:abstractNum w:abstractNumId="17">
    <w:lvl w:ilvl="0">
      <w:start w:val="7"/>
      <w:numFmt w:val="decimal"/>
      <w:lvlText w:val="%1"/>
      <w:lvlJc w:val="left"/>
      <w:pPr>
        <w:ind w:left="420" w:hanging="420"/>
      </w:pPr>
    </w:lvl>
    <w:lvl w:ilvl="1">
      <w:start w:val="12"/>
      <w:numFmt w:val="decimal"/>
      <w:lvlText w:val="%1.%2"/>
      <w:lvlJc w:val="left"/>
      <w:pPr>
        <w:ind w:left="988" w:hanging="420"/>
      </w:pPr>
    </w:lvl>
    <w:lvl w:ilvl="2">
      <w:start w:val="1"/>
      <w:numFmt w:val="decimal"/>
      <w:lvlText w:val="%1.%2.%3"/>
      <w:lvlJc w:val="left"/>
      <w:pPr>
        <w:ind w:left="1856" w:hanging="720"/>
      </w:p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704" w:hanging="2160"/>
      </w:pPr>
    </w:lvl>
  </w:abstractNum>
  <w:abstractNum w:abstractNumId="18">
    <w:lvl w:ilvl="0">
      <w:start w:val="1"/>
      <w:numFmt w:val="lowerLetter"/>
      <w:lvlText w:val="%1)"/>
      <w:lvlJc w:val="left"/>
      <w:pPr>
        <w:ind w:left="720" w:hanging="360"/>
      </w:pPr>
    </w:lvl>
    <w:lvl w:ilvl="1">
      <w:start w:val="1"/>
      <w:numFmt w:val="lowerLetter"/>
      <w:lvlText w:val="%2."/>
      <w:lvlJc w:val="left"/>
      <w:pPr>
        <w:ind w:left="1778"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lowerLetter"/>
      <w:lvlText w:val="%1)"/>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08"/>
        </w:tabs>
        <w:ind w:left="720" w:hanging="720"/>
      </w:pPr>
      <w:rPr>
        <w:sz w:val="18"/>
        <w:szCs w:val="18"/>
        <w:rFonts w:eastAsia="Arial" w:cs="Arial"/>
        <w:color w:val="000000"/>
      </w:r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lvl w:ilvl="0">
      <w:start w:val="3"/>
      <w:numFmt w:val="decimal"/>
      <w:lvlText w:val="%1"/>
      <w:lvlJc w:val="left"/>
      <w:pPr>
        <w:ind w:left="360" w:hanging="360"/>
      </w:pPr>
      <w:rPr>
        <w:b/>
        <w:rFonts w:cs="Calibri"/>
      </w:rPr>
    </w:lvl>
    <w:lvl w:ilvl="1">
      <w:start w:val="3"/>
      <w:numFmt w:val="decimal"/>
      <w:lvlText w:val="%1.%2"/>
      <w:lvlJc w:val="left"/>
      <w:pPr>
        <w:ind w:left="360" w:hanging="360"/>
      </w:pPr>
      <w:rPr>
        <w:sz w:val="18"/>
        <w:b/>
        <w:rFonts w:ascii="Verdana" w:hAnsi="Verdana" w:cs="Calibri"/>
      </w:rPr>
    </w:lvl>
    <w:lvl w:ilvl="2">
      <w:start w:val="1"/>
      <w:numFmt w:val="decimal"/>
      <w:lvlText w:val="%1.%2.%3"/>
      <w:lvlJc w:val="left"/>
      <w:pPr>
        <w:ind w:left="720" w:hanging="720"/>
      </w:pPr>
      <w:rPr>
        <w:b/>
        <w:rFonts w:cs="Calibri"/>
      </w:rPr>
    </w:lvl>
    <w:lvl w:ilvl="3">
      <w:start w:val="1"/>
      <w:numFmt w:val="decimal"/>
      <w:lvlText w:val="%1.%2.%3.%4"/>
      <w:lvlJc w:val="left"/>
      <w:pPr>
        <w:ind w:left="720" w:hanging="720"/>
      </w:pPr>
      <w:rPr>
        <w:b/>
        <w:rFonts w:cs="Calibri"/>
      </w:rPr>
    </w:lvl>
    <w:lvl w:ilvl="4">
      <w:start w:val="1"/>
      <w:numFmt w:val="decimal"/>
      <w:lvlText w:val="%1.%2.%3.%4.%5"/>
      <w:lvlJc w:val="left"/>
      <w:pPr>
        <w:ind w:left="1080" w:hanging="1080"/>
      </w:pPr>
      <w:rPr>
        <w:b/>
        <w:rFonts w:cs="Calibri"/>
      </w:rPr>
    </w:lvl>
    <w:lvl w:ilvl="5">
      <w:start w:val="1"/>
      <w:numFmt w:val="decimal"/>
      <w:lvlText w:val="%1.%2.%3.%4.%5.%6"/>
      <w:lvlJc w:val="left"/>
      <w:pPr>
        <w:ind w:left="1080" w:hanging="1080"/>
      </w:pPr>
      <w:rPr>
        <w:b/>
        <w:rFonts w:cs="Calibri"/>
      </w:rPr>
    </w:lvl>
    <w:lvl w:ilvl="6">
      <w:start w:val="1"/>
      <w:numFmt w:val="decimal"/>
      <w:lvlText w:val="%1.%2.%3.%4.%5.%6.%7"/>
      <w:lvlJc w:val="left"/>
      <w:pPr>
        <w:ind w:left="1440" w:hanging="1440"/>
      </w:pPr>
      <w:rPr>
        <w:b/>
        <w:rFonts w:cs="Calibri"/>
      </w:rPr>
    </w:lvl>
    <w:lvl w:ilvl="7">
      <w:start w:val="1"/>
      <w:numFmt w:val="decimal"/>
      <w:lvlText w:val="%1.%2.%3.%4.%5.%6.%7.%8"/>
      <w:lvlJc w:val="left"/>
      <w:pPr>
        <w:ind w:left="1440" w:hanging="1440"/>
      </w:pPr>
      <w:rPr>
        <w:b/>
        <w:rFonts w:cs="Calibri"/>
      </w:rPr>
    </w:lvl>
    <w:lvl w:ilvl="8">
      <w:start w:val="1"/>
      <w:numFmt w:val="decimal"/>
      <w:lvlText w:val="%1.%2.%3.%4.%5.%6.%7.%8.%9"/>
      <w:lvlJc w:val="left"/>
      <w:pPr>
        <w:ind w:left="1800" w:hanging="1800"/>
      </w:pPr>
      <w:rPr>
        <w:b/>
        <w:rFonts w:cs="Calibri"/>
      </w:rPr>
    </w:lvl>
  </w:abstractNum>
  <w:abstractNum w:abstractNumId="22">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lvl w:ilvl="0">
      <w:start w:val="7"/>
      <w:numFmt w:val="decimal"/>
      <w:lvlText w:val="%1"/>
      <w:lvlJc w:val="left"/>
      <w:pPr>
        <w:ind w:left="360" w:hanging="360"/>
      </w:pPr>
      <w:rPr>
        <w:sz w:val="18"/>
        <w:b/>
        <w:rFonts w:ascii="Verdana" w:hAnsi="Verdana" w:cs="Times New Roman"/>
        <w:color w:val="000000"/>
      </w:rPr>
    </w:lvl>
    <w:lvl w:ilvl="1">
      <w:start w:val="1"/>
      <w:numFmt w:val="decimal"/>
      <w:lvlText w:val="%1.%2"/>
      <w:lvlJc w:val="left"/>
      <w:pPr>
        <w:ind w:left="360" w:hanging="360"/>
      </w:pPr>
      <w:rPr>
        <w:sz w:val="18"/>
        <w:b/>
        <w:rFonts w:ascii="Verdana" w:hAnsi="Verdana" w:cs="Times New Roman"/>
        <w:color w:val="000000"/>
      </w:rPr>
    </w:lvl>
    <w:lvl w:ilvl="2">
      <w:start w:val="1"/>
      <w:numFmt w:val="decimal"/>
      <w:lvlText w:val="%1.%2.%3"/>
      <w:lvlJc w:val="left"/>
      <w:pPr>
        <w:ind w:left="720" w:hanging="720"/>
      </w:pPr>
      <w:rPr>
        <w:sz w:val="18"/>
        <w:rFonts w:ascii="Verdana" w:hAnsi="Verdana" w:cs="Times New Roman"/>
        <w:color w:val="000000"/>
      </w:rPr>
    </w:lvl>
    <w:lvl w:ilvl="3">
      <w:start w:val="1"/>
      <w:numFmt w:val="decimal"/>
      <w:lvlText w:val="%1.%2.%3.%4"/>
      <w:lvlJc w:val="left"/>
      <w:pPr>
        <w:ind w:left="1080" w:hanging="1080"/>
      </w:pPr>
      <w:rPr>
        <w:rFonts w:cs="Times New Roman"/>
        <w:color w:val="000000"/>
      </w:rPr>
    </w:lvl>
    <w:lvl w:ilvl="4">
      <w:start w:val="1"/>
      <w:numFmt w:val="decimal"/>
      <w:lvlText w:val="%1.%2.%3.%4.%5"/>
      <w:lvlJc w:val="left"/>
      <w:pPr>
        <w:ind w:left="1080" w:hanging="1080"/>
      </w:pPr>
      <w:rPr>
        <w:rFonts w:cs="Times New Roman"/>
        <w:color w:val="000000"/>
      </w:rPr>
    </w:lvl>
    <w:lvl w:ilvl="5">
      <w:start w:val="1"/>
      <w:numFmt w:val="decimal"/>
      <w:lvlText w:val="%1.%2.%3.%4.%5.%6"/>
      <w:lvlJc w:val="left"/>
      <w:pPr>
        <w:ind w:left="1440" w:hanging="1440"/>
      </w:pPr>
      <w:rPr>
        <w:rFonts w:cs="Times New Roman"/>
        <w:color w:val="000000"/>
      </w:rPr>
    </w:lvl>
    <w:lvl w:ilvl="6">
      <w:start w:val="1"/>
      <w:numFmt w:val="decimal"/>
      <w:lvlText w:val="%1.%2.%3.%4.%5.%6.%7"/>
      <w:lvlJc w:val="left"/>
      <w:pPr>
        <w:ind w:left="1440" w:hanging="1440"/>
      </w:pPr>
      <w:rPr>
        <w:rFonts w:cs="Times New Roman"/>
        <w:color w:val="000000"/>
      </w:rPr>
    </w:lvl>
    <w:lvl w:ilvl="7">
      <w:start w:val="1"/>
      <w:numFmt w:val="decimal"/>
      <w:lvlText w:val="%1.%2.%3.%4.%5.%6.%7.%8"/>
      <w:lvlJc w:val="left"/>
      <w:pPr>
        <w:ind w:left="1800" w:hanging="1800"/>
      </w:pPr>
      <w:rPr>
        <w:rFonts w:cs="Times New Roman"/>
        <w:color w:val="000000"/>
      </w:rPr>
    </w:lvl>
    <w:lvl w:ilvl="8">
      <w:start w:val="1"/>
      <w:numFmt w:val="decimal"/>
      <w:lvlText w:val="%1.%2.%3.%4.%5.%6.%7.%8.%9"/>
      <w:lvlJc w:val="left"/>
      <w:pPr>
        <w:ind w:left="2160" w:hanging="2160"/>
      </w:pPr>
      <w:rPr>
        <w:rFonts w:cs="Times New Roman"/>
        <w:color w:val="000000"/>
      </w:rPr>
    </w:lvl>
  </w:abstractNum>
  <w:abstractNum w:abstractNumId="24">
    <w:lvl w:ilvl="0">
      <w:start w:val="1"/>
      <w:numFmt w:val="decimal"/>
      <w:lvlText w:val="%1"/>
      <w:lvlJc w:val="left"/>
      <w:pPr>
        <w:ind w:left="360" w:hanging="360"/>
      </w:pPr>
      <w:rPr>
        <w:sz w:val="22"/>
      </w:rPr>
    </w:lvl>
    <w:lvl w:ilvl="1">
      <w:start w:val="1"/>
      <w:numFmt w:val="decimal"/>
      <w:lvlText w:val="%1.%2"/>
      <w:lvlJc w:val="left"/>
      <w:pPr>
        <w:ind w:left="360" w:hanging="360"/>
      </w:pPr>
      <w:rPr>
        <w:sz w:val="22"/>
        <w:b/>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2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94"/>
  <w:displayBackgroundShape/>
  <w:embedSystemFonts/>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semiHidden="0" w:unhideWhenUsed="0" w:qFormat="1"/>
    <w:lsdException w:name="heading 8" w:uiPriority="9"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semiHidden="0" w:unhideWhenUsed="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4d75"/>
    <w:pPr>
      <w:widowControl/>
      <w:suppressAutoHyphens w:val="true"/>
      <w:bidi w:val="0"/>
      <w:jc w:val="left"/>
    </w:pPr>
    <w:rPr>
      <w:rFonts w:ascii="Times New Roman" w:hAnsi="Times New Roman" w:eastAsia="Times New Roman" w:cs="Times New Roman"/>
      <w:color w:val="auto"/>
      <w:kern w:val="0"/>
      <w:sz w:val="24"/>
      <w:szCs w:val="24"/>
      <w:lang w:eastAsia="zh-CN" w:val="pt-BR" w:bidi="ar-SA"/>
    </w:rPr>
  </w:style>
  <w:style w:type="paragraph" w:styleId="Ttulo1">
    <w:name w:val="Heading 1"/>
    <w:basedOn w:val="Normal"/>
    <w:next w:val="Normal"/>
    <w:qFormat/>
    <w:rsid w:val="00454d75"/>
    <w:pPr>
      <w:keepNext w:val="true"/>
      <w:tabs>
        <w:tab w:val="left" w:pos="0" w:leader="none"/>
      </w:tabs>
      <w:spacing w:before="240" w:after="60"/>
      <w:ind w:left="432" w:hanging="432"/>
      <w:outlineLvl w:val="0"/>
    </w:pPr>
    <w:rPr>
      <w:rFonts w:ascii="Arial" w:hAnsi="Arial" w:cs="Arial"/>
      <w:b/>
      <w:bCs/>
      <w:kern w:val="2"/>
      <w:sz w:val="32"/>
      <w:szCs w:val="32"/>
    </w:rPr>
  </w:style>
  <w:style w:type="paragraph" w:styleId="Ttulo2">
    <w:name w:val="Heading 2"/>
    <w:basedOn w:val="Normal"/>
    <w:next w:val="Normal"/>
    <w:qFormat/>
    <w:rsid w:val="00454d75"/>
    <w:pPr>
      <w:keepNext w:val="true"/>
      <w:tabs>
        <w:tab w:val="left" w:pos="0" w:leader="none"/>
      </w:tabs>
      <w:spacing w:before="240" w:after="60"/>
      <w:ind w:left="576" w:hanging="576"/>
      <w:outlineLvl w:val="1"/>
    </w:pPr>
    <w:rPr>
      <w:rFonts w:ascii="Arial" w:hAnsi="Arial" w:cs="Arial"/>
      <w:b/>
      <w:bCs/>
      <w:i/>
      <w:iCs/>
      <w:sz w:val="28"/>
      <w:szCs w:val="28"/>
    </w:rPr>
  </w:style>
  <w:style w:type="paragraph" w:styleId="Ttulo7">
    <w:name w:val="Heading 7"/>
    <w:basedOn w:val="Normal"/>
    <w:next w:val="Normal"/>
    <w:qFormat/>
    <w:rsid w:val="00454d75"/>
    <w:pPr>
      <w:keepNext w:val="true"/>
      <w:keepLines/>
      <w:tabs>
        <w:tab w:val="left" w:pos="0" w:leader="none"/>
      </w:tabs>
      <w:spacing w:before="120" w:after="0"/>
      <w:ind w:left="1296" w:hanging="1296"/>
      <w:jc w:val="center"/>
      <w:outlineLvl w:val="6"/>
    </w:pPr>
    <w:rPr>
      <w:rFonts w:ascii="Arial" w:hAnsi="Arial" w:cs="Arial"/>
      <w:b/>
      <w:sz w:val="22"/>
    </w:rPr>
  </w:style>
  <w:style w:type="paragraph" w:styleId="Ttulo8">
    <w:name w:val="Heading 8"/>
    <w:basedOn w:val="Normal"/>
    <w:next w:val="Normal"/>
    <w:qFormat/>
    <w:rsid w:val="00454d75"/>
    <w:pPr>
      <w:keepNext w:val="true"/>
      <w:tabs>
        <w:tab w:val="left" w:pos="0" w:leader="none"/>
      </w:tabs>
      <w:spacing w:before="120" w:after="120"/>
      <w:ind w:left="1440" w:hanging="1440"/>
      <w:jc w:val="center"/>
      <w:outlineLvl w:val="7"/>
    </w:pPr>
    <w:rPr>
      <w:b/>
      <w:szCs w:val="20"/>
      <w:lang w:val="pt-PT"/>
    </w:rPr>
  </w:style>
  <w:style w:type="character" w:styleId="DefaultParagraphFont" w:default="1">
    <w:name w:val="Default Paragraph Font"/>
    <w:uiPriority w:val="1"/>
    <w:semiHidden/>
    <w:unhideWhenUsed/>
    <w:qFormat/>
    <w:rPr/>
  </w:style>
  <w:style w:type="character" w:styleId="WW8Num1z0" w:customStyle="1">
    <w:name w:val="WW8Num1z0"/>
    <w:qFormat/>
    <w:rsid w:val="00454d75"/>
    <w:rPr/>
  </w:style>
  <w:style w:type="character" w:styleId="WW8Num1z1" w:customStyle="1">
    <w:name w:val="WW8Num1z1"/>
    <w:qFormat/>
    <w:rsid w:val="00454d75"/>
    <w:rPr/>
  </w:style>
  <w:style w:type="character" w:styleId="WW8Num1z2" w:customStyle="1">
    <w:name w:val="WW8Num1z2"/>
    <w:qFormat/>
    <w:rsid w:val="00454d75"/>
    <w:rPr/>
  </w:style>
  <w:style w:type="character" w:styleId="WW8Num1z3" w:customStyle="1">
    <w:name w:val="WW8Num1z3"/>
    <w:qFormat/>
    <w:rsid w:val="00454d75"/>
    <w:rPr/>
  </w:style>
  <w:style w:type="character" w:styleId="WW8Num1z4" w:customStyle="1">
    <w:name w:val="WW8Num1z4"/>
    <w:qFormat/>
    <w:rsid w:val="00454d75"/>
    <w:rPr/>
  </w:style>
  <w:style w:type="character" w:styleId="WW8Num1z5" w:customStyle="1">
    <w:name w:val="WW8Num1z5"/>
    <w:qFormat/>
    <w:rsid w:val="00454d75"/>
    <w:rPr/>
  </w:style>
  <w:style w:type="character" w:styleId="WW8Num1z6" w:customStyle="1">
    <w:name w:val="WW8Num1z6"/>
    <w:qFormat/>
    <w:rsid w:val="00454d75"/>
    <w:rPr/>
  </w:style>
  <w:style w:type="character" w:styleId="WW8Num1z7" w:customStyle="1">
    <w:name w:val="WW8Num1z7"/>
    <w:qFormat/>
    <w:rsid w:val="00454d75"/>
    <w:rPr/>
  </w:style>
  <w:style w:type="character" w:styleId="WW8Num1z8" w:customStyle="1">
    <w:name w:val="WW8Num1z8"/>
    <w:qFormat/>
    <w:rsid w:val="00454d75"/>
    <w:rPr/>
  </w:style>
  <w:style w:type="character" w:styleId="WW8Num2z0" w:customStyle="1">
    <w:name w:val="WW8Num2z0"/>
    <w:qFormat/>
    <w:rsid w:val="00454d75"/>
    <w:rPr>
      <w:rFonts w:ascii="Wingdings" w:hAnsi="Wingdings" w:cs="Wingdings"/>
    </w:rPr>
  </w:style>
  <w:style w:type="character" w:styleId="WW8Num3z0" w:customStyle="1">
    <w:name w:val="WW8Num3z0"/>
    <w:qFormat/>
    <w:rsid w:val="00454d75"/>
    <w:rPr/>
  </w:style>
  <w:style w:type="character" w:styleId="WW8Num4z0" w:customStyle="1">
    <w:name w:val="WW8Num4z0"/>
    <w:qFormat/>
    <w:rsid w:val="00454d75"/>
    <w:rPr>
      <w:color w:val="00000A"/>
    </w:rPr>
  </w:style>
  <w:style w:type="character" w:styleId="WW8Num5z0" w:customStyle="1">
    <w:name w:val="WW8Num5z0"/>
    <w:qFormat/>
    <w:rsid w:val="00454d75"/>
    <w:rPr>
      <w:rFonts w:ascii="Verdana" w:hAnsi="Verdana" w:cs="Arial"/>
      <w:b/>
      <w:sz w:val="18"/>
      <w:szCs w:val="18"/>
    </w:rPr>
  </w:style>
  <w:style w:type="character" w:styleId="WW8Num5z1" w:customStyle="1">
    <w:name w:val="WW8Num5z1"/>
    <w:qFormat/>
    <w:rsid w:val="00454d75"/>
    <w:rPr>
      <w:rFonts w:ascii="Arial" w:hAnsi="Arial" w:cs="Arial"/>
      <w:b w:val="false"/>
      <w:bCs/>
      <w:i w:val="false"/>
      <w:iCs/>
      <w:sz w:val="20"/>
      <w:szCs w:val="20"/>
      <w:lang w:eastAsia="pt-BR"/>
    </w:rPr>
  </w:style>
  <w:style w:type="character" w:styleId="WW8Num5z2" w:customStyle="1">
    <w:name w:val="WW8Num5z2"/>
    <w:qFormat/>
    <w:rsid w:val="00454d75"/>
    <w:rPr>
      <w:rFonts w:ascii="Verdana" w:hAnsi="Verdana" w:cs="Arial"/>
      <w:b w:val="false"/>
      <w:sz w:val="18"/>
      <w:szCs w:val="18"/>
    </w:rPr>
  </w:style>
  <w:style w:type="character" w:styleId="WW8Num5z4" w:customStyle="1">
    <w:name w:val="WW8Num5z4"/>
    <w:qFormat/>
    <w:rsid w:val="00454d75"/>
    <w:rPr/>
  </w:style>
  <w:style w:type="character" w:styleId="WW8Num5z5" w:customStyle="1">
    <w:name w:val="WW8Num5z5"/>
    <w:qFormat/>
    <w:rsid w:val="00454d75"/>
    <w:rPr/>
  </w:style>
  <w:style w:type="character" w:styleId="WW8Num5z6" w:customStyle="1">
    <w:name w:val="WW8Num5z6"/>
    <w:qFormat/>
    <w:rsid w:val="00454d75"/>
    <w:rPr/>
  </w:style>
  <w:style w:type="character" w:styleId="WW8Num5z7" w:customStyle="1">
    <w:name w:val="WW8Num5z7"/>
    <w:qFormat/>
    <w:rsid w:val="00454d75"/>
    <w:rPr/>
  </w:style>
  <w:style w:type="character" w:styleId="WW8Num5z8" w:customStyle="1">
    <w:name w:val="WW8Num5z8"/>
    <w:qFormat/>
    <w:rsid w:val="00454d75"/>
    <w:rPr/>
  </w:style>
  <w:style w:type="character" w:styleId="WW8Num6z0" w:customStyle="1">
    <w:name w:val="WW8Num6z0"/>
    <w:qFormat/>
    <w:rsid w:val="00454d75"/>
    <w:rPr>
      <w:rFonts w:ascii="Symbol" w:hAnsi="Symbol" w:cs="Symbol"/>
    </w:rPr>
  </w:style>
  <w:style w:type="character" w:styleId="WW8Num7z0" w:customStyle="1">
    <w:name w:val="WW8Num7z0"/>
    <w:qFormat/>
    <w:rsid w:val="00454d75"/>
    <w:rPr/>
  </w:style>
  <w:style w:type="character" w:styleId="WW8Num7z1" w:customStyle="1">
    <w:name w:val="WW8Num7z1"/>
    <w:qFormat/>
    <w:rsid w:val="00454d75"/>
    <w:rPr>
      <w:rFonts w:ascii="Verdana" w:hAnsi="Verdana" w:cs="Arial"/>
      <w:sz w:val="18"/>
      <w:szCs w:val="18"/>
    </w:rPr>
  </w:style>
  <w:style w:type="character" w:styleId="WW8Num7z2" w:customStyle="1">
    <w:name w:val="WW8Num7z2"/>
    <w:qFormat/>
    <w:rsid w:val="00454d75"/>
    <w:rPr/>
  </w:style>
  <w:style w:type="character" w:styleId="WW8Num7z3" w:customStyle="1">
    <w:name w:val="WW8Num7z3"/>
    <w:qFormat/>
    <w:rsid w:val="00454d75"/>
    <w:rPr/>
  </w:style>
  <w:style w:type="character" w:styleId="WW8Num7z4" w:customStyle="1">
    <w:name w:val="WW8Num7z4"/>
    <w:qFormat/>
    <w:rsid w:val="00454d75"/>
    <w:rPr/>
  </w:style>
  <w:style w:type="character" w:styleId="WW8Num7z5" w:customStyle="1">
    <w:name w:val="WW8Num7z5"/>
    <w:qFormat/>
    <w:rsid w:val="00454d75"/>
    <w:rPr/>
  </w:style>
  <w:style w:type="character" w:styleId="WW8Num7z6" w:customStyle="1">
    <w:name w:val="WW8Num7z6"/>
    <w:qFormat/>
    <w:rsid w:val="00454d75"/>
    <w:rPr/>
  </w:style>
  <w:style w:type="character" w:styleId="WW8Num7z7" w:customStyle="1">
    <w:name w:val="WW8Num7z7"/>
    <w:qFormat/>
    <w:rsid w:val="00454d75"/>
    <w:rPr/>
  </w:style>
  <w:style w:type="character" w:styleId="WW8Num7z8" w:customStyle="1">
    <w:name w:val="WW8Num7z8"/>
    <w:qFormat/>
    <w:rsid w:val="00454d75"/>
    <w:rPr/>
  </w:style>
  <w:style w:type="character" w:styleId="WW8Num8z0" w:customStyle="1">
    <w:name w:val="WW8Num8z0"/>
    <w:qFormat/>
    <w:rsid w:val="00454d75"/>
    <w:rPr>
      <w:rFonts w:cs="Arial"/>
      <w:b/>
    </w:rPr>
  </w:style>
  <w:style w:type="character" w:styleId="WW8Num9z0" w:customStyle="1">
    <w:name w:val="WW8Num9z0"/>
    <w:qFormat/>
    <w:rsid w:val="00454d75"/>
    <w:rPr/>
  </w:style>
  <w:style w:type="character" w:styleId="WW8Num9z1" w:customStyle="1">
    <w:name w:val="WW8Num9z1"/>
    <w:qFormat/>
    <w:rsid w:val="00454d75"/>
    <w:rPr/>
  </w:style>
  <w:style w:type="character" w:styleId="WW8Num9z2" w:customStyle="1">
    <w:name w:val="WW8Num9z2"/>
    <w:qFormat/>
    <w:rsid w:val="00454d75"/>
    <w:rPr/>
  </w:style>
  <w:style w:type="character" w:styleId="WW8Num9z3" w:customStyle="1">
    <w:name w:val="WW8Num9z3"/>
    <w:qFormat/>
    <w:rsid w:val="00454d75"/>
    <w:rPr/>
  </w:style>
  <w:style w:type="character" w:styleId="WW8Num9z4" w:customStyle="1">
    <w:name w:val="WW8Num9z4"/>
    <w:qFormat/>
    <w:rsid w:val="00454d75"/>
    <w:rPr/>
  </w:style>
  <w:style w:type="character" w:styleId="WW8Num9z5" w:customStyle="1">
    <w:name w:val="WW8Num9z5"/>
    <w:qFormat/>
    <w:rsid w:val="00454d75"/>
    <w:rPr/>
  </w:style>
  <w:style w:type="character" w:styleId="WW8Num9z6" w:customStyle="1">
    <w:name w:val="WW8Num9z6"/>
    <w:qFormat/>
    <w:rsid w:val="00454d75"/>
    <w:rPr/>
  </w:style>
  <w:style w:type="character" w:styleId="WW8Num9z7" w:customStyle="1">
    <w:name w:val="WW8Num9z7"/>
    <w:qFormat/>
    <w:rsid w:val="00454d75"/>
    <w:rPr/>
  </w:style>
  <w:style w:type="character" w:styleId="WW8Num9z8" w:customStyle="1">
    <w:name w:val="WW8Num9z8"/>
    <w:qFormat/>
    <w:rsid w:val="00454d75"/>
    <w:rPr/>
  </w:style>
  <w:style w:type="character" w:styleId="WW8Num10z0" w:customStyle="1">
    <w:name w:val="WW8Num10z0"/>
    <w:qFormat/>
    <w:rsid w:val="00454d75"/>
    <w:rPr/>
  </w:style>
  <w:style w:type="character" w:styleId="WW8Num10z1" w:customStyle="1">
    <w:name w:val="WW8Num10z1"/>
    <w:qFormat/>
    <w:rsid w:val="00454d75"/>
    <w:rPr>
      <w:rFonts w:ascii="Verdana" w:hAnsi="Verdana" w:cs="Arial"/>
      <w:b w:val="false"/>
      <w:sz w:val="18"/>
      <w:szCs w:val="18"/>
    </w:rPr>
  </w:style>
  <w:style w:type="character" w:styleId="WW8Num10z2" w:customStyle="1">
    <w:name w:val="WW8Num10z2"/>
    <w:qFormat/>
    <w:rsid w:val="00454d75"/>
    <w:rPr/>
  </w:style>
  <w:style w:type="character" w:styleId="WW8Num10z3" w:customStyle="1">
    <w:name w:val="WW8Num10z3"/>
    <w:qFormat/>
    <w:rsid w:val="00454d75"/>
    <w:rPr/>
  </w:style>
  <w:style w:type="character" w:styleId="WW8Num10z4" w:customStyle="1">
    <w:name w:val="WW8Num10z4"/>
    <w:qFormat/>
    <w:rsid w:val="00454d75"/>
    <w:rPr/>
  </w:style>
  <w:style w:type="character" w:styleId="WW8Num10z5" w:customStyle="1">
    <w:name w:val="WW8Num10z5"/>
    <w:qFormat/>
    <w:rsid w:val="00454d75"/>
    <w:rPr/>
  </w:style>
  <w:style w:type="character" w:styleId="WW8Num10z6" w:customStyle="1">
    <w:name w:val="WW8Num10z6"/>
    <w:qFormat/>
    <w:rsid w:val="00454d75"/>
    <w:rPr/>
  </w:style>
  <w:style w:type="character" w:styleId="WW8Num10z7" w:customStyle="1">
    <w:name w:val="WW8Num10z7"/>
    <w:qFormat/>
    <w:rsid w:val="00454d75"/>
    <w:rPr/>
  </w:style>
  <w:style w:type="character" w:styleId="WW8Num10z8" w:customStyle="1">
    <w:name w:val="WW8Num10z8"/>
    <w:qFormat/>
    <w:rsid w:val="00454d75"/>
    <w:rPr/>
  </w:style>
  <w:style w:type="character" w:styleId="WW8Num11z0" w:customStyle="1">
    <w:name w:val="WW8Num11z0"/>
    <w:qFormat/>
    <w:rsid w:val="00454d75"/>
    <w:rPr/>
  </w:style>
  <w:style w:type="character" w:styleId="WW8Num11z1" w:customStyle="1">
    <w:name w:val="WW8Num11z1"/>
    <w:qFormat/>
    <w:rsid w:val="00454d75"/>
    <w:rPr/>
  </w:style>
  <w:style w:type="character" w:styleId="WW8Num11z2" w:customStyle="1">
    <w:name w:val="WW8Num11z2"/>
    <w:qFormat/>
    <w:rsid w:val="00454d75"/>
    <w:rPr>
      <w:rFonts w:ascii="Verdana" w:hAnsi="Verdana" w:eastAsia="Arial" w:cs="Arial"/>
      <w:color w:val="000000"/>
      <w:sz w:val="18"/>
      <w:szCs w:val="18"/>
    </w:rPr>
  </w:style>
  <w:style w:type="character" w:styleId="WW8Num11z3" w:customStyle="1">
    <w:name w:val="WW8Num11z3"/>
    <w:qFormat/>
    <w:rsid w:val="00454d75"/>
    <w:rPr/>
  </w:style>
  <w:style w:type="character" w:styleId="WW8Num11z4" w:customStyle="1">
    <w:name w:val="WW8Num11z4"/>
    <w:qFormat/>
    <w:rsid w:val="00454d75"/>
    <w:rPr/>
  </w:style>
  <w:style w:type="character" w:styleId="WW8Num11z5" w:customStyle="1">
    <w:name w:val="WW8Num11z5"/>
    <w:qFormat/>
    <w:rsid w:val="00454d75"/>
    <w:rPr/>
  </w:style>
  <w:style w:type="character" w:styleId="WW8Num11z6" w:customStyle="1">
    <w:name w:val="WW8Num11z6"/>
    <w:qFormat/>
    <w:rsid w:val="00454d75"/>
    <w:rPr/>
  </w:style>
  <w:style w:type="character" w:styleId="WW8Num11z7" w:customStyle="1">
    <w:name w:val="WW8Num11z7"/>
    <w:qFormat/>
    <w:rsid w:val="00454d75"/>
    <w:rPr/>
  </w:style>
  <w:style w:type="character" w:styleId="WW8Num11z8" w:customStyle="1">
    <w:name w:val="WW8Num11z8"/>
    <w:qFormat/>
    <w:rsid w:val="00454d75"/>
    <w:rPr/>
  </w:style>
  <w:style w:type="character" w:styleId="WW8Num12z0" w:customStyle="1">
    <w:name w:val="WW8Num12z0"/>
    <w:qFormat/>
    <w:rsid w:val="00454d75"/>
    <w:rPr/>
  </w:style>
  <w:style w:type="character" w:styleId="WW8Num12z1" w:customStyle="1">
    <w:name w:val="WW8Num12z1"/>
    <w:qFormat/>
    <w:rsid w:val="00454d75"/>
    <w:rPr/>
  </w:style>
  <w:style w:type="character" w:styleId="WW8Num12z2" w:customStyle="1">
    <w:name w:val="WW8Num12z2"/>
    <w:qFormat/>
    <w:rsid w:val="00454d75"/>
    <w:rPr>
      <w:rFonts w:ascii="Verdana" w:hAnsi="Verdana" w:cs="Arial"/>
      <w:sz w:val="18"/>
      <w:szCs w:val="18"/>
    </w:rPr>
  </w:style>
  <w:style w:type="character" w:styleId="WW8Num12z3" w:customStyle="1">
    <w:name w:val="WW8Num12z3"/>
    <w:qFormat/>
    <w:rsid w:val="00454d75"/>
    <w:rPr/>
  </w:style>
  <w:style w:type="character" w:styleId="WW8Num12z4" w:customStyle="1">
    <w:name w:val="WW8Num12z4"/>
    <w:qFormat/>
    <w:rsid w:val="00454d75"/>
    <w:rPr/>
  </w:style>
  <w:style w:type="character" w:styleId="WW8Num12z5" w:customStyle="1">
    <w:name w:val="WW8Num12z5"/>
    <w:qFormat/>
    <w:rsid w:val="00454d75"/>
    <w:rPr/>
  </w:style>
  <w:style w:type="character" w:styleId="WW8Num12z6" w:customStyle="1">
    <w:name w:val="WW8Num12z6"/>
    <w:qFormat/>
    <w:rsid w:val="00454d75"/>
    <w:rPr/>
  </w:style>
  <w:style w:type="character" w:styleId="WW8Num12z7" w:customStyle="1">
    <w:name w:val="WW8Num12z7"/>
    <w:qFormat/>
    <w:rsid w:val="00454d75"/>
    <w:rPr/>
  </w:style>
  <w:style w:type="character" w:styleId="WW8Num12z8" w:customStyle="1">
    <w:name w:val="WW8Num12z8"/>
    <w:qFormat/>
    <w:rsid w:val="00454d75"/>
    <w:rPr/>
  </w:style>
  <w:style w:type="character" w:styleId="WW8Num13z0" w:customStyle="1">
    <w:name w:val="WW8Num13z0"/>
    <w:qFormat/>
    <w:rsid w:val="00454d75"/>
    <w:rPr/>
  </w:style>
  <w:style w:type="character" w:styleId="WW8Num13z1" w:customStyle="1">
    <w:name w:val="WW8Num13z1"/>
    <w:qFormat/>
    <w:rsid w:val="00454d75"/>
    <w:rPr>
      <w:rFonts w:ascii="Verdana" w:hAnsi="Verdana" w:cs="Arial"/>
      <w:sz w:val="18"/>
      <w:szCs w:val="18"/>
      <w:lang w:eastAsia="pt-BR"/>
    </w:rPr>
  </w:style>
  <w:style w:type="character" w:styleId="WW8Num13z2" w:customStyle="1">
    <w:name w:val="WW8Num13z2"/>
    <w:qFormat/>
    <w:rsid w:val="00454d75"/>
    <w:rPr/>
  </w:style>
  <w:style w:type="character" w:styleId="WW8Num13z3" w:customStyle="1">
    <w:name w:val="WW8Num13z3"/>
    <w:qFormat/>
    <w:rsid w:val="00454d75"/>
    <w:rPr/>
  </w:style>
  <w:style w:type="character" w:styleId="WW8Num13z4" w:customStyle="1">
    <w:name w:val="WW8Num13z4"/>
    <w:qFormat/>
    <w:rsid w:val="00454d75"/>
    <w:rPr/>
  </w:style>
  <w:style w:type="character" w:styleId="WW8Num13z5" w:customStyle="1">
    <w:name w:val="WW8Num13z5"/>
    <w:qFormat/>
    <w:rsid w:val="00454d75"/>
    <w:rPr/>
  </w:style>
  <w:style w:type="character" w:styleId="WW8Num13z6" w:customStyle="1">
    <w:name w:val="WW8Num13z6"/>
    <w:qFormat/>
    <w:rsid w:val="00454d75"/>
    <w:rPr/>
  </w:style>
  <w:style w:type="character" w:styleId="WW8Num13z7" w:customStyle="1">
    <w:name w:val="WW8Num13z7"/>
    <w:qFormat/>
    <w:rsid w:val="00454d75"/>
    <w:rPr/>
  </w:style>
  <w:style w:type="character" w:styleId="WW8Num13z8" w:customStyle="1">
    <w:name w:val="WW8Num13z8"/>
    <w:qFormat/>
    <w:rsid w:val="00454d75"/>
    <w:rPr/>
  </w:style>
  <w:style w:type="character" w:styleId="WW8Num14z0" w:customStyle="1">
    <w:name w:val="WW8Num14z0"/>
    <w:qFormat/>
    <w:rsid w:val="00454d75"/>
    <w:rPr>
      <w:b/>
    </w:rPr>
  </w:style>
  <w:style w:type="character" w:styleId="WW8Num14z1" w:customStyle="1">
    <w:name w:val="WW8Num14z1"/>
    <w:qFormat/>
    <w:rsid w:val="00454d75"/>
    <w:rPr/>
  </w:style>
  <w:style w:type="character" w:styleId="WW8Num14z2" w:customStyle="1">
    <w:name w:val="WW8Num14z2"/>
    <w:qFormat/>
    <w:rsid w:val="00454d75"/>
    <w:rPr/>
  </w:style>
  <w:style w:type="character" w:styleId="WW8Num14z3" w:customStyle="1">
    <w:name w:val="WW8Num14z3"/>
    <w:qFormat/>
    <w:rsid w:val="00454d75"/>
    <w:rPr/>
  </w:style>
  <w:style w:type="character" w:styleId="WW8Num14z4" w:customStyle="1">
    <w:name w:val="WW8Num14z4"/>
    <w:qFormat/>
    <w:rsid w:val="00454d75"/>
    <w:rPr/>
  </w:style>
  <w:style w:type="character" w:styleId="WW8Num14z5" w:customStyle="1">
    <w:name w:val="WW8Num14z5"/>
    <w:qFormat/>
    <w:rsid w:val="00454d75"/>
    <w:rPr/>
  </w:style>
  <w:style w:type="character" w:styleId="WW8Num14z6" w:customStyle="1">
    <w:name w:val="WW8Num14z6"/>
    <w:qFormat/>
    <w:rsid w:val="00454d75"/>
    <w:rPr/>
  </w:style>
  <w:style w:type="character" w:styleId="WW8Num14z7" w:customStyle="1">
    <w:name w:val="WW8Num14z7"/>
    <w:qFormat/>
    <w:rsid w:val="00454d75"/>
    <w:rPr/>
  </w:style>
  <w:style w:type="character" w:styleId="WW8Num14z8" w:customStyle="1">
    <w:name w:val="WW8Num14z8"/>
    <w:qFormat/>
    <w:rsid w:val="00454d75"/>
    <w:rPr/>
  </w:style>
  <w:style w:type="character" w:styleId="WW8Num15z0" w:customStyle="1">
    <w:name w:val="WW8Num15z0"/>
    <w:qFormat/>
    <w:rsid w:val="00454d75"/>
    <w:rPr>
      <w:rFonts w:ascii="Symbol" w:hAnsi="Symbol" w:cs="Symbol"/>
    </w:rPr>
  </w:style>
  <w:style w:type="character" w:styleId="WW8Num15z1" w:customStyle="1">
    <w:name w:val="WW8Num15z1"/>
    <w:qFormat/>
    <w:rsid w:val="00454d75"/>
    <w:rPr>
      <w:rFonts w:ascii="Courier New" w:hAnsi="Courier New" w:cs="Courier New"/>
    </w:rPr>
  </w:style>
  <w:style w:type="character" w:styleId="WW8Num15z2" w:customStyle="1">
    <w:name w:val="WW8Num15z2"/>
    <w:qFormat/>
    <w:rsid w:val="00454d75"/>
    <w:rPr>
      <w:rFonts w:ascii="Wingdings" w:hAnsi="Wingdings" w:cs="Wingdings"/>
    </w:rPr>
  </w:style>
  <w:style w:type="character" w:styleId="WW8Num16z0" w:customStyle="1">
    <w:name w:val="WW8Num16z0"/>
    <w:qFormat/>
    <w:rsid w:val="00454d75"/>
    <w:rPr/>
  </w:style>
  <w:style w:type="character" w:styleId="WW8Num16z1" w:customStyle="1">
    <w:name w:val="WW8Num16z1"/>
    <w:qFormat/>
    <w:rsid w:val="00454d75"/>
    <w:rPr/>
  </w:style>
  <w:style w:type="character" w:styleId="WW8Num16z2" w:customStyle="1">
    <w:name w:val="WW8Num16z2"/>
    <w:qFormat/>
    <w:rsid w:val="00454d75"/>
    <w:rPr/>
  </w:style>
  <w:style w:type="character" w:styleId="WW8Num16z3" w:customStyle="1">
    <w:name w:val="WW8Num16z3"/>
    <w:qFormat/>
    <w:rsid w:val="00454d75"/>
    <w:rPr/>
  </w:style>
  <w:style w:type="character" w:styleId="WW8Num16z4" w:customStyle="1">
    <w:name w:val="WW8Num16z4"/>
    <w:qFormat/>
    <w:rsid w:val="00454d75"/>
    <w:rPr/>
  </w:style>
  <w:style w:type="character" w:styleId="WW8Num16z5" w:customStyle="1">
    <w:name w:val="WW8Num16z5"/>
    <w:qFormat/>
    <w:rsid w:val="00454d75"/>
    <w:rPr/>
  </w:style>
  <w:style w:type="character" w:styleId="WW8Num16z6" w:customStyle="1">
    <w:name w:val="WW8Num16z6"/>
    <w:qFormat/>
    <w:rsid w:val="00454d75"/>
    <w:rPr/>
  </w:style>
  <w:style w:type="character" w:styleId="WW8Num16z7" w:customStyle="1">
    <w:name w:val="WW8Num16z7"/>
    <w:qFormat/>
    <w:rsid w:val="00454d75"/>
    <w:rPr/>
  </w:style>
  <w:style w:type="character" w:styleId="WW8Num16z8" w:customStyle="1">
    <w:name w:val="WW8Num16z8"/>
    <w:qFormat/>
    <w:rsid w:val="00454d75"/>
    <w:rPr/>
  </w:style>
  <w:style w:type="character" w:styleId="WW8Num17z0" w:customStyle="1">
    <w:name w:val="WW8Num17z0"/>
    <w:qFormat/>
    <w:rsid w:val="00454d75"/>
    <w:rPr/>
  </w:style>
  <w:style w:type="character" w:styleId="WW8Num17z1" w:customStyle="1">
    <w:name w:val="WW8Num17z1"/>
    <w:qFormat/>
    <w:rsid w:val="00454d75"/>
    <w:rPr/>
  </w:style>
  <w:style w:type="character" w:styleId="WW8Num17z2" w:customStyle="1">
    <w:name w:val="WW8Num17z2"/>
    <w:qFormat/>
    <w:rsid w:val="00454d75"/>
    <w:rPr>
      <w:rFonts w:ascii="Verdana" w:hAnsi="Verdana" w:cs="Arial"/>
      <w:color w:val="000000"/>
      <w:sz w:val="18"/>
      <w:szCs w:val="18"/>
    </w:rPr>
  </w:style>
  <w:style w:type="character" w:styleId="WW8Num17z3" w:customStyle="1">
    <w:name w:val="WW8Num17z3"/>
    <w:qFormat/>
    <w:rsid w:val="00454d75"/>
    <w:rPr/>
  </w:style>
  <w:style w:type="character" w:styleId="WW8Num17z4" w:customStyle="1">
    <w:name w:val="WW8Num17z4"/>
    <w:qFormat/>
    <w:rsid w:val="00454d75"/>
    <w:rPr/>
  </w:style>
  <w:style w:type="character" w:styleId="WW8Num17z5" w:customStyle="1">
    <w:name w:val="WW8Num17z5"/>
    <w:qFormat/>
    <w:rsid w:val="00454d75"/>
    <w:rPr/>
  </w:style>
  <w:style w:type="character" w:styleId="WW8Num17z6" w:customStyle="1">
    <w:name w:val="WW8Num17z6"/>
    <w:qFormat/>
    <w:rsid w:val="00454d75"/>
    <w:rPr/>
  </w:style>
  <w:style w:type="character" w:styleId="WW8Num17z7" w:customStyle="1">
    <w:name w:val="WW8Num17z7"/>
    <w:qFormat/>
    <w:rsid w:val="00454d75"/>
    <w:rPr/>
  </w:style>
  <w:style w:type="character" w:styleId="WW8Num17z8" w:customStyle="1">
    <w:name w:val="WW8Num17z8"/>
    <w:qFormat/>
    <w:rsid w:val="00454d75"/>
    <w:rPr/>
  </w:style>
  <w:style w:type="character" w:styleId="WW8Num18z0" w:customStyle="1">
    <w:name w:val="WW8Num18z0"/>
    <w:qFormat/>
    <w:rsid w:val="00454d75"/>
    <w:rPr/>
  </w:style>
  <w:style w:type="character" w:styleId="WW8Num18z1" w:customStyle="1">
    <w:name w:val="WW8Num18z1"/>
    <w:qFormat/>
    <w:rsid w:val="00454d75"/>
    <w:rPr/>
  </w:style>
  <w:style w:type="character" w:styleId="WW8Num18z2" w:customStyle="1">
    <w:name w:val="WW8Num18z2"/>
    <w:qFormat/>
    <w:rsid w:val="00454d75"/>
    <w:rPr/>
  </w:style>
  <w:style w:type="character" w:styleId="WW8Num18z3" w:customStyle="1">
    <w:name w:val="WW8Num18z3"/>
    <w:qFormat/>
    <w:rsid w:val="00454d75"/>
    <w:rPr/>
  </w:style>
  <w:style w:type="character" w:styleId="WW8Num18z4" w:customStyle="1">
    <w:name w:val="WW8Num18z4"/>
    <w:qFormat/>
    <w:rsid w:val="00454d75"/>
    <w:rPr/>
  </w:style>
  <w:style w:type="character" w:styleId="WW8Num18z5" w:customStyle="1">
    <w:name w:val="WW8Num18z5"/>
    <w:qFormat/>
    <w:rsid w:val="00454d75"/>
    <w:rPr/>
  </w:style>
  <w:style w:type="character" w:styleId="WW8Num18z6" w:customStyle="1">
    <w:name w:val="WW8Num18z6"/>
    <w:qFormat/>
    <w:rsid w:val="00454d75"/>
    <w:rPr/>
  </w:style>
  <w:style w:type="character" w:styleId="WW8Num18z7" w:customStyle="1">
    <w:name w:val="WW8Num18z7"/>
    <w:qFormat/>
    <w:rsid w:val="00454d75"/>
    <w:rPr/>
  </w:style>
  <w:style w:type="character" w:styleId="WW8Num18z8" w:customStyle="1">
    <w:name w:val="WW8Num18z8"/>
    <w:qFormat/>
    <w:rsid w:val="00454d75"/>
    <w:rPr/>
  </w:style>
  <w:style w:type="character" w:styleId="WW8Num19z0" w:customStyle="1">
    <w:name w:val="WW8Num19z0"/>
    <w:qFormat/>
    <w:rsid w:val="00454d75"/>
    <w:rPr/>
  </w:style>
  <w:style w:type="character" w:styleId="WW8Num19z1" w:customStyle="1">
    <w:name w:val="WW8Num19z1"/>
    <w:qFormat/>
    <w:rsid w:val="00454d75"/>
    <w:rPr>
      <w:rFonts w:ascii="Verdana" w:hAnsi="Verdana" w:cs="Arial"/>
      <w:sz w:val="18"/>
      <w:szCs w:val="18"/>
    </w:rPr>
  </w:style>
  <w:style w:type="character" w:styleId="WW8Num19z2" w:customStyle="1">
    <w:name w:val="WW8Num19z2"/>
    <w:qFormat/>
    <w:rsid w:val="00454d75"/>
    <w:rPr/>
  </w:style>
  <w:style w:type="character" w:styleId="WW8Num19z3" w:customStyle="1">
    <w:name w:val="WW8Num19z3"/>
    <w:qFormat/>
    <w:rsid w:val="00454d75"/>
    <w:rPr/>
  </w:style>
  <w:style w:type="character" w:styleId="WW8Num19z4" w:customStyle="1">
    <w:name w:val="WW8Num19z4"/>
    <w:qFormat/>
    <w:rsid w:val="00454d75"/>
    <w:rPr/>
  </w:style>
  <w:style w:type="character" w:styleId="WW8Num19z5" w:customStyle="1">
    <w:name w:val="WW8Num19z5"/>
    <w:qFormat/>
    <w:rsid w:val="00454d75"/>
    <w:rPr/>
  </w:style>
  <w:style w:type="character" w:styleId="WW8Num19z6" w:customStyle="1">
    <w:name w:val="WW8Num19z6"/>
    <w:qFormat/>
    <w:rsid w:val="00454d75"/>
    <w:rPr/>
  </w:style>
  <w:style w:type="character" w:styleId="WW8Num19z7" w:customStyle="1">
    <w:name w:val="WW8Num19z7"/>
    <w:qFormat/>
    <w:rsid w:val="00454d75"/>
    <w:rPr/>
  </w:style>
  <w:style w:type="character" w:styleId="WW8Num19z8" w:customStyle="1">
    <w:name w:val="WW8Num19z8"/>
    <w:qFormat/>
    <w:rsid w:val="00454d75"/>
    <w:rPr/>
  </w:style>
  <w:style w:type="character" w:styleId="WW8Num20z0" w:customStyle="1">
    <w:name w:val="WW8Num20z0"/>
    <w:qFormat/>
    <w:rsid w:val="00454d75"/>
    <w:rPr/>
  </w:style>
  <w:style w:type="character" w:styleId="WW8Num20z1" w:customStyle="1">
    <w:name w:val="WW8Num20z1"/>
    <w:qFormat/>
    <w:rsid w:val="00454d75"/>
    <w:rPr/>
  </w:style>
  <w:style w:type="character" w:styleId="WW8Num20z2" w:customStyle="1">
    <w:name w:val="WW8Num20z2"/>
    <w:qFormat/>
    <w:rsid w:val="00454d75"/>
    <w:rPr>
      <w:rFonts w:ascii="Verdana" w:hAnsi="Verdana" w:eastAsia="Arial" w:cs="Arial"/>
      <w:color w:val="000000"/>
      <w:sz w:val="18"/>
      <w:szCs w:val="18"/>
    </w:rPr>
  </w:style>
  <w:style w:type="character" w:styleId="WW8Num20z3" w:customStyle="1">
    <w:name w:val="WW8Num20z3"/>
    <w:qFormat/>
    <w:rsid w:val="00454d75"/>
    <w:rPr/>
  </w:style>
  <w:style w:type="character" w:styleId="WW8Num20z4" w:customStyle="1">
    <w:name w:val="WW8Num20z4"/>
    <w:qFormat/>
    <w:rsid w:val="00454d75"/>
    <w:rPr/>
  </w:style>
  <w:style w:type="character" w:styleId="WW8Num20z5" w:customStyle="1">
    <w:name w:val="WW8Num20z5"/>
    <w:qFormat/>
    <w:rsid w:val="00454d75"/>
    <w:rPr/>
  </w:style>
  <w:style w:type="character" w:styleId="WW8Num20z6" w:customStyle="1">
    <w:name w:val="WW8Num20z6"/>
    <w:qFormat/>
    <w:rsid w:val="00454d75"/>
    <w:rPr/>
  </w:style>
  <w:style w:type="character" w:styleId="WW8Num20z7" w:customStyle="1">
    <w:name w:val="WW8Num20z7"/>
    <w:qFormat/>
    <w:rsid w:val="00454d75"/>
    <w:rPr/>
  </w:style>
  <w:style w:type="character" w:styleId="WW8Num20z8" w:customStyle="1">
    <w:name w:val="WW8Num20z8"/>
    <w:qFormat/>
    <w:rsid w:val="00454d75"/>
    <w:rPr/>
  </w:style>
  <w:style w:type="character" w:styleId="WW8Num21z0" w:customStyle="1">
    <w:name w:val="WW8Num21z0"/>
    <w:qFormat/>
    <w:rsid w:val="00454d75"/>
    <w:rPr/>
  </w:style>
  <w:style w:type="character" w:styleId="WW8Num21z1" w:customStyle="1">
    <w:name w:val="WW8Num21z1"/>
    <w:qFormat/>
    <w:rsid w:val="00454d75"/>
    <w:rPr>
      <w:rFonts w:ascii="Verdana" w:hAnsi="Verdana" w:cs="Arial"/>
      <w:sz w:val="18"/>
      <w:szCs w:val="18"/>
    </w:rPr>
  </w:style>
  <w:style w:type="character" w:styleId="WW8Num21z2" w:customStyle="1">
    <w:name w:val="WW8Num21z2"/>
    <w:qFormat/>
    <w:rsid w:val="00454d75"/>
    <w:rPr/>
  </w:style>
  <w:style w:type="character" w:styleId="WW8Num21z3" w:customStyle="1">
    <w:name w:val="WW8Num21z3"/>
    <w:qFormat/>
    <w:rsid w:val="00454d75"/>
    <w:rPr/>
  </w:style>
  <w:style w:type="character" w:styleId="WW8Num21z4" w:customStyle="1">
    <w:name w:val="WW8Num21z4"/>
    <w:qFormat/>
    <w:rsid w:val="00454d75"/>
    <w:rPr/>
  </w:style>
  <w:style w:type="character" w:styleId="WW8Num21z5" w:customStyle="1">
    <w:name w:val="WW8Num21z5"/>
    <w:qFormat/>
    <w:rsid w:val="00454d75"/>
    <w:rPr/>
  </w:style>
  <w:style w:type="character" w:styleId="WW8Num21z6" w:customStyle="1">
    <w:name w:val="WW8Num21z6"/>
    <w:qFormat/>
    <w:rsid w:val="00454d75"/>
    <w:rPr/>
  </w:style>
  <w:style w:type="character" w:styleId="WW8Num21z7" w:customStyle="1">
    <w:name w:val="WW8Num21z7"/>
    <w:qFormat/>
    <w:rsid w:val="00454d75"/>
    <w:rPr/>
  </w:style>
  <w:style w:type="character" w:styleId="WW8Num21z8" w:customStyle="1">
    <w:name w:val="WW8Num21z8"/>
    <w:qFormat/>
    <w:rsid w:val="00454d75"/>
    <w:rPr/>
  </w:style>
  <w:style w:type="character" w:styleId="WW8Num22z0" w:customStyle="1">
    <w:name w:val="WW8Num22z0"/>
    <w:qFormat/>
    <w:rsid w:val="00454d75"/>
    <w:rPr/>
  </w:style>
  <w:style w:type="character" w:styleId="WW8Num22z1" w:customStyle="1">
    <w:name w:val="WW8Num22z1"/>
    <w:qFormat/>
    <w:rsid w:val="00454d75"/>
    <w:rPr/>
  </w:style>
  <w:style w:type="character" w:styleId="WW8Num22z2" w:customStyle="1">
    <w:name w:val="WW8Num22z2"/>
    <w:qFormat/>
    <w:rsid w:val="00454d75"/>
    <w:rPr/>
  </w:style>
  <w:style w:type="character" w:styleId="WW8Num22z3" w:customStyle="1">
    <w:name w:val="WW8Num22z3"/>
    <w:qFormat/>
    <w:rsid w:val="00454d75"/>
    <w:rPr/>
  </w:style>
  <w:style w:type="character" w:styleId="WW8Num22z4" w:customStyle="1">
    <w:name w:val="WW8Num22z4"/>
    <w:qFormat/>
    <w:rsid w:val="00454d75"/>
    <w:rPr/>
  </w:style>
  <w:style w:type="character" w:styleId="WW8Num22z5" w:customStyle="1">
    <w:name w:val="WW8Num22z5"/>
    <w:qFormat/>
    <w:rsid w:val="00454d75"/>
    <w:rPr/>
  </w:style>
  <w:style w:type="character" w:styleId="WW8Num22z6" w:customStyle="1">
    <w:name w:val="WW8Num22z6"/>
    <w:qFormat/>
    <w:rsid w:val="00454d75"/>
    <w:rPr/>
  </w:style>
  <w:style w:type="character" w:styleId="WW8Num22z7" w:customStyle="1">
    <w:name w:val="WW8Num22z7"/>
    <w:qFormat/>
    <w:rsid w:val="00454d75"/>
    <w:rPr/>
  </w:style>
  <w:style w:type="character" w:styleId="WW8Num22z8" w:customStyle="1">
    <w:name w:val="WW8Num22z8"/>
    <w:qFormat/>
    <w:rsid w:val="00454d75"/>
    <w:rPr/>
  </w:style>
  <w:style w:type="character" w:styleId="WW8Num23z0" w:customStyle="1">
    <w:name w:val="WW8Num23z0"/>
    <w:qFormat/>
    <w:rsid w:val="00454d75"/>
    <w:rPr/>
  </w:style>
  <w:style w:type="character" w:styleId="WW8Num23z1" w:customStyle="1">
    <w:name w:val="WW8Num23z1"/>
    <w:qFormat/>
    <w:rsid w:val="00454d75"/>
    <w:rPr/>
  </w:style>
  <w:style w:type="character" w:styleId="WW8Num23z2" w:customStyle="1">
    <w:name w:val="WW8Num23z2"/>
    <w:qFormat/>
    <w:rsid w:val="00454d75"/>
    <w:rPr/>
  </w:style>
  <w:style w:type="character" w:styleId="WW8Num23z3" w:customStyle="1">
    <w:name w:val="WW8Num23z3"/>
    <w:qFormat/>
    <w:rsid w:val="00454d75"/>
    <w:rPr/>
  </w:style>
  <w:style w:type="character" w:styleId="WW8Num23z4" w:customStyle="1">
    <w:name w:val="WW8Num23z4"/>
    <w:qFormat/>
    <w:rsid w:val="00454d75"/>
    <w:rPr/>
  </w:style>
  <w:style w:type="character" w:styleId="WW8Num23z5" w:customStyle="1">
    <w:name w:val="WW8Num23z5"/>
    <w:qFormat/>
    <w:rsid w:val="00454d75"/>
    <w:rPr/>
  </w:style>
  <w:style w:type="character" w:styleId="WW8Num23z6" w:customStyle="1">
    <w:name w:val="WW8Num23z6"/>
    <w:qFormat/>
    <w:rsid w:val="00454d75"/>
    <w:rPr/>
  </w:style>
  <w:style w:type="character" w:styleId="WW8Num23z7" w:customStyle="1">
    <w:name w:val="WW8Num23z7"/>
    <w:qFormat/>
    <w:rsid w:val="00454d75"/>
    <w:rPr/>
  </w:style>
  <w:style w:type="character" w:styleId="WW8Num23z8" w:customStyle="1">
    <w:name w:val="WW8Num23z8"/>
    <w:qFormat/>
    <w:rsid w:val="00454d75"/>
    <w:rPr/>
  </w:style>
  <w:style w:type="character" w:styleId="WW8Num24z0" w:customStyle="1">
    <w:name w:val="WW8Num24z0"/>
    <w:qFormat/>
    <w:rsid w:val="00454d75"/>
    <w:rPr>
      <w:rFonts w:ascii="Symbol" w:hAnsi="Symbol" w:cs="Symbol"/>
    </w:rPr>
  </w:style>
  <w:style w:type="character" w:styleId="WW8Num24z1" w:customStyle="1">
    <w:name w:val="WW8Num24z1"/>
    <w:qFormat/>
    <w:rsid w:val="00454d75"/>
    <w:rPr>
      <w:rFonts w:ascii="Courier New" w:hAnsi="Courier New" w:cs="Courier New"/>
    </w:rPr>
  </w:style>
  <w:style w:type="character" w:styleId="WW8Num24z2" w:customStyle="1">
    <w:name w:val="WW8Num24z2"/>
    <w:qFormat/>
    <w:rsid w:val="00454d75"/>
    <w:rPr>
      <w:rFonts w:ascii="Wingdings" w:hAnsi="Wingdings" w:cs="Wingdings"/>
    </w:rPr>
  </w:style>
  <w:style w:type="character" w:styleId="Fontepargpadro2" w:customStyle="1">
    <w:name w:val="Fonte parág. padrão2"/>
    <w:qFormat/>
    <w:rsid w:val="00454d75"/>
    <w:rPr/>
  </w:style>
  <w:style w:type="character" w:styleId="WW8Num4z1" w:customStyle="1">
    <w:name w:val="WW8Num4z1"/>
    <w:qFormat/>
    <w:rsid w:val="00454d75"/>
    <w:rPr>
      <w:rFonts w:ascii="Courier New" w:hAnsi="Courier New" w:cs="Courier New"/>
    </w:rPr>
  </w:style>
  <w:style w:type="character" w:styleId="WW8Num4z3" w:customStyle="1">
    <w:name w:val="WW8Num4z3"/>
    <w:qFormat/>
    <w:rsid w:val="00454d75"/>
    <w:rPr>
      <w:rFonts w:ascii="Symbol" w:hAnsi="Symbol" w:cs="Symbol"/>
    </w:rPr>
  </w:style>
  <w:style w:type="character" w:styleId="Fontepargpadro1" w:customStyle="1">
    <w:name w:val="Fonte parág. padrão1"/>
    <w:qFormat/>
    <w:rsid w:val="00454d75"/>
    <w:rPr/>
  </w:style>
  <w:style w:type="character" w:styleId="LinkdaInternet">
    <w:name w:val="Link da Internet"/>
    <w:basedOn w:val="Fontepargpadro1"/>
    <w:rsid w:val="00454d75"/>
    <w:rPr>
      <w:color w:val="0000FF"/>
      <w:u w:val="single"/>
    </w:rPr>
  </w:style>
  <w:style w:type="character" w:styleId="Pagenumber">
    <w:name w:val="page number"/>
    <w:basedOn w:val="Fontepargpadro1"/>
    <w:qFormat/>
    <w:rsid w:val="00454d75"/>
    <w:rPr/>
  </w:style>
  <w:style w:type="character" w:styleId="Mlabel" w:customStyle="1">
    <w:name w:val="m-label"/>
    <w:basedOn w:val="Fontepargpadro1"/>
    <w:qFormat/>
    <w:rsid w:val="00454d75"/>
    <w:rPr>
      <w:sz w:val="17"/>
      <w:szCs w:val="17"/>
    </w:rPr>
  </w:style>
  <w:style w:type="character" w:styleId="FollowedHyperlink">
    <w:name w:val="FollowedHyperlink"/>
    <w:basedOn w:val="Fontepargpadro1"/>
    <w:qFormat/>
    <w:rsid w:val="00454d75"/>
    <w:rPr>
      <w:color w:val="800080"/>
      <w:u w:val="single"/>
    </w:rPr>
  </w:style>
  <w:style w:type="character" w:styleId="Recuodecorpodetexto3Char" w:customStyle="1">
    <w:name w:val="Recuo de corpo de texto 3 Char"/>
    <w:basedOn w:val="Fontepargpadro2"/>
    <w:qFormat/>
    <w:rsid w:val="00454d75"/>
    <w:rPr>
      <w:sz w:val="16"/>
      <w:szCs w:val="16"/>
    </w:rPr>
  </w:style>
  <w:style w:type="character" w:styleId="CabealhoChar" w:customStyle="1">
    <w:name w:val="Cabeçalho Char"/>
    <w:basedOn w:val="Fontepargpadro2"/>
    <w:qFormat/>
    <w:rsid w:val="00454d75"/>
    <w:rPr/>
  </w:style>
  <w:style w:type="character" w:styleId="RodapChar" w:customStyle="1">
    <w:name w:val="Rodapé Char"/>
    <w:basedOn w:val="Fontepargpadro2"/>
    <w:qFormat/>
    <w:rsid w:val="00454d75"/>
    <w:rPr>
      <w:sz w:val="24"/>
      <w:szCs w:val="24"/>
    </w:rPr>
  </w:style>
  <w:style w:type="character" w:styleId="TtuloChar" w:customStyle="1">
    <w:name w:val="Título Char"/>
    <w:basedOn w:val="Fontepargpadro2"/>
    <w:qFormat/>
    <w:rsid w:val="00454d75"/>
    <w:rPr>
      <w:rFonts w:ascii="Arial" w:hAnsi="Arial" w:cs="Arial"/>
      <w:b/>
      <w:sz w:val="24"/>
    </w:rPr>
  </w:style>
  <w:style w:type="character" w:styleId="TextodebaloChar" w:customStyle="1">
    <w:name w:val="Texto de balão Char"/>
    <w:basedOn w:val="Fontepargpadro2"/>
    <w:qFormat/>
    <w:rsid w:val="00454d75"/>
    <w:rPr>
      <w:rFonts w:ascii="Tahoma" w:hAnsi="Tahoma" w:cs="Tahoma"/>
      <w:sz w:val="16"/>
      <w:szCs w:val="16"/>
    </w:rPr>
  </w:style>
  <w:style w:type="character" w:styleId="CorpodetextoChar" w:customStyle="1">
    <w:name w:val="Corpo de texto Char"/>
    <w:basedOn w:val="Fontepargpadro2"/>
    <w:qFormat/>
    <w:rsid w:val="00454d75"/>
    <w:rPr>
      <w:sz w:val="24"/>
      <w:szCs w:val="24"/>
    </w:rPr>
  </w:style>
  <w:style w:type="character" w:styleId="Smbolosdenumerao" w:customStyle="1">
    <w:name w:val="Símbolos de numeração"/>
    <w:qFormat/>
    <w:rsid w:val="00454d75"/>
    <w:rPr/>
  </w:style>
  <w:style w:type="character" w:styleId="Strong">
    <w:name w:val="Strong"/>
    <w:qFormat/>
    <w:rsid w:val="00d176bc"/>
    <w:rPr>
      <w:b/>
      <w:bCs/>
    </w:rPr>
  </w:style>
  <w:style w:type="character" w:styleId="ListLabel1">
    <w:name w:val="ListLabel 1"/>
    <w:qFormat/>
    <w:rPr>
      <w:rFonts w:ascii="Verdana" w:hAnsi="Verdana" w:cs="Arial"/>
      <w:b/>
      <w:sz w:val="18"/>
      <w:szCs w:val="18"/>
    </w:rPr>
  </w:style>
  <w:style w:type="character" w:styleId="ListLabel2">
    <w:name w:val="ListLabel 2"/>
    <w:qFormat/>
    <w:rPr>
      <w:rFonts w:ascii="Verdana" w:hAnsi="Verdana" w:cs="Arial"/>
      <w:b/>
      <w:bCs/>
      <w:i w:val="false"/>
      <w:iCs/>
      <w:sz w:val="18"/>
      <w:szCs w:val="20"/>
      <w:lang w:eastAsia="pt-BR"/>
    </w:rPr>
  </w:style>
  <w:style w:type="character" w:styleId="ListLabel3">
    <w:name w:val="ListLabel 3"/>
    <w:qFormat/>
    <w:rPr>
      <w:rFonts w:ascii="Verdana" w:hAnsi="Verdana" w:cs="Arial"/>
      <w:b/>
      <w:sz w:val="18"/>
      <w:szCs w:val="18"/>
    </w:rPr>
  </w:style>
  <w:style w:type="character" w:styleId="ListLabel4">
    <w:name w:val="ListLabel 4"/>
    <w:qFormat/>
    <w:rPr>
      <w:rFonts w:cs="Arial"/>
      <w:b w:val="false"/>
      <w:sz w:val="18"/>
      <w:szCs w:val="18"/>
    </w:rPr>
  </w:style>
  <w:style w:type="character" w:styleId="ListLabel5">
    <w:name w:val="ListLabel 5"/>
    <w:qFormat/>
    <w:rPr>
      <w:rFonts w:ascii="Verdana" w:hAnsi="Verdana" w:cs="Symbol"/>
      <w:sz w:val="18"/>
    </w:rPr>
  </w:style>
  <w:style w:type="character" w:styleId="ListLabel6">
    <w:name w:val="ListLabel 6"/>
    <w:qFormat/>
    <w:rPr>
      <w:rFonts w:ascii="Verdana" w:hAnsi="Verdana" w:cs="Arial"/>
      <w:sz w:val="18"/>
      <w:szCs w:val="18"/>
    </w:rPr>
  </w:style>
  <w:style w:type="character" w:styleId="ListLabel7">
    <w:name w:val="ListLabel 7"/>
    <w:qFormat/>
    <w:rPr>
      <w:rFonts w:cs="Arial"/>
      <w:b/>
    </w:rPr>
  </w:style>
  <w:style w:type="character" w:styleId="ListLabel8">
    <w:name w:val="ListLabel 8"/>
    <w:qFormat/>
    <w:rPr>
      <w:rFonts w:ascii="Verdana" w:hAnsi="Verdana" w:cs="Arial"/>
      <w:b/>
      <w:sz w:val="18"/>
    </w:rPr>
  </w:style>
  <w:style w:type="character" w:styleId="ListLabel9">
    <w:name w:val="ListLabel 9"/>
    <w:qFormat/>
    <w:rPr>
      <w:rFonts w:cs="Arial"/>
      <w:b/>
    </w:rPr>
  </w:style>
  <w:style w:type="character" w:styleId="ListLabel10">
    <w:name w:val="ListLabel 10"/>
    <w:qFormat/>
    <w:rPr>
      <w:rFonts w:cs="Arial"/>
      <w:b/>
    </w:rPr>
  </w:style>
  <w:style w:type="character" w:styleId="ListLabel11">
    <w:name w:val="ListLabel 11"/>
    <w:qFormat/>
    <w:rPr>
      <w:rFonts w:cs="Arial"/>
      <w:b/>
    </w:rPr>
  </w:style>
  <w:style w:type="character" w:styleId="ListLabel12">
    <w:name w:val="ListLabel 12"/>
    <w:qFormat/>
    <w:rPr>
      <w:rFonts w:cs="Arial"/>
      <w:b/>
    </w:rPr>
  </w:style>
  <w:style w:type="character" w:styleId="ListLabel13">
    <w:name w:val="ListLabel 13"/>
    <w:qFormat/>
    <w:rPr>
      <w:rFonts w:cs="Arial"/>
      <w:b/>
    </w:rPr>
  </w:style>
  <w:style w:type="character" w:styleId="ListLabel14">
    <w:name w:val="ListLabel 14"/>
    <w:qFormat/>
    <w:rPr>
      <w:rFonts w:cs="Arial"/>
      <w:b/>
    </w:rPr>
  </w:style>
  <w:style w:type="character" w:styleId="ListLabel15">
    <w:name w:val="ListLabel 15"/>
    <w:qFormat/>
    <w:rPr>
      <w:rFonts w:cs="Arial"/>
      <w:b/>
    </w:rPr>
  </w:style>
  <w:style w:type="character" w:styleId="ListLabel16">
    <w:name w:val="ListLabel 16"/>
    <w:qFormat/>
    <w:rPr>
      <w:rFonts w:ascii="Verdana" w:hAnsi="Verdana" w:cs="Arial"/>
      <w:b w:val="false"/>
      <w:sz w:val="18"/>
      <w:szCs w:val="18"/>
    </w:rPr>
  </w:style>
  <w:style w:type="character" w:styleId="ListLabel17">
    <w:name w:val="ListLabel 17"/>
    <w:qFormat/>
    <w:rPr>
      <w:rFonts w:ascii="Verdana" w:hAnsi="Verdana" w:eastAsia="Arial" w:cs="Arial"/>
      <w:color w:val="000000"/>
      <w:sz w:val="18"/>
      <w:szCs w:val="18"/>
    </w:rPr>
  </w:style>
  <w:style w:type="character" w:styleId="ListLabel18">
    <w:name w:val="ListLabel 18"/>
    <w:qFormat/>
    <w:rPr>
      <w:rFonts w:ascii="Verdana" w:hAnsi="Verdana" w:cs="Arial"/>
      <w:sz w:val="18"/>
      <w:szCs w:val="18"/>
    </w:rPr>
  </w:style>
  <w:style w:type="character" w:styleId="ListLabel19">
    <w:name w:val="ListLabel 19"/>
    <w:qFormat/>
    <w:rPr>
      <w:rFonts w:ascii="Verdana" w:hAnsi="Verdana" w:cs="Arial"/>
      <w:sz w:val="18"/>
      <w:szCs w:val="18"/>
      <w:lang w:eastAsia="pt-BR"/>
    </w:rPr>
  </w:style>
  <w:style w:type="character" w:styleId="ListLabel20">
    <w:name w:val="ListLabel 20"/>
    <w:qFormat/>
    <w:rPr>
      <w:rFonts w:ascii="Verdana" w:hAnsi="Verdana"/>
      <w:b/>
      <w:sz w:val="18"/>
    </w:rPr>
  </w:style>
  <w:style w:type="character" w:styleId="ListLabel21">
    <w:name w:val="ListLabel 21"/>
    <w:qFormat/>
    <w:rPr>
      <w:rFonts w:ascii="Verdana" w:hAnsi="Verdana" w:cs="Arial"/>
      <w:color w:val="000000"/>
      <w:sz w:val="18"/>
      <w:szCs w:val="18"/>
    </w:rPr>
  </w:style>
  <w:style w:type="character" w:styleId="ListLabel22">
    <w:name w:val="ListLabel 22"/>
    <w:qFormat/>
    <w:rPr>
      <w:rFonts w:ascii="Verdana" w:hAnsi="Verdana" w:cs="Arial"/>
      <w:sz w:val="18"/>
      <w:szCs w:val="18"/>
    </w:rPr>
  </w:style>
  <w:style w:type="character" w:styleId="ListLabel23">
    <w:name w:val="ListLabel 23"/>
    <w:qFormat/>
    <w:rPr>
      <w:rFonts w:ascii="Verdana" w:hAnsi="Verdana" w:cs="Arial"/>
      <w:sz w:val="18"/>
      <w:szCs w:val="18"/>
    </w:rPr>
  </w:style>
  <w:style w:type="character" w:styleId="ListLabel24">
    <w:name w:val="ListLabel 24"/>
    <w:qFormat/>
    <w:rPr>
      <w:rFonts w:eastAsia="Arial" w:cs="Arial"/>
      <w:color w:val="000000"/>
      <w:sz w:val="18"/>
      <w:szCs w:val="18"/>
    </w:rPr>
  </w:style>
  <w:style w:type="character" w:styleId="ListLabel25">
    <w:name w:val="ListLabel 25"/>
    <w:qFormat/>
    <w:rPr>
      <w:rFonts w:cs="Calibri"/>
      <w:b/>
    </w:rPr>
  </w:style>
  <w:style w:type="character" w:styleId="ListLabel26">
    <w:name w:val="ListLabel 26"/>
    <w:qFormat/>
    <w:rPr>
      <w:rFonts w:ascii="Verdana" w:hAnsi="Verdana" w:cs="Calibri"/>
      <w:b/>
      <w:sz w:val="18"/>
    </w:rPr>
  </w:style>
  <w:style w:type="character" w:styleId="ListLabel27">
    <w:name w:val="ListLabel 27"/>
    <w:qFormat/>
    <w:rPr>
      <w:rFonts w:cs="Calibri"/>
      <w:b/>
    </w:rPr>
  </w:style>
  <w:style w:type="character" w:styleId="ListLabel28">
    <w:name w:val="ListLabel 28"/>
    <w:qFormat/>
    <w:rPr>
      <w:rFonts w:cs="Calibri"/>
      <w:b/>
    </w:rPr>
  </w:style>
  <w:style w:type="character" w:styleId="ListLabel29">
    <w:name w:val="ListLabel 29"/>
    <w:qFormat/>
    <w:rPr>
      <w:rFonts w:cs="Calibri"/>
      <w:b/>
    </w:rPr>
  </w:style>
  <w:style w:type="character" w:styleId="ListLabel30">
    <w:name w:val="ListLabel 30"/>
    <w:qFormat/>
    <w:rPr>
      <w:rFonts w:cs="Calibri"/>
      <w:b/>
    </w:rPr>
  </w:style>
  <w:style w:type="character" w:styleId="ListLabel31">
    <w:name w:val="ListLabel 31"/>
    <w:qFormat/>
    <w:rPr>
      <w:rFonts w:cs="Calibri"/>
      <w:b/>
    </w:rPr>
  </w:style>
  <w:style w:type="character" w:styleId="ListLabel32">
    <w:name w:val="ListLabel 32"/>
    <w:qFormat/>
    <w:rPr>
      <w:rFonts w:cs="Calibri"/>
      <w:b/>
    </w:rPr>
  </w:style>
  <w:style w:type="character" w:styleId="ListLabel33">
    <w:name w:val="ListLabel 33"/>
    <w:qFormat/>
    <w:rPr>
      <w:rFonts w:cs="Calibri"/>
      <w:b/>
    </w:rPr>
  </w:style>
  <w:style w:type="character" w:styleId="ListLabel34">
    <w:name w:val="ListLabel 34"/>
    <w:qFormat/>
    <w:rPr>
      <w:rFonts w:ascii="Verdana" w:hAnsi="Verdana" w:cs="Times New Roman"/>
      <w:b/>
      <w:color w:val="000000"/>
      <w:sz w:val="18"/>
    </w:rPr>
  </w:style>
  <w:style w:type="character" w:styleId="ListLabel35">
    <w:name w:val="ListLabel 35"/>
    <w:qFormat/>
    <w:rPr>
      <w:rFonts w:ascii="Verdana" w:hAnsi="Verdana" w:cs="Times New Roman"/>
      <w:b/>
      <w:color w:val="000000"/>
      <w:sz w:val="18"/>
    </w:rPr>
  </w:style>
  <w:style w:type="character" w:styleId="ListLabel36">
    <w:name w:val="ListLabel 36"/>
    <w:qFormat/>
    <w:rPr>
      <w:rFonts w:ascii="Verdana" w:hAnsi="Verdana" w:cs="Times New Roman"/>
      <w:color w:val="000000"/>
      <w:sz w:val="18"/>
    </w:rPr>
  </w:style>
  <w:style w:type="character" w:styleId="ListLabel37">
    <w:name w:val="ListLabel 37"/>
    <w:qFormat/>
    <w:rPr>
      <w:rFonts w:cs="Times New Roman"/>
      <w:color w:val="000000"/>
    </w:rPr>
  </w:style>
  <w:style w:type="character" w:styleId="ListLabel38">
    <w:name w:val="ListLabel 38"/>
    <w:qFormat/>
    <w:rPr>
      <w:rFonts w:cs="Times New Roman"/>
      <w:color w:val="000000"/>
    </w:rPr>
  </w:style>
  <w:style w:type="character" w:styleId="ListLabel39">
    <w:name w:val="ListLabel 39"/>
    <w:qFormat/>
    <w:rPr>
      <w:rFonts w:cs="Times New Roman"/>
      <w:color w:val="000000"/>
    </w:rPr>
  </w:style>
  <w:style w:type="character" w:styleId="ListLabel40">
    <w:name w:val="ListLabel 40"/>
    <w:qFormat/>
    <w:rPr>
      <w:rFonts w:cs="Times New Roman"/>
      <w:color w:val="000000"/>
    </w:rPr>
  </w:style>
  <w:style w:type="character" w:styleId="ListLabel41">
    <w:name w:val="ListLabel 41"/>
    <w:qFormat/>
    <w:rPr>
      <w:rFonts w:cs="Times New Roman"/>
      <w:color w:val="000000"/>
    </w:rPr>
  </w:style>
  <w:style w:type="character" w:styleId="ListLabel42">
    <w:name w:val="ListLabel 42"/>
    <w:qFormat/>
    <w:rPr>
      <w:rFonts w:cs="Times New Roman"/>
      <w:color w:val="000000"/>
    </w:rPr>
  </w:style>
  <w:style w:type="character" w:styleId="ListLabel43">
    <w:name w:val="ListLabel 43"/>
    <w:qFormat/>
    <w:rPr>
      <w:sz w:val="22"/>
    </w:rPr>
  </w:style>
  <w:style w:type="character" w:styleId="ListLabel44">
    <w:name w:val="ListLabel 44"/>
    <w:qFormat/>
    <w:rPr>
      <w:b/>
      <w:sz w:val="22"/>
    </w:rPr>
  </w:style>
  <w:style w:type="character" w:styleId="ListLabel45">
    <w:name w:val="ListLabel 45"/>
    <w:qFormat/>
    <w:rPr>
      <w:sz w:val="22"/>
    </w:rPr>
  </w:style>
  <w:style w:type="character" w:styleId="ListLabel46">
    <w:name w:val="ListLabel 46"/>
    <w:qFormat/>
    <w:rPr>
      <w:sz w:val="22"/>
    </w:rPr>
  </w:style>
  <w:style w:type="character" w:styleId="ListLabel47">
    <w:name w:val="ListLabel 47"/>
    <w:qFormat/>
    <w:rPr>
      <w:sz w:val="22"/>
    </w:rPr>
  </w:style>
  <w:style w:type="character" w:styleId="ListLabel48">
    <w:name w:val="ListLabel 48"/>
    <w:qFormat/>
    <w:rPr>
      <w:sz w:val="22"/>
    </w:rPr>
  </w:style>
  <w:style w:type="character" w:styleId="ListLabel49">
    <w:name w:val="ListLabel 49"/>
    <w:qFormat/>
    <w:rPr>
      <w:sz w:val="22"/>
    </w:rPr>
  </w:style>
  <w:style w:type="character" w:styleId="ListLabel50">
    <w:name w:val="ListLabel 50"/>
    <w:qFormat/>
    <w:rPr>
      <w:sz w:val="22"/>
    </w:rPr>
  </w:style>
  <w:style w:type="character" w:styleId="ListLabel51">
    <w:name w:val="ListLabel 51"/>
    <w:qFormat/>
    <w:rPr>
      <w:sz w:val="22"/>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rsid w:val="00454d75"/>
    <w:pPr>
      <w:spacing w:before="0" w:after="120"/>
    </w:pPr>
    <w:rPr/>
  </w:style>
  <w:style w:type="paragraph" w:styleId="Lista">
    <w:name w:val="List"/>
    <w:basedOn w:val="Corpodetexto"/>
    <w:rsid w:val="00454d75"/>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454d75"/>
    <w:pPr>
      <w:suppressLineNumbers/>
    </w:pPr>
    <w:rPr>
      <w:rFonts w:cs="Mangal"/>
    </w:rPr>
  </w:style>
  <w:style w:type="paragraph" w:styleId="Ttulo21" w:customStyle="1">
    <w:name w:val="Título2"/>
    <w:basedOn w:val="Normal"/>
    <w:qFormat/>
    <w:rsid w:val="00454d75"/>
    <w:pPr>
      <w:keepLines/>
      <w:suppressAutoHyphens w:val="false"/>
      <w:spacing w:before="120" w:after="0"/>
      <w:jc w:val="center"/>
    </w:pPr>
    <w:rPr>
      <w:rFonts w:ascii="Arial" w:hAnsi="Arial" w:cs="Arial"/>
      <w:b/>
      <w:szCs w:val="20"/>
    </w:rPr>
  </w:style>
  <w:style w:type="paragraph" w:styleId="Caption">
    <w:name w:val="caption"/>
    <w:basedOn w:val="Normal"/>
    <w:qFormat/>
    <w:rsid w:val="00454d75"/>
    <w:pPr>
      <w:suppressLineNumbers/>
      <w:spacing w:before="120" w:after="120"/>
    </w:pPr>
    <w:rPr>
      <w:rFonts w:cs="Mangal"/>
      <w:i/>
      <w:iCs/>
    </w:rPr>
  </w:style>
  <w:style w:type="paragraph" w:styleId="Ttulo11" w:customStyle="1">
    <w:name w:val="Título1"/>
    <w:basedOn w:val="Normal"/>
    <w:qFormat/>
    <w:rsid w:val="00454d75"/>
    <w:pPr>
      <w:keepLines/>
      <w:spacing w:before="120" w:after="0"/>
      <w:jc w:val="center"/>
    </w:pPr>
    <w:rPr>
      <w:rFonts w:ascii="Arial" w:hAnsi="Arial" w:cs="Arial"/>
      <w:b/>
      <w:szCs w:val="20"/>
    </w:rPr>
  </w:style>
  <w:style w:type="paragraph" w:styleId="Legenda1" w:customStyle="1">
    <w:name w:val="Legenda1"/>
    <w:basedOn w:val="Normal"/>
    <w:qFormat/>
    <w:rsid w:val="00454d75"/>
    <w:pPr>
      <w:suppressLineNumbers/>
      <w:spacing w:before="120" w:after="120"/>
    </w:pPr>
    <w:rPr>
      <w:rFonts w:cs="Mangal"/>
      <w:i/>
      <w:iCs/>
    </w:rPr>
  </w:style>
  <w:style w:type="paragraph" w:styleId="Corpodetextorecuado">
    <w:name w:val="Body Text Indent"/>
    <w:basedOn w:val="Normal"/>
    <w:rsid w:val="00454d75"/>
    <w:pPr>
      <w:widowControl w:val="false"/>
      <w:ind w:left="1134" w:hanging="283"/>
      <w:jc w:val="both"/>
    </w:pPr>
    <w:rPr>
      <w:szCs w:val="20"/>
    </w:rPr>
  </w:style>
  <w:style w:type="paragraph" w:styleId="BodyText21" w:customStyle="1">
    <w:name w:val="Body Text 21"/>
    <w:basedOn w:val="Normal"/>
    <w:qFormat/>
    <w:rsid w:val="00454d75"/>
    <w:pPr>
      <w:jc w:val="both"/>
    </w:pPr>
    <w:rPr>
      <w:szCs w:val="20"/>
    </w:rPr>
  </w:style>
  <w:style w:type="paragraph" w:styleId="NormalWeb">
    <w:name w:val="Normal (Web)"/>
    <w:basedOn w:val="Normal"/>
    <w:uiPriority w:val="99"/>
    <w:qFormat/>
    <w:rsid w:val="00454d75"/>
    <w:pPr>
      <w:spacing w:before="100" w:after="100"/>
    </w:pPr>
    <w:rPr>
      <w:szCs w:val="20"/>
    </w:rPr>
  </w:style>
  <w:style w:type="paragraph" w:styleId="Rodap">
    <w:name w:val="Footer"/>
    <w:basedOn w:val="Normal"/>
    <w:rsid w:val="00454d75"/>
    <w:pPr>
      <w:tabs>
        <w:tab w:val="center" w:pos="4419" w:leader="none"/>
        <w:tab w:val="right" w:pos="8838" w:leader="none"/>
      </w:tabs>
    </w:pPr>
    <w:rPr/>
  </w:style>
  <w:style w:type="paragraph" w:styleId="10" w:customStyle="1">
    <w:name w:val="10"/>
    <w:basedOn w:val="Normal"/>
    <w:qFormat/>
    <w:rsid w:val="00454d75"/>
    <w:pPr>
      <w:ind w:left="851" w:hanging="567"/>
      <w:jc w:val="both"/>
    </w:pPr>
    <w:rPr>
      <w:szCs w:val="20"/>
    </w:rPr>
  </w:style>
  <w:style w:type="paragraph" w:styleId="11" w:customStyle="1">
    <w:name w:val="11"/>
    <w:basedOn w:val="Normal"/>
    <w:qFormat/>
    <w:rsid w:val="00454d75"/>
    <w:pPr>
      <w:ind w:left="1701" w:hanging="850"/>
      <w:jc w:val="both"/>
    </w:pPr>
    <w:rPr>
      <w:szCs w:val="20"/>
    </w:rPr>
  </w:style>
  <w:style w:type="paragraph" w:styleId="TextosemFormatao1" w:customStyle="1">
    <w:name w:val="Texto sem Formatação1"/>
    <w:basedOn w:val="Normal"/>
    <w:qFormat/>
    <w:rsid w:val="00454d75"/>
    <w:pPr/>
    <w:rPr>
      <w:rFonts w:ascii="Courier New" w:hAnsi="Courier New" w:cs="Courier New"/>
      <w:sz w:val="20"/>
      <w:szCs w:val="20"/>
    </w:rPr>
  </w:style>
  <w:style w:type="paragraph" w:styleId="Bodytext2" w:customStyle="1">
    <w:name w:val="bodytext2"/>
    <w:basedOn w:val="Normal"/>
    <w:qFormat/>
    <w:rsid w:val="00454d75"/>
    <w:pPr>
      <w:jc w:val="both"/>
    </w:pPr>
    <w:rPr/>
  </w:style>
  <w:style w:type="paragraph" w:styleId="Recuodecorpodetexto31" w:customStyle="1">
    <w:name w:val="Recuo de corpo de texto 31"/>
    <w:basedOn w:val="Normal"/>
    <w:qFormat/>
    <w:rsid w:val="00454d75"/>
    <w:pPr>
      <w:spacing w:before="0" w:after="120"/>
      <w:ind w:left="283" w:hanging="0"/>
    </w:pPr>
    <w:rPr>
      <w:sz w:val="16"/>
      <w:szCs w:val="16"/>
    </w:rPr>
  </w:style>
  <w:style w:type="paragraph" w:styleId="Cabealho">
    <w:name w:val="Header"/>
    <w:basedOn w:val="Normal"/>
    <w:rsid w:val="00454d75"/>
    <w:pPr>
      <w:tabs>
        <w:tab w:val="center" w:pos="4419" w:leader="none"/>
        <w:tab w:val="right" w:pos="8838" w:leader="none"/>
      </w:tabs>
    </w:pPr>
    <w:rPr>
      <w:sz w:val="20"/>
      <w:szCs w:val="20"/>
    </w:rPr>
  </w:style>
  <w:style w:type="paragraph" w:styleId="P30" w:customStyle="1">
    <w:name w:val="P30"/>
    <w:basedOn w:val="Normal"/>
    <w:qFormat/>
    <w:rsid w:val="00454d75"/>
    <w:pPr>
      <w:jc w:val="both"/>
    </w:pPr>
    <w:rPr>
      <w:b/>
      <w:szCs w:val="20"/>
    </w:rPr>
  </w:style>
  <w:style w:type="paragraph" w:styleId="Xl23" w:customStyle="1">
    <w:name w:val="xl23"/>
    <w:basedOn w:val="Normal"/>
    <w:qFormat/>
    <w:rsid w:val="00454d75"/>
    <w:pPr>
      <w:spacing w:before="280" w:after="280"/>
      <w:jc w:val="center"/>
    </w:pPr>
    <w:rPr/>
  </w:style>
  <w:style w:type="paragraph" w:styleId="Normal1" w:customStyle="1">
    <w:name w:val="Normal1"/>
    <w:qFormat/>
    <w:rsid w:val="00454d75"/>
    <w:pPr>
      <w:widowControl/>
      <w:suppressAutoHyphens w:val="true"/>
      <w:bidi w:val="0"/>
      <w:jc w:val="left"/>
    </w:pPr>
    <w:rPr>
      <w:rFonts w:ascii="Arial" w:hAnsi="Arial" w:eastAsia="Arial" w:cs="Arial"/>
      <w:color w:val="000000"/>
      <w:kern w:val="0"/>
      <w:sz w:val="24"/>
      <w:szCs w:val="24"/>
      <w:lang w:eastAsia="zh-CN" w:val="pt-BR" w:bidi="ar-SA"/>
    </w:rPr>
  </w:style>
  <w:style w:type="paragraph" w:styleId="ListParagraph">
    <w:name w:val="List Paragraph"/>
    <w:basedOn w:val="Normal"/>
    <w:qFormat/>
    <w:rsid w:val="00454d75"/>
    <w:pPr>
      <w:ind w:left="708" w:hanging="0"/>
    </w:pPr>
    <w:rPr/>
  </w:style>
  <w:style w:type="paragraph" w:styleId="Xl63" w:customStyle="1">
    <w:name w:val="xl63"/>
    <w:basedOn w:val="Normal"/>
    <w:qFormat/>
    <w:rsid w:val="00454d75"/>
    <w:pPr>
      <w:spacing w:before="280" w:after="280"/>
      <w:textAlignment w:val="center"/>
    </w:pPr>
    <w:rPr/>
  </w:style>
  <w:style w:type="paragraph" w:styleId="Xl64" w:customStyle="1">
    <w:name w:val="xl64"/>
    <w:basedOn w:val="Normal"/>
    <w:qFormat/>
    <w:rsid w:val="00454d75"/>
    <w:pPr>
      <w:pBdr>
        <w:top w:val="single" w:sz="4" w:space="0" w:color="000001"/>
        <w:left w:val="single" w:sz="4" w:space="0" w:color="000001"/>
        <w:bottom w:val="single" w:sz="4" w:space="0" w:color="000001"/>
        <w:right w:val="single" w:sz="4" w:space="0" w:color="000001"/>
      </w:pBdr>
      <w:spacing w:before="280" w:after="280"/>
    </w:pPr>
    <w:rPr/>
  </w:style>
  <w:style w:type="paragraph" w:styleId="Xl65" w:customStyle="1">
    <w:name w:val="xl65"/>
    <w:basedOn w:val="Normal"/>
    <w:qFormat/>
    <w:rsid w:val="00454d75"/>
    <w:pPr>
      <w:pBdr>
        <w:top w:val="single" w:sz="4" w:space="0" w:color="000001"/>
        <w:left w:val="single" w:sz="4" w:space="0" w:color="000001"/>
        <w:bottom w:val="single" w:sz="4" w:space="0" w:color="000001"/>
        <w:right w:val="single" w:sz="4" w:space="0" w:color="000001"/>
      </w:pBdr>
      <w:spacing w:before="280" w:after="280"/>
      <w:textAlignment w:val="center"/>
    </w:pPr>
    <w:rPr/>
  </w:style>
  <w:style w:type="paragraph" w:styleId="Xl66" w:customStyle="1">
    <w:name w:val="xl66"/>
    <w:basedOn w:val="Normal"/>
    <w:qFormat/>
    <w:rsid w:val="00454d75"/>
    <w:pPr>
      <w:pBdr>
        <w:top w:val="single" w:sz="4" w:space="0" w:color="000001"/>
        <w:left w:val="single" w:sz="4" w:space="0" w:color="000001"/>
        <w:bottom w:val="single" w:sz="4" w:space="0" w:color="000001"/>
        <w:right w:val="single" w:sz="4" w:space="0" w:color="000001"/>
      </w:pBdr>
      <w:spacing w:before="280" w:after="280"/>
    </w:pPr>
    <w:rPr/>
  </w:style>
  <w:style w:type="paragraph" w:styleId="Xl67" w:customStyle="1">
    <w:name w:val="xl67"/>
    <w:basedOn w:val="Normal"/>
    <w:qFormat/>
    <w:rsid w:val="00454d75"/>
    <w:pPr>
      <w:pBdr>
        <w:left w:val="single" w:sz="4" w:space="0" w:color="000001"/>
        <w:bottom w:val="single" w:sz="4" w:space="0" w:color="000001"/>
        <w:right w:val="single" w:sz="4" w:space="0" w:color="000001"/>
      </w:pBdr>
      <w:spacing w:before="280" w:after="280"/>
      <w:jc w:val="center"/>
    </w:pPr>
    <w:rPr>
      <w:b/>
      <w:bCs/>
    </w:rPr>
  </w:style>
  <w:style w:type="paragraph" w:styleId="Xl68" w:customStyle="1">
    <w:name w:val="xl68"/>
    <w:basedOn w:val="Normal"/>
    <w:qFormat/>
    <w:rsid w:val="00454d75"/>
    <w:pPr>
      <w:pBdr>
        <w:left w:val="single" w:sz="4" w:space="0" w:color="000001"/>
        <w:bottom w:val="single" w:sz="4" w:space="0" w:color="000001"/>
        <w:right w:val="single" w:sz="4" w:space="0" w:color="000001"/>
      </w:pBdr>
      <w:spacing w:before="280" w:after="280"/>
      <w:jc w:val="center"/>
      <w:textAlignment w:val="center"/>
    </w:pPr>
    <w:rPr>
      <w:b/>
      <w:bCs/>
    </w:rPr>
  </w:style>
  <w:style w:type="paragraph" w:styleId="Xl69" w:customStyle="1">
    <w:name w:val="xl69"/>
    <w:basedOn w:val="Normal"/>
    <w:qFormat/>
    <w:rsid w:val="00454d75"/>
    <w:pPr>
      <w:pBdr>
        <w:top w:val="single" w:sz="4" w:space="0" w:color="000001"/>
        <w:left w:val="single" w:sz="4" w:space="0" w:color="000001"/>
        <w:bottom w:val="single" w:sz="4" w:space="0" w:color="000001"/>
      </w:pBdr>
      <w:spacing w:before="280" w:after="280"/>
      <w:jc w:val="center"/>
      <w:textAlignment w:val="center"/>
    </w:pPr>
    <w:rPr>
      <w:b/>
      <w:bCs/>
    </w:rPr>
  </w:style>
  <w:style w:type="paragraph" w:styleId="Xl70" w:customStyle="1">
    <w:name w:val="xl70"/>
    <w:basedOn w:val="Normal"/>
    <w:qFormat/>
    <w:rsid w:val="00454d75"/>
    <w:pPr>
      <w:pBdr>
        <w:top w:val="single" w:sz="4" w:space="0" w:color="000001"/>
        <w:bottom w:val="single" w:sz="4" w:space="0" w:color="000001"/>
      </w:pBdr>
      <w:spacing w:before="280" w:after="280"/>
      <w:jc w:val="center"/>
      <w:textAlignment w:val="center"/>
    </w:pPr>
    <w:rPr>
      <w:b/>
      <w:bCs/>
    </w:rPr>
  </w:style>
  <w:style w:type="paragraph" w:styleId="Xl71" w:customStyle="1">
    <w:name w:val="xl71"/>
    <w:basedOn w:val="Normal"/>
    <w:qFormat/>
    <w:rsid w:val="00454d75"/>
    <w:pPr>
      <w:pBdr>
        <w:top w:val="single" w:sz="4" w:space="0" w:color="000001"/>
        <w:bottom w:val="single" w:sz="4" w:space="0" w:color="000001"/>
        <w:right w:val="single" w:sz="4" w:space="0" w:color="000001"/>
      </w:pBdr>
      <w:spacing w:before="280" w:after="280"/>
      <w:jc w:val="center"/>
      <w:textAlignment w:val="center"/>
    </w:pPr>
    <w:rPr>
      <w:b/>
      <w:bCs/>
    </w:rPr>
  </w:style>
  <w:style w:type="paragraph" w:styleId="Xl72" w:customStyle="1">
    <w:name w:val="xl72"/>
    <w:basedOn w:val="Normal"/>
    <w:qFormat/>
    <w:rsid w:val="00454d75"/>
    <w:pPr>
      <w:pBdr>
        <w:top w:val="single" w:sz="4" w:space="0" w:color="000001"/>
        <w:left w:val="single" w:sz="4" w:space="0" w:color="000001"/>
        <w:bottom w:val="single" w:sz="4" w:space="0" w:color="000001"/>
      </w:pBdr>
      <w:spacing w:before="280" w:after="280"/>
      <w:jc w:val="center"/>
    </w:pPr>
    <w:rPr>
      <w:b/>
      <w:bCs/>
    </w:rPr>
  </w:style>
  <w:style w:type="paragraph" w:styleId="Xl73" w:customStyle="1">
    <w:name w:val="xl73"/>
    <w:basedOn w:val="Normal"/>
    <w:qFormat/>
    <w:rsid w:val="00454d75"/>
    <w:pPr>
      <w:pBdr>
        <w:top w:val="single" w:sz="4" w:space="0" w:color="000001"/>
        <w:bottom w:val="single" w:sz="4" w:space="0" w:color="000001"/>
        <w:right w:val="single" w:sz="4" w:space="0" w:color="000001"/>
      </w:pBdr>
      <w:spacing w:before="280" w:after="280"/>
      <w:jc w:val="center"/>
    </w:pPr>
    <w:rPr>
      <w:b/>
      <w:bCs/>
    </w:rPr>
  </w:style>
  <w:style w:type="paragraph" w:styleId="Xl74" w:customStyle="1">
    <w:name w:val="xl74"/>
    <w:basedOn w:val="Normal"/>
    <w:qFormat/>
    <w:rsid w:val="00454d75"/>
    <w:pPr>
      <w:pBdr>
        <w:top w:val="single" w:sz="4" w:space="0" w:color="000001"/>
        <w:left w:val="single" w:sz="4" w:space="0" w:color="000001"/>
        <w:bottom w:val="single" w:sz="4" w:space="0" w:color="000001"/>
      </w:pBdr>
      <w:spacing w:before="280" w:after="280"/>
      <w:jc w:val="center"/>
    </w:pPr>
    <w:rPr>
      <w:b/>
      <w:bCs/>
    </w:rPr>
  </w:style>
  <w:style w:type="paragraph" w:styleId="Xl75" w:customStyle="1">
    <w:name w:val="xl75"/>
    <w:basedOn w:val="Normal"/>
    <w:qFormat/>
    <w:rsid w:val="00454d75"/>
    <w:pPr>
      <w:pBdr>
        <w:top w:val="single" w:sz="4" w:space="0" w:color="000001"/>
        <w:bottom w:val="single" w:sz="4" w:space="0" w:color="000001"/>
        <w:right w:val="single" w:sz="4" w:space="0" w:color="000001"/>
      </w:pBdr>
      <w:spacing w:before="280" w:after="280"/>
      <w:jc w:val="center"/>
    </w:pPr>
    <w:rPr>
      <w:b/>
      <w:bCs/>
    </w:rPr>
  </w:style>
  <w:style w:type="paragraph" w:styleId="Contedodetabela" w:customStyle="1">
    <w:name w:val="Conteúdo de tabela"/>
    <w:basedOn w:val="Normal"/>
    <w:qFormat/>
    <w:rsid w:val="00454d75"/>
    <w:pPr>
      <w:suppressLineNumbers/>
    </w:pPr>
    <w:rPr/>
  </w:style>
  <w:style w:type="paragraph" w:styleId="Contedodatabela" w:customStyle="1">
    <w:name w:val="Conteúdo da tabela"/>
    <w:basedOn w:val="Normal"/>
    <w:qFormat/>
    <w:rsid w:val="00454d75"/>
    <w:pPr>
      <w:suppressLineNumbers/>
    </w:pPr>
    <w:rPr/>
  </w:style>
  <w:style w:type="paragraph" w:styleId="Ttulodetabela" w:customStyle="1">
    <w:name w:val="Título de tabela"/>
    <w:basedOn w:val="Contedodetabela"/>
    <w:qFormat/>
    <w:rsid w:val="00454d75"/>
    <w:pPr>
      <w:jc w:val="center"/>
    </w:pPr>
    <w:rPr>
      <w:b/>
      <w:bCs/>
    </w:rPr>
  </w:style>
  <w:style w:type="paragraph" w:styleId="Reservado3" w:customStyle="1">
    <w:name w:val="reservado3"/>
    <w:basedOn w:val="Normal"/>
    <w:qFormat/>
    <w:rsid w:val="00454d75"/>
    <w:pPr>
      <w:widowControl w:val="false"/>
      <w:tabs>
        <w:tab w:val="left" w:pos="0" w:leader="none"/>
        <w:tab w:val="left" w:pos="566" w:leader="none"/>
        <w:tab w:val="left" w:pos="1133" w:leader="none"/>
        <w:tab w:val="left" w:pos="1699" w:leader="none"/>
        <w:tab w:val="left" w:pos="2266" w:leader="none"/>
        <w:tab w:val="left" w:pos="2832" w:leader="none"/>
        <w:tab w:val="left" w:pos="3398" w:leader="none"/>
        <w:tab w:val="left" w:pos="3965" w:leader="none"/>
        <w:tab w:val="left" w:pos="4531" w:leader="none"/>
        <w:tab w:val="left" w:pos="5098" w:leader="none"/>
        <w:tab w:val="left" w:pos="5664" w:leader="none"/>
        <w:tab w:val="left" w:pos="6230" w:leader="none"/>
        <w:tab w:val="left" w:pos="6797" w:leader="none"/>
        <w:tab w:val="left" w:pos="7363" w:leader="none"/>
        <w:tab w:val="left" w:pos="7930" w:leader="none"/>
        <w:tab w:val="left" w:pos="8496" w:leader="none"/>
        <w:tab w:val="left" w:pos="9000" w:leader="none"/>
        <w:tab w:val="left" w:pos="9062" w:leader="none"/>
        <w:tab w:val="right" w:pos="9360" w:leader="none"/>
        <w:tab w:val="left" w:pos="9629" w:leader="none"/>
        <w:tab w:val="left" w:pos="10195" w:leader="none"/>
        <w:tab w:val="left" w:pos="10762" w:leader="none"/>
      </w:tabs>
      <w:jc w:val="both"/>
    </w:pPr>
    <w:rPr>
      <w:rFonts w:ascii="Arial" w:hAnsi="Arial" w:cs="Calibri"/>
      <w:spacing w:val="-3"/>
      <w:szCs w:val="20"/>
      <w:lang w:val="en-US"/>
    </w:rPr>
  </w:style>
  <w:style w:type="paragraph" w:styleId="Recuodecorpodetexto21" w:customStyle="1">
    <w:name w:val="Recuo de corpo de texto 21"/>
    <w:basedOn w:val="Normal"/>
    <w:qFormat/>
    <w:rsid w:val="00454d75"/>
    <w:pPr>
      <w:widowControl w:val="false"/>
      <w:tabs>
        <w:tab w:val="left" w:pos="1800" w:leader="none"/>
      </w:tabs>
      <w:ind w:left="900" w:hanging="0"/>
      <w:jc w:val="both"/>
    </w:pPr>
    <w:rPr>
      <w:rFonts w:ascii="Arial" w:hAnsi="Arial" w:eastAsia="SimSun" w:cs="Arial"/>
      <w:kern w:val="2"/>
      <w:lang w:bidi="hi-IN"/>
    </w:rPr>
  </w:style>
  <w:style w:type="paragraph" w:styleId="Bodytext20" w:customStyle="1">
    <w:name w:val="bodytext20"/>
    <w:basedOn w:val="Normal"/>
    <w:qFormat/>
    <w:rsid w:val="00454d75"/>
    <w:pPr>
      <w:suppressAutoHyphens w:val="false"/>
      <w:spacing w:before="100" w:after="100"/>
    </w:pPr>
    <w:rPr>
      <w:rFonts w:eastAsia="Arial Unicode MS"/>
      <w:color w:val="000000"/>
    </w:rPr>
  </w:style>
  <w:style w:type="paragraph" w:styleId="Recuodecorpodetexto32" w:customStyle="1">
    <w:name w:val="Recuo de corpo de texto 32"/>
    <w:basedOn w:val="Normal"/>
    <w:qFormat/>
    <w:rsid w:val="00454d75"/>
    <w:pPr>
      <w:spacing w:before="0" w:after="120"/>
      <w:ind w:left="283" w:hanging="0"/>
    </w:pPr>
    <w:rPr>
      <w:sz w:val="16"/>
      <w:szCs w:val="16"/>
    </w:rPr>
  </w:style>
  <w:style w:type="paragraph" w:styleId="Western" w:customStyle="1">
    <w:name w:val="western"/>
    <w:basedOn w:val="Normal"/>
    <w:qFormat/>
    <w:rsid w:val="00454d75"/>
    <w:pPr>
      <w:suppressAutoHyphens w:val="false"/>
      <w:spacing w:before="280" w:after="119"/>
    </w:pPr>
    <w:rPr>
      <w:color w:val="000000"/>
    </w:rPr>
  </w:style>
  <w:style w:type="paragraph" w:styleId="BalloonText">
    <w:name w:val="Balloon Text"/>
    <w:basedOn w:val="Normal"/>
    <w:qFormat/>
    <w:rsid w:val="00454d75"/>
    <w:pPr/>
    <w:rPr>
      <w:rFonts w:ascii="Tahoma" w:hAnsi="Tahoma" w:cs="Tahoma"/>
      <w:sz w:val="16"/>
      <w:szCs w:val="16"/>
    </w:rPr>
  </w:style>
  <w:style w:type="paragraph" w:styleId="Default" w:customStyle="1">
    <w:name w:val="Default"/>
    <w:qFormat/>
    <w:rsid w:val="00452caa"/>
    <w:pPr>
      <w:widowControl/>
      <w:suppressAutoHyphens w:val="true"/>
      <w:bidi w:val="0"/>
      <w:jc w:val="left"/>
    </w:pPr>
    <w:rPr>
      <w:rFonts w:ascii="Arial" w:hAnsi="Arial" w:eastAsia="Calibri" w:cs="Arial"/>
      <w:color w:val="000000"/>
      <w:kern w:val="0"/>
      <w:sz w:val="24"/>
      <w:szCs w:val="24"/>
      <w:lang w:eastAsia="zh-CN" w:val="pt-BR" w:bidi="ar-SA"/>
    </w:rPr>
  </w:style>
  <w:style w:type="paragraph" w:styleId="Textoembloco1" w:customStyle="1">
    <w:name w:val="Texto em bloco1"/>
    <w:basedOn w:val="Normal"/>
    <w:qFormat/>
    <w:rsid w:val="004225f3"/>
    <w:pPr>
      <w:suppressAutoHyphens w:val="false"/>
      <w:ind w:left="567" w:right="-285" w:hanging="567"/>
      <w:jc w:val="both"/>
    </w:pPr>
    <w:rPr>
      <w:bCs/>
      <w:szCs w:val="20"/>
      <w:lang w:eastAsia="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59"/>
    <w:rsid w:val="009967b2"/>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www.comprasnet.gov.br/" TargetMode="External"/><Relationship Id="rId5" Type="http://schemas.openxmlformats.org/officeDocument/2006/relationships/hyperlink" Target="http://www.comprasnet.gov.br/" TargetMode="External"/><Relationship Id="rId6" Type="http://schemas.openxmlformats.org/officeDocument/2006/relationships/hyperlink" Target="http://www.ufvjm.edu.br/" TargetMode="External"/><Relationship Id="rId7" Type="http://schemas.openxmlformats.org/officeDocument/2006/relationships/hyperlink" Target="mailto:andersen.nascimento@ufvjm.edu.br" TargetMode="External"/><Relationship Id="rId8" Type="http://schemas.openxmlformats.org/officeDocument/2006/relationships/hyperlink" Target="mailto:andersen.nascimento@ufvjm.edu.br" TargetMode="External"/><Relationship Id="rId9" Type="http://schemas.openxmlformats.org/officeDocument/2006/relationships/hyperlink" Target="mailto:pregao@ufvjm.edu.br" TargetMode="External"/><Relationship Id="rId10" Type="http://schemas.openxmlformats.org/officeDocument/2006/relationships/hyperlink" Target="mailto:cinthia.bernardino @ufvjm.edu.br" TargetMode="External"/><Relationship Id="rId11" Type="http://schemas.openxmlformats.org/officeDocument/2006/relationships/hyperlink" Target="mailto:pregao@ufvjm.edu.br" TargetMode="External"/><Relationship Id="rId12" Type="http://schemas.openxmlformats.org/officeDocument/2006/relationships/hyperlink" Target="http://www.ufvjm.edu.br/" TargetMode="External"/><Relationship Id="rId13" Type="http://schemas.openxmlformats.org/officeDocument/2006/relationships/hyperlink" Target="http://www.ufvjm.edu.br/" TargetMode="External"/><Relationship Id="rId14" Type="http://schemas.openxmlformats.org/officeDocument/2006/relationships/hyperlink" Target="http://www.comprasnet.gov.br/" TargetMode="External"/><Relationship Id="rId15" Type="http://schemas.openxmlformats.org/officeDocument/2006/relationships/hyperlink" Target="http://www.comprasnet.gov.br/" TargetMode="External"/><Relationship Id="rId16" Type="http://schemas.openxmlformats.org/officeDocument/2006/relationships/hyperlink" Target="mailto:pregao@ufvjm.edu.br" TargetMode="External"/><Relationship Id="rId17" Type="http://schemas.openxmlformats.org/officeDocument/2006/relationships/hyperlink" Target="mailto:andersen.nascimento@ufvjm.edu.br" TargetMode="External"/><Relationship Id="rId18" Type="http://schemas.openxmlformats.org/officeDocument/2006/relationships/hyperlink" Target="mailto:pregao@ufvjm.edu.br" TargetMode="External"/><Relationship Id="rId19" Type="http://schemas.openxmlformats.org/officeDocument/2006/relationships/hyperlink" Target="mailto:alyne.moreira@ufvjm.edu.br" TargetMode="External"/><Relationship Id="rId20" Type="http://schemas.openxmlformats.org/officeDocument/2006/relationships/hyperlink" Target="http://www.comprasgovernamentais.gov.br/" TargetMode="External"/><Relationship Id="rId21" Type="http://schemas.openxmlformats.org/officeDocument/2006/relationships/hyperlink" Target="http://www.comprasnet.gov.br/" TargetMode="External"/><Relationship Id="rId22" Type="http://schemas.openxmlformats.org/officeDocument/2006/relationships/hyperlink" Target="http://www.comprasnet.gov.br/" TargetMode="External"/><Relationship Id="rId23" Type="http://schemas.openxmlformats.org/officeDocument/2006/relationships/hyperlink" Target="mailto:alyne.moreira@ufvjm.edu.br" TargetMode="External"/><Relationship Id="rId24" Type="http://schemas.openxmlformats.org/officeDocument/2006/relationships/hyperlink" Target="http://www.paineldeprecos.planejamento.gov.br/"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Application>LibreOffice/5.4.5.1$Windows_X86_64 LibreOffice_project/79c9829dd5d8054ec39a82dc51cd9eff340dbee8</Application>
  <Pages>36</Pages>
  <Words>16315</Words>
  <Characters>91866</Characters>
  <CharactersWithSpaces>108595</CharactersWithSpaces>
  <Paragraphs>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2018-09-20T20:49:00Z</dcterms:created>
  <dc:creator>ufvjm</dc:creator>
  <dc:description/>
  <dc:language>pt-BR</dc:language>
  <cp:lastModifiedBy/>
  <cp:lastPrinted>2018-08-07T11:53:00Z</cp:lastPrinted>
  <dcterms:modified xsi:type="dcterms:W3CDTF">2018-09-21T11:12:01Z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