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2.jpeg" ContentType="image/jpeg"/>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tbl>
      <w:tblPr>
        <w:jc w:val="left"/>
        <w:tblInd w:w="-73" w:type="dxa"/>
        <w:tblBorders>
          <w:top w:val="single" w:sz="6" w:space="0" w:color="000001"/>
          <w:left w:val="single" w:sz="6" w:space="0" w:color="000001"/>
          <w:bottom w:val="single" w:sz="6" w:space="0" w:color="000001"/>
          <w:insideH w:val="single" w:sz="6" w:space="0" w:color="000001"/>
          <w:right w:val="single" w:sz="6" w:space="0" w:color="000001"/>
          <w:insideV w:val="single" w:sz="6" w:space="0" w:color="000001"/>
        </w:tblBorders>
        <w:tblCellMar>
          <w:top w:w="0" w:type="dxa"/>
          <w:left w:w="52" w:type="dxa"/>
          <w:bottom w:w="0" w:type="dxa"/>
          <w:right w:w="108" w:type="dxa"/>
        </w:tblCellMar>
      </w:tblPr>
      <w:tblGrid>
        <w:gridCol w:w="9239"/>
      </w:tblGrid>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keepNext/>
              <w:spacing w:lineRule="auto" w:line="276" w:before="57" w:after="57"/>
              <w:ind w:left="277" w:right="0" w:hanging="0"/>
              <w:rPr>
                <w:rFonts w:cs="Times New Roman"/>
                <w:i/>
                <w:iCs/>
                <w:color w:val="000000"/>
                <w:sz w:val="18"/>
                <w:szCs w:val="18"/>
              </w:rPr>
            </w:pPr>
            <w:r>
              <w:rPr>
                <w:rFonts w:cs="Times New Roman"/>
                <w:i/>
                <w:iCs/>
                <w:color w:val="000000"/>
                <w:sz w:val="18"/>
                <w:szCs w:val="18"/>
              </w:rPr>
              <w:t>OBJETO:</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spacing w:lineRule="auto" w:line="276" w:before="57" w:after="57"/>
              <w:ind w:left="277" w:right="0" w:hanging="0"/>
              <w:jc w:val="both"/>
              <w:rPr>
                <w:rFonts w:cs="Times New Roman"/>
                <w:color w:val="000000"/>
                <w:sz w:val="18"/>
                <w:szCs w:val="18"/>
              </w:rPr>
            </w:pPr>
            <w:r>
              <w:rPr>
                <w:rFonts w:cs="Times New Roman"/>
                <w:color w:val="000000"/>
                <w:sz w:val="18"/>
                <w:szCs w:val="18"/>
              </w:rPr>
              <w:t>CONTRATAÇÃO DE EMPRESA ESPECIALIZADA PARA MINISTRAR CURSO DE LÍNGUA INGLESA – INSTRUMENTAL, NA MODALIDADE PRESENCIAL, A SER OFERECIDO A 30 SERVIDORES DA UNIVERSIDADE FEDERAL DOS VALES DO JEQUITINHONHA E MUCURI, NO CAMPUS DO MUCURI EM TEÓFILO OTONI (MG).</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keepNext/>
              <w:spacing w:lineRule="auto" w:line="276" w:before="57" w:after="57"/>
              <w:ind w:left="277" w:right="0" w:hanging="0"/>
              <w:rPr>
                <w:rFonts w:cs="Times New Roman"/>
                <w:i/>
                <w:iCs/>
                <w:color w:val="000000"/>
                <w:sz w:val="18"/>
                <w:szCs w:val="18"/>
              </w:rPr>
            </w:pPr>
            <w:r>
              <w:rPr>
                <w:rFonts w:cs="Times New Roman"/>
                <w:i/>
                <w:iCs/>
                <w:color w:val="000000"/>
                <w:sz w:val="18"/>
                <w:szCs w:val="18"/>
              </w:rPr>
              <w:t xml:space="preserve">Nº DA LICITAÇÃO: </w:t>
            </w:r>
          </w:p>
        </w:tc>
      </w:tr>
      <w:tr>
        <w:trPr>
          <w:trHeight w:val="1356" w:hRule="atLeast"/>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keepNext/>
              <w:spacing w:lineRule="auto" w:line="276" w:before="57" w:after="57"/>
              <w:ind w:left="277" w:right="0" w:hanging="0"/>
              <w:rPr>
                <w:rFonts w:cs="Liberation Serif"/>
                <w:color w:val="000000"/>
                <w:sz w:val="18"/>
                <w:szCs w:val="18"/>
              </w:rPr>
            </w:pPr>
            <w:r>
              <w:rPr>
                <w:rFonts w:cs="Liberation Serif"/>
                <w:color w:val="000000"/>
                <w:sz w:val="18"/>
                <w:szCs w:val="18"/>
              </w:rPr>
              <w:t xml:space="preserve">PREGÃO ELETRÔNICO 039/2018 </w:t>
            </w:r>
          </w:p>
          <w:p>
            <w:pPr>
              <w:pStyle w:val="Normal"/>
              <w:spacing w:lineRule="auto" w:line="276" w:before="57" w:after="57"/>
              <w:ind w:left="277" w:right="-284" w:hanging="0"/>
              <w:rPr>
                <w:rStyle w:val="LinkdaInternet"/>
                <w:rFonts w:cs="Liberation Serif"/>
                <w:sz w:val="18"/>
                <w:szCs w:val="18"/>
              </w:rPr>
            </w:pPr>
            <w:r>
              <w:rPr>
                <w:rFonts w:cs="Liberation Serif"/>
                <w:color w:val="000000"/>
                <w:sz w:val="18"/>
                <w:szCs w:val="18"/>
              </w:rPr>
              <w:t>LANÇAMENTO DAS PROPOSTAS:</w:t>
            </w:r>
            <w:r>
              <w:rPr>
                <w:rFonts w:cs="Liberation Serif"/>
                <w:b/>
                <w:bCs/>
                <w:color w:val="000000"/>
                <w:sz w:val="18"/>
                <w:szCs w:val="18"/>
              </w:rPr>
              <w:t xml:space="preserve"> </w:t>
            </w:r>
            <w:hyperlink r:id="rId2">
              <w:r>
                <w:rPr>
                  <w:rStyle w:val="LinkdaInternet"/>
                  <w:rFonts w:cs="Liberation Serif"/>
                  <w:sz w:val="18"/>
                  <w:szCs w:val="18"/>
                </w:rPr>
                <w:t>www.comprasgovernamentais.gov.br</w:t>
              </w:r>
            </w:hyperlink>
          </w:p>
          <w:p>
            <w:pPr>
              <w:pStyle w:val="Normal"/>
              <w:spacing w:lineRule="auto" w:line="276" w:before="57" w:after="57"/>
              <w:ind w:left="277" w:right="-284" w:hanging="0"/>
              <w:rPr>
                <w:rFonts w:cs="Liberation Serif"/>
                <w:color w:val="000000"/>
                <w:sz w:val="18"/>
                <w:szCs w:val="18"/>
              </w:rPr>
            </w:pPr>
            <w:r>
              <w:rPr>
                <w:rFonts w:cs="Liberation Serif"/>
                <w:color w:val="000000"/>
                <w:sz w:val="18"/>
                <w:szCs w:val="18"/>
              </w:rPr>
              <w:t>RETIRADA DO EDITAL E ANEXOS:</w:t>
            </w:r>
            <w:r>
              <w:rPr>
                <w:rFonts w:cs="Liberation Serif"/>
                <w:b/>
                <w:bCs/>
                <w:color w:val="000000"/>
                <w:sz w:val="18"/>
                <w:szCs w:val="18"/>
              </w:rPr>
              <w:t xml:space="preserve"> </w:t>
            </w:r>
            <w:hyperlink r:id="rId3">
              <w:r>
                <w:rPr>
                  <w:rStyle w:val="LinkdaInternet"/>
                  <w:rFonts w:cs="Liberation Serif"/>
                  <w:sz w:val="18"/>
                  <w:szCs w:val="18"/>
                </w:rPr>
                <w:t>www.comprasgovernamentais.gov.br</w:t>
              </w:r>
            </w:hyperlink>
            <w:r>
              <w:rPr>
                <w:rFonts w:cs="Liberation Serif"/>
                <w:color w:val="000000"/>
                <w:sz w:val="18"/>
                <w:szCs w:val="18"/>
              </w:rPr>
              <w:t xml:space="preserve"> e </w:t>
            </w:r>
            <w:hyperlink r:id="rId4">
              <w:r>
                <w:rPr>
                  <w:rStyle w:val="LinkdaInternet"/>
                  <w:rFonts w:cs="Liberation Serif"/>
                  <w:sz w:val="18"/>
                  <w:szCs w:val="18"/>
                </w:rPr>
                <w:t>www.ufvjm.edu.br</w:t>
              </w:r>
            </w:hyperlink>
            <w:r>
              <w:rPr>
                <w:rFonts w:cs="Liberation Serif"/>
                <w:color w:val="000000"/>
                <w:sz w:val="18"/>
                <w:szCs w:val="18"/>
              </w:rPr>
              <w:t xml:space="preserve"> </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keepNext/>
              <w:spacing w:lineRule="auto" w:line="276" w:before="57" w:after="57"/>
              <w:ind w:left="277" w:right="0" w:hanging="0"/>
              <w:rPr>
                <w:rFonts w:cs="Times New Roman"/>
                <w:i/>
                <w:iCs/>
                <w:color w:val="000000"/>
                <w:sz w:val="18"/>
                <w:szCs w:val="18"/>
              </w:rPr>
            </w:pPr>
            <w:r>
              <w:rPr>
                <w:rFonts w:cs="Times New Roman"/>
                <w:i/>
                <w:iCs/>
                <w:color w:val="000000"/>
                <w:sz w:val="18"/>
                <w:szCs w:val="18"/>
              </w:rPr>
              <w:t>Nº UASG/CNPJ:</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keepNext/>
              <w:shd w:fill="FFFFFF" w:val="clear"/>
              <w:spacing w:lineRule="auto" w:line="276" w:before="57" w:after="57"/>
              <w:ind w:left="277" w:right="0" w:hanging="0"/>
              <w:rPr>
                <w:rFonts w:cs="Liberation Serif"/>
                <w:color w:val="000000"/>
                <w:sz w:val="18"/>
                <w:szCs w:val="18"/>
                <w:shd w:fill="FFFFFF" w:val="clear"/>
              </w:rPr>
            </w:pPr>
            <w:r>
              <w:rPr>
                <w:rFonts w:cs="Liberation Serif"/>
                <w:color w:val="000000"/>
                <w:sz w:val="18"/>
                <w:szCs w:val="18"/>
              </w:rPr>
              <w:t>158673 - UNIVERSIDADE FEDERAL DOS VALES DO JEQUITINHONHA E MUCURI -</w:t>
            </w:r>
            <w:r>
              <w:rPr>
                <w:rFonts w:cs="Liberation Serif"/>
                <w:color w:val="000000"/>
                <w:sz w:val="18"/>
                <w:szCs w:val="18"/>
                <w:shd w:fill="FFFFFF" w:val="clear"/>
              </w:rPr>
              <w:t xml:space="preserve"> Campus do Mucuri. Rua do Cruzeiro, 01, Jardim São Paulo, Teófilo Otoni (MG), CEP 39803-371.</w:t>
            </w:r>
          </w:p>
          <w:p>
            <w:pPr>
              <w:pStyle w:val="Normal"/>
              <w:shd w:fill="FFFFFF" w:val="clear"/>
              <w:spacing w:lineRule="auto" w:line="276" w:before="57" w:after="57"/>
              <w:ind w:left="277" w:right="0" w:hanging="0"/>
              <w:rPr>
                <w:rFonts w:cs="Liberation Serif"/>
                <w:color w:val="000000"/>
                <w:sz w:val="18"/>
                <w:szCs w:val="18"/>
                <w:shd w:fill="FFFFFF" w:val="clear"/>
              </w:rPr>
            </w:pPr>
            <w:r>
              <w:rPr>
                <w:rFonts w:cs="Liberation Serif"/>
                <w:color w:val="000000"/>
                <w:sz w:val="18"/>
                <w:szCs w:val="18"/>
                <w:shd w:fill="FFFFFF" w:val="clear"/>
              </w:rPr>
              <w:t xml:space="preserve"> </w:t>
            </w:r>
            <w:r>
              <w:rPr>
                <w:rFonts w:cs="Liberation Serif"/>
                <w:color w:val="000000"/>
                <w:sz w:val="18"/>
                <w:szCs w:val="18"/>
                <w:shd w:fill="FFFFFF" w:val="clear"/>
              </w:rPr>
              <w:t>CNPJ 16.888.315/0002-38</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keepNext/>
              <w:spacing w:lineRule="auto" w:line="276" w:before="57" w:after="57"/>
              <w:ind w:left="277" w:right="0" w:hanging="0"/>
              <w:rPr>
                <w:rFonts w:cs="Times New Roman"/>
                <w:i/>
                <w:iCs/>
                <w:color w:val="000000"/>
                <w:sz w:val="18"/>
                <w:szCs w:val="18"/>
              </w:rPr>
            </w:pPr>
            <w:r>
              <w:rPr>
                <w:rFonts w:cs="Times New Roman"/>
                <w:i/>
                <w:iCs/>
                <w:color w:val="000000"/>
                <w:sz w:val="18"/>
                <w:szCs w:val="18"/>
              </w:rPr>
              <w:t>PREGOEIRO RESPONSÁVEL PELA CONDUÇÃO DO PROCESSO:</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keepNext/>
              <w:spacing w:lineRule="auto" w:line="276" w:before="57" w:after="57"/>
              <w:ind w:left="277" w:right="0" w:hanging="0"/>
              <w:rPr>
                <w:rFonts w:cs="Liberation Serif"/>
                <w:sz w:val="18"/>
                <w:szCs w:val="18"/>
              </w:rPr>
            </w:pPr>
            <w:r>
              <w:rPr>
                <w:rFonts w:cs="Arial"/>
                <w:sz w:val="18"/>
                <w:szCs w:val="18"/>
              </w:rPr>
              <w:t>Rosalina Alves Prates Soares Cruz</w:t>
            </w:r>
            <w:r>
              <w:rPr>
                <w:rFonts w:cs="Liberation Serif"/>
                <w:sz w:val="18"/>
                <w:szCs w:val="18"/>
              </w:rPr>
              <w:t xml:space="preserve"> – </w:t>
            </w:r>
            <w:hyperlink r:id="rId5">
              <w:r>
                <w:rPr>
                  <w:rStyle w:val="LinkdaInternet"/>
                  <w:rFonts w:cs="Liberation Serif"/>
                  <w:sz w:val="18"/>
                  <w:szCs w:val="18"/>
                </w:rPr>
                <w:t>rosalina.cruz@ufvjm.edu.br</w:t>
              </w:r>
            </w:hyperlink>
            <w:r>
              <w:rPr>
                <w:rFonts w:cs="Liberation Serif"/>
                <w:sz w:val="18"/>
                <w:szCs w:val="18"/>
              </w:rPr>
              <w:t xml:space="preserve"> –</w:t>
            </w:r>
            <w:r>
              <w:rPr>
                <w:rFonts w:cs="Liberation Serif"/>
                <w:color w:val="FF0000"/>
                <w:sz w:val="18"/>
                <w:szCs w:val="18"/>
              </w:rPr>
              <w:t xml:space="preserve"> </w:t>
            </w:r>
            <w:r>
              <w:rPr>
                <w:rFonts w:cs="Liberation Serif"/>
                <w:sz w:val="18"/>
                <w:szCs w:val="18"/>
              </w:rPr>
              <w:t>(33) 3529-2731</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keepNext/>
              <w:spacing w:lineRule="auto" w:line="276" w:before="57" w:after="57"/>
              <w:ind w:left="277" w:right="0" w:hanging="0"/>
              <w:rPr>
                <w:rFonts w:cs="Times New Roman"/>
                <w:i/>
                <w:iCs/>
                <w:color w:val="000000"/>
                <w:sz w:val="18"/>
                <w:szCs w:val="18"/>
              </w:rPr>
            </w:pPr>
            <w:r>
              <w:rPr>
                <w:rFonts w:cs="Times New Roman"/>
                <w:i/>
                <w:iCs/>
                <w:color w:val="000000"/>
                <w:sz w:val="18"/>
                <w:szCs w:val="18"/>
              </w:rPr>
              <w:t>ANEXOS:</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spacing w:lineRule="auto" w:line="276" w:before="57" w:after="57"/>
              <w:ind w:left="720" w:right="0" w:hanging="0"/>
              <w:rPr>
                <w:rFonts w:cs="Times New Roman"/>
                <w:sz w:val="18"/>
                <w:szCs w:val="18"/>
              </w:rPr>
            </w:pPr>
            <w:r>
              <w:rPr>
                <w:rFonts w:cs="Times New Roman"/>
                <w:sz w:val="18"/>
                <w:szCs w:val="18"/>
              </w:rPr>
              <w:t>ANEXO I – Termo de Referência</w:t>
            </w:r>
          </w:p>
          <w:p>
            <w:pPr>
              <w:pStyle w:val="Normal"/>
              <w:spacing w:lineRule="auto" w:line="276" w:before="57" w:after="57"/>
              <w:ind w:left="720" w:right="0" w:hanging="0"/>
              <w:rPr>
                <w:rFonts w:cs="Times New Roman"/>
                <w:sz w:val="18"/>
                <w:szCs w:val="18"/>
              </w:rPr>
            </w:pPr>
            <w:r>
              <w:rPr>
                <w:rFonts w:cs="Times New Roman"/>
                <w:sz w:val="18"/>
                <w:szCs w:val="18"/>
              </w:rPr>
              <w:t>ANEXO II – Minuta de Contrato</w:t>
            </w:r>
          </w:p>
          <w:p>
            <w:pPr>
              <w:pStyle w:val="Normal"/>
              <w:spacing w:lineRule="auto" w:line="276" w:before="57" w:after="57"/>
              <w:ind w:left="720" w:right="0" w:hanging="0"/>
              <w:rPr>
                <w:rFonts w:cs="Times New Roman"/>
                <w:sz w:val="18"/>
                <w:szCs w:val="18"/>
              </w:rPr>
            </w:pPr>
            <w:r>
              <w:rPr>
                <w:rFonts w:cs="Times New Roman"/>
                <w:sz w:val="18"/>
                <w:szCs w:val="18"/>
              </w:rPr>
              <w:t>ANEXO III – Modelo Proposta</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keepNext/>
              <w:spacing w:lineRule="auto" w:line="276" w:before="57" w:after="57"/>
              <w:ind w:left="277" w:right="0" w:hanging="0"/>
              <w:rPr>
                <w:rFonts w:cs="Times New Roman"/>
                <w:i/>
                <w:iCs/>
                <w:color w:val="000000"/>
                <w:sz w:val="18"/>
                <w:szCs w:val="18"/>
              </w:rPr>
            </w:pPr>
            <w:r>
              <w:rPr>
                <w:rFonts w:cs="Times New Roman"/>
                <w:i/>
                <w:iCs/>
                <w:color w:val="000000"/>
                <w:sz w:val="18"/>
                <w:szCs w:val="18"/>
              </w:rPr>
              <w:t>ESCLARECIMENTOS:</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keepNext/>
              <w:spacing w:lineRule="auto" w:line="276" w:before="57" w:after="57"/>
              <w:ind w:left="277" w:right="0" w:hanging="0"/>
              <w:rPr>
                <w:rFonts w:cs="Liberation Serif"/>
                <w:color w:val="FF0000"/>
                <w:sz w:val="18"/>
                <w:szCs w:val="18"/>
              </w:rPr>
            </w:pPr>
            <w:r>
              <w:rPr>
                <w:rFonts w:cs="Liberation Serif"/>
                <w:color w:val="000000"/>
                <w:sz w:val="18"/>
                <w:szCs w:val="18"/>
              </w:rPr>
              <w:t>ATÉ 3 (TRÊS) DIAS ÚTEIS ANTERIORES À DATA FIXADA PARA ABERTURA DA SESSÃO PÚBLICA DE LANCES, PODERÃO SER SOLICITADOS ESCLARECIMENTOS REFERENTES AO PROCESSO LICITATÓRIO ATRAVÉS DO E-MAIL:</w:t>
            </w:r>
            <w:r>
              <w:rPr>
                <w:rStyle w:val="LinkdaInternet"/>
                <w:rFonts w:cs="Liberation Serif"/>
                <w:sz w:val="18"/>
                <w:szCs w:val="18"/>
              </w:rPr>
              <w:t xml:space="preserve"> rosalina.cruz@ufvjm.edu.br</w:t>
            </w:r>
            <w:r>
              <w:rPr>
                <w:sz w:val="18"/>
                <w:szCs w:val="18"/>
              </w:rPr>
              <w:t xml:space="preserve"> E </w:t>
            </w:r>
            <w:hyperlink r:id="rId6">
              <w:r>
                <w:rPr>
                  <w:rStyle w:val="LinkdaInternet"/>
                  <w:sz w:val="18"/>
                  <w:szCs w:val="18"/>
                </w:rPr>
                <w:t>licita.to@ufvjm.edu.br</w:t>
              </w:r>
            </w:hyperlink>
            <w:r>
              <w:rPr>
                <w:sz w:val="18"/>
                <w:szCs w:val="18"/>
              </w:rPr>
              <w:t xml:space="preserve"> .</w:t>
            </w:r>
            <w:r>
              <w:rPr>
                <w:rFonts w:cs="Liberation Serif"/>
                <w:color w:val="FF0000"/>
                <w:sz w:val="18"/>
                <w:szCs w:val="18"/>
              </w:rPr>
              <w:t xml:space="preserve"> </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keepNext/>
              <w:spacing w:lineRule="auto" w:line="276" w:before="57" w:after="57"/>
              <w:ind w:left="277" w:right="0" w:hanging="0"/>
              <w:rPr>
                <w:rFonts w:cs="Times New Roman"/>
                <w:i/>
                <w:iCs/>
                <w:color w:val="000000"/>
                <w:sz w:val="18"/>
                <w:szCs w:val="18"/>
              </w:rPr>
            </w:pPr>
            <w:r>
              <w:rPr>
                <w:rFonts w:cs="Times New Roman"/>
                <w:i/>
                <w:iCs/>
                <w:color w:val="000000"/>
                <w:sz w:val="18"/>
                <w:szCs w:val="18"/>
              </w:rPr>
              <w:t>IMPUGNAÇÕES:</w:t>
            </w:r>
          </w:p>
        </w:tc>
      </w:tr>
      <w:tr>
        <w:trPr>
          <w:cantSplit w:val="false"/>
        </w:trPr>
        <w:tc>
          <w:tcPr>
            <w:tcW w:w="923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keepNext/>
              <w:spacing w:lineRule="auto" w:line="276" w:before="57" w:after="57"/>
              <w:ind w:left="277" w:right="0" w:hanging="0"/>
              <w:rPr>
                <w:rFonts w:cs="Liberation Serif"/>
                <w:color w:val="000000"/>
                <w:sz w:val="18"/>
                <w:szCs w:val="18"/>
              </w:rPr>
            </w:pPr>
            <w:r>
              <w:rPr>
                <w:rFonts w:cs="Liberation Serif"/>
                <w:color w:val="000000"/>
                <w:sz w:val="18"/>
                <w:szCs w:val="18"/>
              </w:rPr>
              <w:t xml:space="preserve">ATÉ 02 (DOIS) DIAS ÚTEIS ANTES DA DATA FIXADA PARA A SESSÃO PÚBLICA DE LANCES, QUALQUER PESSOA PODERÁ IMPUGNAR O ATO CONVOCATÓRIO DO PREGÃO, ATRAVÉS DO E-MAIL: </w:t>
            </w:r>
            <w:hyperlink r:id="rId7">
              <w:r>
                <w:rPr>
                  <w:rStyle w:val="LinkdaInternet"/>
                  <w:rFonts w:cs="Liberation Serif"/>
                  <w:sz w:val="18"/>
                  <w:szCs w:val="18"/>
                </w:rPr>
                <w:t>rosalina.cruz@ufvjm.edu.br</w:t>
              </w:r>
            </w:hyperlink>
            <w:r>
              <w:rPr>
                <w:sz w:val="18"/>
                <w:szCs w:val="18"/>
              </w:rPr>
              <w:t xml:space="preserve"> </w:t>
            </w:r>
            <w:r>
              <w:rPr>
                <w:rFonts w:cs="Liberation Serif"/>
                <w:color w:val="FF0000"/>
                <w:sz w:val="18"/>
                <w:szCs w:val="18"/>
              </w:rPr>
              <w:t xml:space="preserve"> </w:t>
            </w:r>
            <w:r>
              <w:rPr>
                <w:rFonts w:cs="Liberation Serif"/>
                <w:sz w:val="18"/>
                <w:szCs w:val="18"/>
              </w:rPr>
              <w:t xml:space="preserve">E </w:t>
            </w:r>
            <w:hyperlink r:id="rId8">
              <w:r>
                <w:rPr>
                  <w:rStyle w:val="LinkdaInternet"/>
                  <w:rFonts w:cs="Liberation Serif"/>
                  <w:sz w:val="18"/>
                  <w:szCs w:val="18"/>
                </w:rPr>
                <w:t>licita.to@ufvjm.edu.br</w:t>
              </w:r>
            </w:hyperlink>
            <w:r>
              <w:rPr>
                <w:rFonts w:cs="Liberation Serif"/>
                <w:sz w:val="18"/>
                <w:szCs w:val="18"/>
              </w:rPr>
              <w:t xml:space="preserve"> </w:t>
            </w:r>
            <w:r>
              <w:rPr>
                <w:rFonts w:cs="Liberation Serif"/>
                <w:color w:val="000000"/>
                <w:sz w:val="18"/>
                <w:szCs w:val="18"/>
              </w:rPr>
              <w:t>.</w:t>
            </w:r>
          </w:p>
        </w:tc>
      </w:tr>
    </w:tbl>
    <w:p>
      <w:pPr>
        <w:pStyle w:val="Normal"/>
        <w:numPr>
          <w:ilvl w:val="0"/>
          <w:numId w:val="1"/>
        </w:numPr>
        <w:spacing w:beforeAutospacing="1" w:after="0"/>
        <w:ind w:left="3402" w:right="0" w:hanging="360"/>
        <w:jc w:val="center"/>
        <w:rPr>
          <w:rFonts w:cs="Times New Roman" w:ascii="Times New Roman" w:hAnsi="Times New Roman"/>
          <w:color w:val="000000"/>
          <w:sz w:val="24"/>
        </w:rPr>
      </w:pPr>
      <w:r>
        <w:rPr>
          <w:rFonts w:cs="Times New Roman" w:ascii="Times New Roman" w:hAnsi="Times New Roman"/>
          <w:color w:val="000000"/>
          <w:sz w:val="24"/>
        </w:rPr>
      </w:r>
    </w:p>
    <w:p>
      <w:pPr>
        <w:pStyle w:val="Normal"/>
        <w:pageBreakBefore/>
        <w:ind w:left="277" w:right="0" w:hanging="0"/>
        <w:jc w:val="center"/>
        <w:rPr>
          <w:rFonts w:cs="Liberation Serif"/>
          <w:b/>
          <w:bCs/>
          <w:color w:val="000000"/>
          <w:szCs w:val="20"/>
        </w:rPr>
      </w:pPr>
      <w:r>
        <w:rPr>
          <w:rFonts w:cs="Liberation Serif"/>
          <w:b/>
          <w:bCs/>
          <w:color w:val="000000"/>
          <w:szCs w:val="20"/>
        </w:rPr>
        <w:t>PREGÃO ELETRÔNICO Nº 039/2018</w:t>
      </w:r>
    </w:p>
    <w:p>
      <w:pPr>
        <w:pStyle w:val="Normal"/>
        <w:ind w:left="277" w:right="0" w:hanging="0"/>
        <w:jc w:val="center"/>
        <w:rPr>
          <w:rFonts w:cs="Liberation Serif"/>
          <w:color w:val="000000"/>
          <w:szCs w:val="20"/>
        </w:rPr>
      </w:pPr>
      <w:r>
        <w:rPr>
          <w:rFonts w:cs="Liberation Serif"/>
          <w:color w:val="000000"/>
          <w:szCs w:val="20"/>
        </w:rPr>
        <w:t>(Processo Administrativo n.° 23708.000086/2018-46)</w:t>
      </w:r>
    </w:p>
    <w:p>
      <w:pPr>
        <w:pStyle w:val="Normal"/>
        <w:ind w:left="277" w:right="0" w:hanging="0"/>
        <w:jc w:val="center"/>
        <w:rPr/>
      </w:pPr>
      <w:r>
        <w:rPr/>
      </w:r>
    </w:p>
    <w:p>
      <w:pPr>
        <w:pStyle w:val="Normal"/>
        <w:spacing w:lineRule="auto" w:line="276" w:before="0" w:after="119"/>
        <w:ind w:left="277" w:right="-28" w:hanging="0"/>
        <w:jc w:val="both"/>
        <w:rPr>
          <w:rFonts w:cs="Liberation Serif"/>
          <w:color w:val="000000"/>
          <w:szCs w:val="20"/>
        </w:rPr>
      </w:pPr>
      <w:r>
        <w:rPr>
          <w:rFonts w:cs="Liberation Serif"/>
          <w:color w:val="000000"/>
          <w:szCs w:val="20"/>
        </w:rPr>
        <w:t xml:space="preserve">Torna-se público, para conhecimento dos interessados, que a Universidade Federal dos Vales do Jequitinhonha e Mucuri, </w:t>
      </w:r>
      <w:r>
        <w:rPr>
          <w:rFonts w:cs="Liberation Serif"/>
          <w:szCs w:val="20"/>
        </w:rPr>
        <w:t>com sede na BR 367, Km 583, nº 5000, Alto da Jacuba, Diamantina (MG),</w:t>
      </w:r>
      <w:r>
        <w:rPr>
          <w:rFonts w:cs="Liberation Serif"/>
          <w:color w:val="000000"/>
          <w:szCs w:val="20"/>
        </w:rPr>
        <w:t xml:space="preserve"> realizará licitação, na modalidade PREGÃO, na forma ELETRÔNICA, </w:t>
      </w:r>
      <w:r>
        <w:rPr>
          <w:rFonts w:cs="Liberation Serif"/>
          <w:b/>
          <w:bCs/>
          <w:color w:val="000000"/>
          <w:szCs w:val="20"/>
        </w:rPr>
        <w:t>do tipo menor preço,</w:t>
      </w:r>
      <w:r>
        <w:rPr>
          <w:rFonts w:cs="Liberation Serif"/>
          <w:color w:val="000000"/>
          <w:szCs w:val="20"/>
        </w:rPr>
        <w:t xml:space="preserve"> nos termos da Lei nº 10.520, de 17 de julho de 2002, do Decreto nº 5.450, de 31 de maio de 2005, do Decreto 2.271, de 7 de julho de 1997, da Instrução Normativa SEGES/MP nº 5, de 25 de maio de 2017, e nº 02, de 11 de outubro de 2010, da Lei Complementar n° 123, de 14 de dezembro de 2006, da Lei nº 11.488, de 15 de junho de 2007, do Decreto n° 8.538, de 06 de outubro de 2015, aplicando-se, subsidiariamente, a Lei nº 8.666, de 21 de junho de 1993, e as exigências estabelecidas neste Edital e seus anexos, constantes do processo 23708.000086/2018-46. </w:t>
      </w:r>
    </w:p>
    <w:p>
      <w:pPr>
        <w:pStyle w:val="Normal"/>
        <w:spacing w:lineRule="auto" w:line="276" w:before="0" w:after="119"/>
        <w:ind w:left="277" w:right="-28" w:hanging="0"/>
        <w:jc w:val="both"/>
        <w:rPr>
          <w:rFonts w:cs="Liberation Serif"/>
          <w:color w:val="000000"/>
          <w:szCs w:val="20"/>
        </w:rPr>
      </w:pPr>
      <w:r>
        <w:rPr>
          <w:rFonts w:cs="Liberation Serif"/>
          <w:color w:val="000000"/>
          <w:szCs w:val="20"/>
        </w:rPr>
        <w:t>A abertura da presente licitação dar-se-á em sessão pública, por meio de sistema eletrônico (comunicação pela Internet), dirigida pelo (a) Pregoeiro (a), a ser realizada conforme indicado abaixo, de acordo com a legislação mencionada no preâmbulo deste Edital. Todas as referências de tempo no Edital, no aviso e durante a sessão pública observarão obrigatoriamente o horário de Brasília – DF e, desta forma, serão registradas no sistema eletrônico e na documentação relativa ao certame.</w:t>
      </w:r>
    </w:p>
    <w:p>
      <w:pPr>
        <w:pStyle w:val="Normal"/>
        <w:ind w:left="277" w:right="0" w:hanging="0"/>
        <w:jc w:val="both"/>
        <w:rPr>
          <w:rFonts w:cs="Arial"/>
          <w:b/>
          <w:bCs/>
          <w:color w:val="000000"/>
          <w:szCs w:val="20"/>
        </w:rPr>
      </w:pPr>
      <w:r>
        <w:rPr>
          <w:rFonts w:cs="Arial"/>
          <w:b/>
          <w:bCs/>
          <w:color w:val="000000"/>
          <w:szCs w:val="20"/>
        </w:rPr>
        <w:t>PRAZO PARA ENVIO DE PROPOSTA: da data da liberação do Edital no comprasgovernamentais até o horário limite de início da sessão pública.</w:t>
      </w:r>
    </w:p>
    <w:p>
      <w:pPr>
        <w:pStyle w:val="Normal"/>
        <w:ind w:left="277" w:right="0" w:hanging="0"/>
        <w:jc w:val="both"/>
        <w:rPr/>
      </w:pPr>
      <w:r>
        <w:rPr/>
      </w:r>
    </w:p>
    <w:p>
      <w:pPr>
        <w:pStyle w:val="Normal"/>
        <w:ind w:left="277" w:right="0" w:hanging="0"/>
        <w:rPr>
          <w:rFonts w:cs="Liberation Serif"/>
          <w:b/>
          <w:bCs/>
          <w:color w:val="00000A"/>
          <w:szCs w:val="20"/>
          <w:shd w:fill="FFFF00" w:val="clear"/>
        </w:rPr>
      </w:pPr>
      <w:r>
        <w:rPr>
          <w:rFonts w:cs="Liberation Serif"/>
          <w:b/>
          <w:bCs/>
          <w:color w:val="000000"/>
          <w:szCs w:val="20"/>
          <w:shd w:fill="FFFF00" w:val="clear"/>
        </w:rPr>
        <w:t>DATA DA ABERTUR</w:t>
      </w:r>
      <w:r>
        <w:rPr>
          <w:rFonts w:cs="Liberation Serif"/>
          <w:b/>
          <w:bCs/>
          <w:color w:val="00000A"/>
          <w:szCs w:val="20"/>
          <w:shd w:fill="FFFF00" w:val="clear"/>
        </w:rPr>
        <w:t>A: 1</w:t>
      </w:r>
      <w:r>
        <w:rPr>
          <w:rFonts w:cs="Liberation Serif"/>
          <w:b/>
          <w:bCs/>
          <w:color w:val="00000A"/>
          <w:szCs w:val="20"/>
          <w:shd w:fill="FFFF00" w:val="clear"/>
        </w:rPr>
        <w:t>9</w:t>
      </w:r>
      <w:r>
        <w:rPr>
          <w:rFonts w:cs="Liberation Serif"/>
          <w:b/>
          <w:bCs/>
          <w:color w:val="00000A"/>
          <w:szCs w:val="20"/>
          <w:shd w:fill="FFFF00" w:val="clear"/>
        </w:rPr>
        <w:t>/10/2018</w:t>
      </w:r>
    </w:p>
    <w:p>
      <w:pPr>
        <w:pStyle w:val="Normal"/>
        <w:ind w:left="277" w:right="0" w:hanging="0"/>
        <w:rPr>
          <w:rFonts w:cs="Liberation Serif"/>
          <w:color w:val="000000"/>
          <w:szCs w:val="20"/>
          <w:shd w:fill="FFFF00" w:val="clear"/>
        </w:rPr>
      </w:pPr>
      <w:r>
        <w:rPr>
          <w:rFonts w:cs="Liberation Serif"/>
          <w:b/>
          <w:bCs/>
          <w:color w:val="000000"/>
          <w:szCs w:val="20"/>
          <w:shd w:fill="FFFF00" w:val="clear"/>
        </w:rPr>
        <w:t>HORA DA ABERTURA: 09:00 horas (Horário de Brasília</w:t>
      </w:r>
      <w:r>
        <w:rPr>
          <w:rFonts w:cs="Liberation Serif"/>
          <w:color w:val="000000"/>
          <w:szCs w:val="20"/>
          <w:shd w:fill="FFFF00" w:val="clear"/>
        </w:rPr>
        <w:t>)</w:t>
      </w:r>
    </w:p>
    <w:p>
      <w:pPr>
        <w:pStyle w:val="Normal"/>
        <w:ind w:left="277" w:right="0" w:hanging="0"/>
        <w:rPr/>
      </w:pPr>
      <w:r>
        <w:rPr/>
      </w:r>
    </w:p>
    <w:p>
      <w:pPr>
        <w:pStyle w:val="Normal"/>
        <w:ind w:left="142" w:right="0" w:hanging="0"/>
        <w:rPr>
          <w:rFonts w:cs="Liberation Serif"/>
          <w:color w:val="000000"/>
          <w:szCs w:val="20"/>
        </w:rPr>
      </w:pPr>
      <w:r>
        <w:rPr>
          <w:rFonts w:cs="Liberation Serif"/>
          <w:b/>
          <w:bCs/>
          <w:color w:val="000000"/>
          <w:szCs w:val="20"/>
        </w:rPr>
        <w:t xml:space="preserve">  </w:t>
      </w:r>
      <w:r>
        <w:rPr>
          <w:rFonts w:cs="Liberation Serif"/>
          <w:b/>
          <w:bCs/>
          <w:color w:val="000000"/>
          <w:szCs w:val="20"/>
        </w:rPr>
        <w:t>ENDEREÇO ELETRÔNICO</w:t>
      </w:r>
      <w:r>
        <w:rPr>
          <w:rFonts w:cs="Liberation Serif"/>
          <w:color w:val="000000"/>
          <w:szCs w:val="20"/>
        </w:rPr>
        <w:t xml:space="preserve">: </w:t>
      </w:r>
      <w:r>
        <w:rPr>
          <w:rFonts w:cs="Liberation Serif"/>
          <w:b/>
          <w:bCs/>
          <w:color w:val="000000"/>
          <w:szCs w:val="20"/>
          <w:u w:val="single"/>
        </w:rPr>
        <w:t>www.comprasgovernamentais.gov.br</w:t>
      </w:r>
      <w:r>
        <w:rPr>
          <w:rFonts w:cs="Liberation Serif"/>
          <w:color w:val="000000"/>
          <w:szCs w:val="20"/>
        </w:rPr>
        <w:t xml:space="preserve"> </w:t>
      </w:r>
    </w:p>
    <w:p>
      <w:pPr>
        <w:pStyle w:val="Normal"/>
        <w:ind w:left="142" w:right="0" w:hanging="0"/>
        <w:rPr>
          <w:rFonts w:cs="Liberation Serif"/>
          <w:b/>
          <w:bCs/>
          <w:color w:val="000000"/>
          <w:szCs w:val="20"/>
        </w:rPr>
      </w:pPr>
      <w:r>
        <w:rPr>
          <w:rFonts w:cs="Liberation Serif"/>
          <w:b/>
          <w:bCs/>
          <w:color w:val="000000"/>
          <w:szCs w:val="20"/>
        </w:rPr>
        <w:t xml:space="preserve">  </w:t>
      </w:r>
      <w:r>
        <w:rPr>
          <w:rFonts w:cs="Liberation Serif"/>
          <w:b/>
          <w:bCs/>
          <w:color w:val="000000"/>
          <w:szCs w:val="20"/>
        </w:rPr>
        <w:t>UASG: 158673</w:t>
      </w:r>
    </w:p>
    <w:p>
      <w:pPr>
        <w:pStyle w:val="Normal"/>
        <w:numPr>
          <w:ilvl w:val="0"/>
          <w:numId w:val="2"/>
        </w:numPr>
        <w:spacing w:lineRule="auto" w:line="276" w:before="482" w:after="119"/>
        <w:jc w:val="both"/>
        <w:outlineLvl w:val="0"/>
        <w:rPr>
          <w:rFonts w:cs="Arial"/>
          <w:b/>
          <w:bCs/>
          <w:color w:val="000000"/>
          <w:szCs w:val="20"/>
        </w:rPr>
      </w:pPr>
      <w:r>
        <w:rPr>
          <w:rFonts w:cs="Arial"/>
          <w:b/>
          <w:bCs/>
          <w:color w:val="000000"/>
          <w:szCs w:val="20"/>
        </w:rPr>
        <w:t xml:space="preserve">DO OBJETO </w:t>
      </w:r>
    </w:p>
    <w:p>
      <w:pPr>
        <w:pStyle w:val="Normal"/>
        <w:numPr>
          <w:ilvl w:val="1"/>
          <w:numId w:val="2"/>
        </w:numPr>
        <w:jc w:val="both"/>
        <w:rPr>
          <w:rFonts w:cs="Liberation Serif"/>
          <w:color w:val="000000"/>
          <w:szCs w:val="20"/>
        </w:rPr>
      </w:pPr>
      <w:r>
        <w:rPr>
          <w:rFonts w:cs="Liberation Serif"/>
          <w:b/>
          <w:bCs/>
          <w:color w:val="000000"/>
          <w:szCs w:val="20"/>
        </w:rPr>
        <w:t>CONTRATAÇÃO DE EMPRESA ESPECIALIZADA PARA MINISTRAR CURSO DE LÍNGUA INGLESA – INSTRUMENTAL, NA MODALIDADE PRESENCIAL, A SER OFERECIDO A 30 SERVIDORES DA UNIVERSIDADE FEDERAL DOS VALES DO JEQUITINHONHA E MUCURI, NO CAMPUS DO MUCURI EM TEÓFILO OTONI (MG)</w:t>
      </w:r>
      <w:r>
        <w:rPr>
          <w:rFonts w:cs="Liberation Serif"/>
          <w:color w:val="000000"/>
          <w:szCs w:val="20"/>
        </w:rPr>
        <w:t>, conforme quantidades, especificações e condições gerais do fornecimento contidas no Edital e seus Anexos.</w:t>
      </w:r>
    </w:p>
    <w:p>
      <w:pPr>
        <w:pStyle w:val="Normal"/>
        <w:numPr>
          <w:ilvl w:val="1"/>
          <w:numId w:val="2"/>
        </w:numPr>
        <w:jc w:val="both"/>
        <w:rPr>
          <w:rFonts w:cs="Liberation Serif"/>
          <w:color w:val="000000"/>
          <w:szCs w:val="20"/>
        </w:rPr>
      </w:pPr>
      <w:r>
        <w:rPr>
          <w:rFonts w:cs="Liberation Serif"/>
          <w:color w:val="000000"/>
          <w:szCs w:val="20"/>
        </w:rPr>
        <w:t>as turmas serão divididas conforme o grau de conhecimento dos servidores, podendo ser criadas até 02 (duas) turmas de alunos.</w:t>
      </w:r>
    </w:p>
    <w:p>
      <w:pPr>
        <w:pStyle w:val="Normal"/>
        <w:numPr>
          <w:ilvl w:val="1"/>
          <w:numId w:val="2"/>
        </w:numPr>
        <w:jc w:val="both"/>
        <w:rPr>
          <w:rFonts w:cs="Liberation Serif"/>
          <w:color w:val="000000"/>
          <w:szCs w:val="20"/>
        </w:rPr>
      </w:pPr>
      <w:r>
        <w:rPr>
          <w:rFonts w:cs="Liberation Serif"/>
          <w:color w:val="000000"/>
          <w:szCs w:val="20"/>
        </w:rPr>
        <w:t>Cada turma terá no mínimo 10 (dez) e no máximo 20 (vinte) alunos, salvo exceções devidamente justificadas.</w:t>
      </w:r>
    </w:p>
    <w:p>
      <w:pPr>
        <w:pStyle w:val="Normal"/>
        <w:numPr>
          <w:ilvl w:val="0"/>
          <w:numId w:val="2"/>
        </w:numPr>
        <w:spacing w:lineRule="auto" w:line="276" w:before="482" w:after="119"/>
        <w:jc w:val="both"/>
        <w:outlineLvl w:val="0"/>
        <w:rPr>
          <w:rFonts w:cs="Arial"/>
          <w:b/>
          <w:bCs/>
          <w:color w:val="000000"/>
          <w:szCs w:val="20"/>
        </w:rPr>
      </w:pPr>
      <w:r>
        <w:rPr>
          <w:rFonts w:cs="Arial"/>
          <w:b/>
          <w:bCs/>
          <w:color w:val="000000"/>
          <w:szCs w:val="20"/>
        </w:rPr>
        <w:t>DOS RECURSOS ORÇAMENTÁRIOS</w:t>
      </w:r>
    </w:p>
    <w:p>
      <w:pPr>
        <w:pStyle w:val="Normal"/>
        <w:numPr>
          <w:ilvl w:val="1"/>
          <w:numId w:val="2"/>
        </w:numPr>
        <w:spacing w:lineRule="auto" w:line="276" w:before="119" w:after="119"/>
        <w:jc w:val="both"/>
        <w:rPr>
          <w:rFonts w:cs="Liberation Serif"/>
          <w:color w:val="000000"/>
          <w:szCs w:val="20"/>
        </w:rPr>
      </w:pPr>
      <w:r>
        <w:rPr>
          <w:rFonts w:cs="Liberation Serif"/>
          <w:color w:val="000000"/>
          <w:szCs w:val="20"/>
        </w:rPr>
        <w:t>As despesas para atender a esta licitação estão programadas em dotação orçamentária própria, prevista no orçamento da União para o exercício de 2018, na classificação abaixo:</w:t>
      </w:r>
    </w:p>
    <w:p>
      <w:pPr>
        <w:pStyle w:val="ListParagraph"/>
        <w:numPr>
          <w:ilvl w:val="4"/>
          <w:numId w:val="2"/>
        </w:numPr>
        <w:spacing w:lineRule="auto" w:line="276" w:before="119" w:after="119"/>
        <w:ind w:left="1531" w:right="0" w:hanging="792"/>
        <w:contextualSpacing/>
        <w:rPr>
          <w:rFonts w:cs="Liberation Serif"/>
          <w:szCs w:val="20"/>
        </w:rPr>
      </w:pPr>
      <w:r>
        <w:rPr>
          <w:rFonts w:cs="Liberation Serif"/>
          <w:color w:val="000000"/>
          <w:szCs w:val="20"/>
        </w:rPr>
        <w:t>Natureza de Desp</w:t>
      </w:r>
      <w:r>
        <w:rPr>
          <w:rFonts w:cs="Liberation Serif"/>
          <w:szCs w:val="20"/>
        </w:rPr>
        <w:t>esa: 33 90 39</w:t>
      </w:r>
    </w:p>
    <w:p>
      <w:pPr>
        <w:pStyle w:val="ListParagraph"/>
        <w:numPr>
          <w:ilvl w:val="4"/>
          <w:numId w:val="2"/>
        </w:numPr>
        <w:spacing w:lineRule="auto" w:line="276" w:before="119" w:after="119"/>
        <w:ind w:left="1531" w:right="0" w:hanging="792"/>
        <w:contextualSpacing/>
        <w:rPr>
          <w:rFonts w:cs="Liberation Serif"/>
          <w:szCs w:val="20"/>
        </w:rPr>
      </w:pPr>
      <w:r>
        <w:rPr>
          <w:rFonts w:cs="Liberation Serif"/>
          <w:szCs w:val="20"/>
        </w:rPr>
        <w:t>Programa de Trabalho: 086846</w:t>
      </w:r>
    </w:p>
    <w:p>
      <w:pPr>
        <w:pStyle w:val="ListParagraph"/>
        <w:numPr>
          <w:ilvl w:val="4"/>
          <w:numId w:val="2"/>
        </w:numPr>
        <w:spacing w:lineRule="auto" w:line="276" w:before="119" w:after="119"/>
        <w:ind w:left="1531" w:right="0" w:hanging="792"/>
        <w:contextualSpacing/>
        <w:rPr>
          <w:rFonts w:cs="Liberation Serif"/>
          <w:szCs w:val="20"/>
        </w:rPr>
      </w:pPr>
      <w:r>
        <w:rPr>
          <w:rFonts w:cs="Liberation Serif"/>
          <w:szCs w:val="20"/>
        </w:rPr>
        <w:t>Fonte de Recurso: 8100000000</w:t>
      </w:r>
    </w:p>
    <w:p>
      <w:pPr>
        <w:pStyle w:val="ListParagraph"/>
        <w:numPr>
          <w:ilvl w:val="4"/>
          <w:numId w:val="2"/>
        </w:numPr>
        <w:spacing w:lineRule="auto" w:line="276" w:before="119" w:after="119"/>
        <w:ind w:left="1531" w:right="0" w:hanging="792"/>
        <w:contextualSpacing/>
        <w:rPr>
          <w:rFonts w:cs="Liberation Serif"/>
          <w:szCs w:val="20"/>
        </w:rPr>
      </w:pPr>
      <w:r>
        <w:rPr>
          <w:rFonts w:cs="Liberation Serif"/>
          <w:szCs w:val="20"/>
        </w:rPr>
        <w:t>Plano Interno: MG4572G0125N</w:t>
      </w:r>
    </w:p>
    <w:p>
      <w:pPr>
        <w:pStyle w:val="ListParagraph"/>
        <w:spacing w:lineRule="auto" w:line="276" w:before="119" w:after="119"/>
        <w:ind w:left="2969" w:right="0" w:hanging="0"/>
        <w:contextualSpacing/>
        <w:rPr>
          <w:rFonts w:cs="Liberation Serif"/>
          <w:color w:val="FF0000"/>
        </w:rPr>
      </w:pPr>
      <w:r>
        <w:rPr>
          <w:rFonts w:cs="Liberation Serif"/>
          <w:color w:val="FF0000"/>
        </w:rPr>
      </w:r>
    </w:p>
    <w:p>
      <w:pPr>
        <w:pStyle w:val="ListParagraph"/>
        <w:numPr>
          <w:ilvl w:val="0"/>
          <w:numId w:val="2"/>
        </w:numPr>
        <w:spacing w:lineRule="auto" w:line="276" w:before="120" w:after="120"/>
        <w:ind w:left="357" w:right="0" w:hanging="360"/>
        <w:contextualSpacing/>
        <w:rPr>
          <w:rFonts w:cs="Liberation Serif"/>
          <w:b/>
          <w:szCs w:val="20"/>
        </w:rPr>
      </w:pPr>
      <w:r>
        <w:rPr>
          <w:rFonts w:cs="Liberation Serif"/>
          <w:b/>
          <w:szCs w:val="20"/>
        </w:rPr>
        <w:t>DO CREDENCIAMENTO</w:t>
      </w:r>
    </w:p>
    <w:p>
      <w:pPr>
        <w:pStyle w:val="Normal"/>
        <w:numPr>
          <w:ilvl w:val="1"/>
          <w:numId w:val="2"/>
        </w:numPr>
        <w:spacing w:lineRule="auto" w:line="276" w:before="120" w:after="120"/>
        <w:jc w:val="both"/>
        <w:rPr>
          <w:rFonts w:cs="Arial"/>
          <w:bCs/>
          <w:iCs/>
          <w:color w:val="000000"/>
          <w:szCs w:val="20"/>
        </w:rPr>
      </w:pPr>
      <w:r>
        <w:rPr>
          <w:rFonts w:cs="Arial"/>
          <w:bCs/>
          <w:iCs/>
          <w:color w:val="000000"/>
          <w:szCs w:val="20"/>
        </w:rPr>
        <w:t xml:space="preserve"> </w:t>
      </w:r>
      <w:r>
        <w:rPr>
          <w:rFonts w:cs="Arial"/>
          <w:bCs/>
          <w:iCs/>
          <w:color w:val="000000"/>
          <w:szCs w:val="20"/>
        </w:rPr>
        <w:t>O Credenciamento é o nível básico do registro cadastral no SICAF, que permite a participação dos interessados na modalidade licitatória Pregão, em sua forma eletrônica.</w:t>
      </w:r>
    </w:p>
    <w:p>
      <w:pPr>
        <w:pStyle w:val="Normal"/>
        <w:numPr>
          <w:ilvl w:val="1"/>
          <w:numId w:val="2"/>
        </w:numPr>
        <w:spacing w:lineRule="auto" w:line="276" w:before="120" w:after="120"/>
        <w:jc w:val="both"/>
        <w:rPr>
          <w:rFonts w:cs="Arial"/>
          <w:bCs/>
          <w:iCs/>
          <w:color w:val="000000"/>
          <w:szCs w:val="20"/>
        </w:rPr>
      </w:pPr>
      <w:r>
        <w:rPr>
          <w:rFonts w:cs="Arial"/>
          <w:bCs/>
          <w:iCs/>
          <w:color w:val="000000"/>
          <w:szCs w:val="20"/>
        </w:rPr>
        <w:t xml:space="preserve"> </w:t>
      </w:r>
      <w:r>
        <w:rPr>
          <w:rFonts w:cs="Arial"/>
          <w:bCs/>
          <w:iCs/>
          <w:color w:val="000000"/>
          <w:szCs w:val="20"/>
        </w:rPr>
        <w:t>O cadastro no SICAF poderá ser iniciado no Portal de Compras do Governo Federal, no sítio www.comprasgovernamentais.gov.br, com a solicitação de “login” e senha pelo interessado.</w:t>
      </w:r>
    </w:p>
    <w:p>
      <w:pPr>
        <w:pStyle w:val="Normal"/>
        <w:numPr>
          <w:ilvl w:val="1"/>
          <w:numId w:val="2"/>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O credenciamento junto ao provedor do sistema implica a responsabilidade do licitante ou de seu representante legal e a presunção de sua capacidade técnica para realização das transações inerentes a este Pregão.</w:t>
      </w:r>
    </w:p>
    <w:p>
      <w:pPr>
        <w:pStyle w:val="Normal"/>
        <w:numPr>
          <w:ilvl w:val="1"/>
          <w:numId w:val="2"/>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pPr>
        <w:pStyle w:val="Normal"/>
        <w:numPr>
          <w:ilvl w:val="1"/>
          <w:numId w:val="2"/>
        </w:numPr>
        <w:spacing w:lineRule="auto" w:line="276" w:before="120" w:after="120"/>
        <w:jc w:val="both"/>
        <w:rPr>
          <w:rFonts w:cs="Arial"/>
          <w:color w:val="000000"/>
          <w:szCs w:val="20"/>
          <w:lang w:eastAsia="en-US"/>
        </w:rPr>
      </w:pPr>
      <w:r>
        <w:rPr>
          <w:rFonts w:cs="Arial"/>
          <w:color w:val="000000"/>
          <w:szCs w:val="20"/>
          <w:lang w:eastAsia="en-US"/>
        </w:rPr>
        <w:t xml:space="preserve"> </w:t>
      </w:r>
      <w:r>
        <w:rPr>
          <w:rFonts w:cs="Arial"/>
          <w:color w:val="000000"/>
          <w:szCs w:val="20"/>
          <w:lang w:eastAsia="en-US"/>
        </w:rPr>
        <w:t>A perda da senha ou a quebra de sigilo deverá ser comunicada imediatamente ao provedor do sistema para imediato bloqueio de acesso.</w:t>
      </w:r>
    </w:p>
    <w:p>
      <w:pPr>
        <w:pStyle w:val="Normal"/>
        <w:numPr>
          <w:ilvl w:val="0"/>
          <w:numId w:val="2"/>
        </w:numPr>
        <w:spacing w:lineRule="auto" w:line="276" w:before="120" w:after="120"/>
        <w:jc w:val="both"/>
        <w:rPr>
          <w:b/>
          <w:bCs/>
          <w:szCs w:val="20"/>
        </w:rPr>
      </w:pPr>
      <w:r>
        <w:rPr>
          <w:b/>
          <w:bCs/>
          <w:szCs w:val="20"/>
        </w:rPr>
        <w:t>DA PARTICIPAÇÃO NO PREGÃO.</w:t>
      </w:r>
    </w:p>
    <w:p>
      <w:pPr>
        <w:pStyle w:val="Normal"/>
        <w:numPr>
          <w:ilvl w:val="1"/>
          <w:numId w:val="2"/>
        </w:numPr>
        <w:spacing w:lineRule="auto" w:line="276" w:before="120" w:after="120"/>
        <w:jc w:val="both"/>
        <w:rPr>
          <w:szCs w:val="20"/>
        </w:rPr>
      </w:pPr>
      <w:r>
        <w:rPr>
          <w:szCs w:val="20"/>
        </w:rPr>
        <w:t>A participação neste Pregão é exclusiva a microempresas e empresas de pequeno porte, cujo ramo de atividade seja compatível com o objeto desta licitação, e que estejam com Credenciamento regular no Sistema de Cadastramento Unificado de Fornecedores – SICAF, conforme disposto no §3º do artigo 8º da IN SLTI/MPOG nº 2, de 2010.</w:t>
      </w:r>
    </w:p>
    <w:p>
      <w:pPr>
        <w:pStyle w:val="Normal"/>
        <w:numPr>
          <w:ilvl w:val="1"/>
          <w:numId w:val="2"/>
        </w:numPr>
        <w:spacing w:lineRule="auto" w:line="276" w:before="120" w:after="120"/>
        <w:jc w:val="both"/>
        <w:rPr>
          <w:rFonts w:cs="Arial"/>
          <w:bCs/>
          <w:color w:val="000000"/>
          <w:szCs w:val="20"/>
        </w:rPr>
      </w:pPr>
      <w:r>
        <w:rPr>
          <w:rFonts w:cs="Arial"/>
          <w:bCs/>
          <w:color w:val="000000"/>
          <w:szCs w:val="20"/>
        </w:rPr>
        <w:t>Não poderão participar desta licitação os interessados:</w:t>
      </w:r>
    </w:p>
    <w:p>
      <w:pPr>
        <w:pStyle w:val="Normal"/>
        <w:numPr>
          <w:ilvl w:val="2"/>
          <w:numId w:val="2"/>
        </w:numPr>
        <w:spacing w:lineRule="auto" w:line="276" w:before="120" w:after="120"/>
        <w:jc w:val="both"/>
        <w:rPr>
          <w:rFonts w:cs="Arial"/>
          <w:bCs/>
          <w:color w:val="000000"/>
          <w:szCs w:val="20"/>
        </w:rPr>
      </w:pPr>
      <w:r>
        <w:rPr>
          <w:rFonts w:cs="Arial"/>
          <w:bCs/>
          <w:color w:val="000000"/>
          <w:szCs w:val="20"/>
        </w:rPr>
        <w:t>Proibidos de participar de licitações e celebrar contratos administrativos, na forma da legislação vigente;</w:t>
      </w:r>
    </w:p>
    <w:p>
      <w:pPr>
        <w:pStyle w:val="Normal"/>
        <w:numPr>
          <w:ilvl w:val="2"/>
          <w:numId w:val="2"/>
        </w:numPr>
        <w:spacing w:lineRule="auto" w:line="276" w:before="120" w:after="120"/>
        <w:jc w:val="both"/>
        <w:rPr>
          <w:rFonts w:eastAsia="Arial Unicode MS" w:cs="Arial"/>
          <w:color w:val="000000"/>
          <w:szCs w:val="20"/>
        </w:rPr>
      </w:pPr>
      <w:r>
        <w:rPr>
          <w:rFonts w:eastAsia="Arial Unicode MS" w:cs="Arial"/>
          <w:color w:val="000000"/>
          <w:szCs w:val="20"/>
        </w:rPr>
        <w:t>Que se enquadrem nas vedações previstas no artigo 9º da Lei nº 8.666, de 1993;</w:t>
      </w:r>
    </w:p>
    <w:p>
      <w:pPr>
        <w:pStyle w:val="Normal"/>
        <w:numPr>
          <w:ilvl w:val="2"/>
          <w:numId w:val="2"/>
        </w:numPr>
        <w:spacing w:lineRule="auto" w:line="276" w:before="120" w:after="120"/>
        <w:jc w:val="both"/>
        <w:rPr>
          <w:rFonts w:cs="Arial"/>
          <w:color w:val="000000"/>
          <w:szCs w:val="20"/>
        </w:rPr>
      </w:pPr>
      <w:r>
        <w:rPr>
          <w:rFonts w:cs="Arial"/>
          <w:color w:val="000000"/>
          <w:szCs w:val="20"/>
        </w:rPr>
        <w:t>Que estejam em processo de dissolução, falência, fusão, cisão ou incorporação;</w:t>
      </w:r>
    </w:p>
    <w:p>
      <w:pPr>
        <w:pStyle w:val="Normal"/>
        <w:numPr>
          <w:ilvl w:val="2"/>
          <w:numId w:val="2"/>
        </w:numPr>
        <w:spacing w:lineRule="auto" w:line="276" w:before="120" w:after="120"/>
        <w:jc w:val="both"/>
        <w:rPr>
          <w:rFonts w:cs="Arial"/>
          <w:szCs w:val="20"/>
        </w:rPr>
      </w:pPr>
      <w:r>
        <w:rPr>
          <w:rFonts w:cs="Arial"/>
          <w:szCs w:val="20"/>
        </w:rPr>
        <w:t xml:space="preserve"> </w:t>
      </w:r>
      <w:r>
        <w:rPr>
          <w:rFonts w:cs="Arial"/>
          <w:szCs w:val="20"/>
        </w:rPr>
        <w:t>Entidades empresariais que estejam reunidas em consórcio;</w:t>
      </w:r>
    </w:p>
    <w:p>
      <w:pPr>
        <w:pStyle w:val="Normal"/>
        <w:numPr>
          <w:ilvl w:val="1"/>
          <w:numId w:val="2"/>
        </w:numPr>
        <w:spacing w:lineRule="auto" w:line="276" w:before="120" w:after="120"/>
        <w:jc w:val="both"/>
        <w:rPr>
          <w:rFonts w:eastAsia="Zurich BT" w:cs="Arial"/>
          <w:bCs/>
          <w:color w:val="000000"/>
          <w:szCs w:val="20"/>
        </w:rPr>
      </w:pPr>
      <w:r>
        <w:rPr>
          <w:rFonts w:cs="Arial"/>
          <w:color w:val="000000"/>
          <w:szCs w:val="20"/>
        </w:rPr>
        <w:t xml:space="preserve"> </w:t>
      </w:r>
      <w:r>
        <w:rPr>
          <w:rFonts w:cs="Arial"/>
          <w:color w:val="000000"/>
          <w:szCs w:val="20"/>
        </w:rPr>
        <w:t>Como condição para participação no Pregão, a entidade de menor porte deverá declarar:</w:t>
      </w:r>
      <w:r>
        <w:rPr>
          <w:rFonts w:eastAsia="Zurich BT" w:cs="Arial"/>
          <w:bCs/>
          <w:color w:val="000000"/>
          <w:szCs w:val="20"/>
        </w:rPr>
        <w:t xml:space="preserve"> </w:t>
      </w:r>
    </w:p>
    <w:p>
      <w:pPr>
        <w:pStyle w:val="Normal"/>
        <w:numPr>
          <w:ilvl w:val="2"/>
          <w:numId w:val="2"/>
        </w:numPr>
        <w:spacing w:lineRule="auto" w:line="276" w:before="120" w:after="120"/>
        <w:jc w:val="both"/>
        <w:rPr>
          <w:rFonts w:cs="Arial"/>
          <w:color w:val="000000"/>
          <w:szCs w:val="20"/>
        </w:rPr>
      </w:pPr>
      <w:r>
        <w:rPr>
          <w:rFonts w:cs="Arial"/>
          <w:bCs/>
          <w:color w:val="000000"/>
          <w:szCs w:val="20"/>
        </w:rPr>
        <w:t xml:space="preserve">Que cumpre os requisitos estabelecidos no artigo 3° </w:t>
      </w:r>
      <w:r>
        <w:rPr>
          <w:rFonts w:cs="Arial"/>
          <w:color w:val="000000"/>
          <w:szCs w:val="20"/>
        </w:rPr>
        <w:t>da Lei Complementar nº 123, de 2006, estando apta a usufruir do tratamento favorecido estabelecido em seus arts. 42 a 49.</w:t>
      </w:r>
    </w:p>
    <w:p>
      <w:pPr>
        <w:pStyle w:val="Normal"/>
        <w:numPr>
          <w:ilvl w:val="1"/>
          <w:numId w:val="2"/>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Deverá assinalar, ainda, “sim” ou “não” em campo próprio do sistema eletrônico, relativo às seguintes declarações:</w:t>
      </w:r>
    </w:p>
    <w:p>
      <w:pPr>
        <w:pStyle w:val="Normal"/>
        <w:numPr>
          <w:ilvl w:val="2"/>
          <w:numId w:val="2"/>
        </w:numPr>
        <w:spacing w:lineRule="auto" w:line="276" w:before="120" w:after="120"/>
        <w:jc w:val="both"/>
        <w:rPr>
          <w:rFonts w:cs="Arial"/>
          <w:color w:val="000000"/>
          <w:szCs w:val="20"/>
        </w:rPr>
      </w:pPr>
      <w:r>
        <w:rPr>
          <w:rFonts w:cs="Arial"/>
          <w:color w:val="000000"/>
          <w:szCs w:val="20"/>
        </w:rPr>
        <w:t>Que está ciente e concorda com as condições contidas no Edital e seus anexos, bem como de que cumpre plenamente os requisitos de habilitação definidos no Edital;</w:t>
      </w:r>
    </w:p>
    <w:p>
      <w:pPr>
        <w:pStyle w:val="Normal"/>
        <w:numPr>
          <w:ilvl w:val="2"/>
          <w:numId w:val="2"/>
        </w:numPr>
        <w:spacing w:lineRule="auto" w:line="276" w:before="120" w:after="120"/>
        <w:jc w:val="both"/>
        <w:rPr>
          <w:rFonts w:cs="Arial"/>
          <w:color w:val="000000"/>
          <w:szCs w:val="20"/>
        </w:rPr>
      </w:pPr>
      <w:r>
        <w:rPr>
          <w:rFonts w:cs="Arial"/>
          <w:color w:val="000000"/>
          <w:szCs w:val="20"/>
        </w:rPr>
        <w:t xml:space="preserve">Que inexistem fatos impeditivos para sua habilitação no certame, ciente da obrigatoriedade de declarar ocorrências posteriores; </w:t>
      </w:r>
    </w:p>
    <w:p>
      <w:pPr>
        <w:pStyle w:val="Normal"/>
        <w:numPr>
          <w:ilvl w:val="2"/>
          <w:numId w:val="2"/>
        </w:numPr>
        <w:spacing w:lineRule="auto" w:line="276" w:before="120" w:after="120"/>
        <w:jc w:val="both"/>
        <w:rPr>
          <w:rFonts w:cs="Arial"/>
          <w:color w:val="000000"/>
          <w:szCs w:val="20"/>
        </w:rPr>
      </w:pPr>
      <w:r>
        <w:rPr>
          <w:rFonts w:cs="Arial"/>
          <w:color w:val="000000"/>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2"/>
          <w:numId w:val="2"/>
        </w:numPr>
        <w:spacing w:lineRule="auto" w:line="276" w:before="120" w:after="120"/>
        <w:jc w:val="both"/>
        <w:rPr>
          <w:rFonts w:cs="Arial"/>
          <w:color w:val="000000"/>
          <w:szCs w:val="20"/>
        </w:rPr>
      </w:pPr>
      <w:r>
        <w:rPr>
          <w:rFonts w:eastAsia="Zurich BT" w:cs="Arial"/>
          <w:color w:val="000000"/>
          <w:szCs w:val="20"/>
        </w:rPr>
        <w:t>Que a proposta foi elaborada de forma independente, nos termos d</w:t>
      </w:r>
      <w:r>
        <w:rPr>
          <w:rFonts w:cs="Arial"/>
          <w:color w:val="000000"/>
          <w:szCs w:val="20"/>
        </w:rPr>
        <w:t>a Instrução Normativa SLTI/MPOG nº 2, de 16 de setembro de 2009.</w:t>
      </w:r>
    </w:p>
    <w:p>
      <w:pPr>
        <w:pStyle w:val="Normal"/>
        <w:numPr>
          <w:ilvl w:val="2"/>
          <w:numId w:val="2"/>
        </w:numPr>
        <w:spacing w:lineRule="auto" w:line="276" w:before="120" w:after="120"/>
        <w:jc w:val="both"/>
        <w:rPr>
          <w:rFonts w:eastAsia="Zurich BT" w:cs="Arial"/>
          <w:szCs w:val="20"/>
        </w:rPr>
      </w:pPr>
      <w:r>
        <w:rPr>
          <w:rFonts w:eastAsia="Zurich BT" w:cs="Arial"/>
          <w:szCs w:val="20"/>
        </w:rPr>
        <w:t>Que não possui, em sua cadeia produtiva, empregados executando trabalho degradante ou forçado, observando o disposto nos incisos III e IV do art. 1º e no inciso III do art. 5º da Constituição Federal;</w:t>
      </w:r>
    </w:p>
    <w:p>
      <w:pPr>
        <w:pStyle w:val="Normal"/>
        <w:numPr>
          <w:ilvl w:val="2"/>
          <w:numId w:val="2"/>
        </w:numPr>
        <w:spacing w:lineRule="auto" w:line="276" w:before="120" w:after="120"/>
        <w:jc w:val="both"/>
        <w:rPr>
          <w:rFonts w:eastAsia="Zurich BT" w:cs="Arial"/>
          <w:szCs w:val="20"/>
        </w:rPr>
      </w:pPr>
      <w:r>
        <w:rPr>
          <w:rFonts w:eastAsia="Zurich BT" w:cs="Arial"/>
          <w:szCs w:val="20"/>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pPr>
        <w:pStyle w:val="Normal"/>
        <w:numPr>
          <w:ilvl w:val="0"/>
          <w:numId w:val="2"/>
        </w:numPr>
        <w:spacing w:lineRule="auto" w:line="276" w:before="120" w:after="120"/>
        <w:jc w:val="both"/>
        <w:rPr>
          <w:rFonts w:eastAsia="Zurich BT" w:cs="Arial"/>
          <w:b/>
          <w:szCs w:val="20"/>
        </w:rPr>
      </w:pPr>
      <w:r>
        <w:rPr>
          <w:rFonts w:eastAsia="Zurich BT" w:cs="Arial"/>
          <w:b/>
          <w:szCs w:val="20"/>
        </w:rPr>
        <w:t xml:space="preserve">DO ENVIO DA PROPOSTA </w:t>
      </w:r>
    </w:p>
    <w:p>
      <w:pPr>
        <w:pStyle w:val="Normal"/>
        <w:numPr>
          <w:ilvl w:val="1"/>
          <w:numId w:val="2"/>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 xml:space="preserve">Para formular e encaminhar a proposta de preços, exclusivamente por meio do sistema eletrônico (proposta de preço padrão do sistema), o licitante deverá estar ciente e levar em consideração as especificações e condições estabelecidas neste Edital, notadamente no </w:t>
      </w:r>
      <w:r>
        <w:rPr>
          <w:rFonts w:cs="Arial"/>
          <w:b/>
          <w:color w:val="000000"/>
          <w:szCs w:val="20"/>
        </w:rPr>
        <w:t>Termo de Referência.</w:t>
      </w:r>
      <w:r>
        <w:rPr>
          <w:rFonts w:cs="Arial"/>
          <w:color w:val="000000"/>
          <w:szCs w:val="20"/>
        </w:rPr>
        <w:t xml:space="preserve"> </w:t>
      </w:r>
    </w:p>
    <w:p>
      <w:pPr>
        <w:pStyle w:val="Normal"/>
        <w:numPr>
          <w:ilvl w:val="1"/>
          <w:numId w:val="2"/>
        </w:numPr>
        <w:spacing w:lineRule="auto" w:line="276" w:before="120" w:after="120"/>
        <w:jc w:val="both"/>
        <w:rPr>
          <w:rFonts w:cs="Arial"/>
          <w:color w:val="000000"/>
          <w:szCs w:val="20"/>
        </w:rPr>
      </w:pPr>
      <w:r>
        <w:rPr>
          <w:rFonts w:cs="Arial"/>
          <w:color w:val="000000"/>
          <w:szCs w:val="20"/>
        </w:rPr>
        <w:t>O licitante deverá encaminhar a proposta por meio do sistema eletrônico até a data e horário marcados para abertura da sessão, quando, então, encerrar-se-á automaticamente a fase de recebimento de propostas.</w:t>
      </w:r>
    </w:p>
    <w:p>
      <w:pPr>
        <w:pStyle w:val="Normal"/>
        <w:numPr>
          <w:ilvl w:val="1"/>
          <w:numId w:val="2"/>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Todas as referências de tempo no Edital, no aviso e durante a sessão pública observarão o horário de Brasília – DF.</w:t>
      </w:r>
    </w:p>
    <w:p>
      <w:pPr>
        <w:pStyle w:val="Normal"/>
        <w:numPr>
          <w:ilvl w:val="1"/>
          <w:numId w:val="2"/>
        </w:numPr>
        <w:spacing w:lineRule="auto" w:line="276" w:before="120" w:after="120"/>
        <w:jc w:val="both"/>
        <w:rPr>
          <w:rFonts w:cs="Arial"/>
          <w:color w:val="000000"/>
          <w:szCs w:val="20"/>
        </w:rPr>
      </w:pPr>
      <w:r>
        <w:rPr>
          <w:rFonts w:cs="Arial"/>
          <w:color w:val="000000"/>
          <w:szCs w:val="20"/>
        </w:rPr>
        <w:t>O licitante será responsável por todas as transações que forem efetuadas em seu nome no sistema eletrônico, assumindo como firmes e verdadeiras suas propostas e lances.</w:t>
      </w:r>
    </w:p>
    <w:p>
      <w:pPr>
        <w:pStyle w:val="Normal"/>
        <w:numPr>
          <w:ilvl w:val="1"/>
          <w:numId w:val="2"/>
        </w:numPr>
        <w:spacing w:lineRule="auto" w:line="276" w:before="120" w:after="120"/>
        <w:jc w:val="both"/>
        <w:rPr>
          <w:rFonts w:cs="Arial"/>
          <w:color w:val="000000"/>
          <w:szCs w:val="20"/>
        </w:rPr>
      </w:pPr>
      <w:r>
        <w:rPr>
          <w:rFonts w:cs="Arial"/>
          <w:color w:val="00000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numPr>
          <w:ilvl w:val="1"/>
          <w:numId w:val="2"/>
        </w:numPr>
        <w:spacing w:lineRule="auto" w:line="276" w:before="120" w:after="120"/>
        <w:jc w:val="both"/>
        <w:rPr>
          <w:rFonts w:cs="Arial"/>
          <w:szCs w:val="20"/>
        </w:rPr>
      </w:pPr>
      <w:r>
        <w:rPr>
          <w:rFonts w:cs="Arial"/>
          <w:szCs w:val="20"/>
        </w:rPr>
        <w:t>Até a abertura da sessão, os licitantes poderão retirar ou substituir as propostas apresentadas.</w:t>
      </w:r>
    </w:p>
    <w:p>
      <w:pPr>
        <w:pStyle w:val="Normal"/>
        <w:numPr>
          <w:ilvl w:val="1"/>
          <w:numId w:val="2"/>
        </w:numPr>
        <w:spacing w:lineRule="auto" w:line="276" w:before="120" w:after="120"/>
        <w:jc w:val="both"/>
        <w:rPr>
          <w:rFonts w:cs="Arial"/>
          <w:szCs w:val="20"/>
        </w:rPr>
      </w:pPr>
      <w:r>
        <w:rPr>
          <w:rFonts w:cs="Arial"/>
          <w:szCs w:val="20"/>
        </w:rPr>
        <w:t>O licitante deverá enviar sua proposta mediante o preenchimento, no sistema eletrônico, dos seguintes campos:</w:t>
      </w:r>
    </w:p>
    <w:p>
      <w:pPr>
        <w:pStyle w:val="Normal"/>
        <w:numPr>
          <w:ilvl w:val="2"/>
          <w:numId w:val="2"/>
        </w:numPr>
        <w:spacing w:lineRule="auto" w:line="276" w:before="120" w:after="120"/>
        <w:jc w:val="both"/>
        <w:rPr>
          <w:rFonts w:cs="Arial"/>
          <w:bCs/>
          <w:iCs/>
          <w:szCs w:val="20"/>
        </w:rPr>
      </w:pPr>
      <w:r>
        <w:rPr>
          <w:rFonts w:cs="Arial"/>
          <w:szCs w:val="20"/>
        </w:rPr>
        <w:t xml:space="preserve">Valor total </w:t>
      </w:r>
      <w:r>
        <w:rPr>
          <w:rFonts w:cs="Arial"/>
          <w:bCs/>
          <w:iCs/>
          <w:szCs w:val="20"/>
        </w:rPr>
        <w:t>do item;</w:t>
      </w:r>
    </w:p>
    <w:p>
      <w:pPr>
        <w:pStyle w:val="Normal"/>
        <w:numPr>
          <w:ilvl w:val="2"/>
          <w:numId w:val="2"/>
        </w:numPr>
        <w:spacing w:lineRule="auto" w:line="276" w:before="120" w:after="120"/>
        <w:jc w:val="both"/>
        <w:rPr>
          <w:rFonts w:cs="Arial"/>
          <w:bCs/>
          <w:iCs/>
          <w:color w:val="000000"/>
          <w:szCs w:val="20"/>
        </w:rPr>
      </w:pPr>
      <w:r>
        <w:rPr>
          <w:rFonts w:cs="Arial"/>
          <w:bCs/>
          <w:iCs/>
          <w:color w:val="000000"/>
          <w:szCs w:val="20"/>
        </w:rPr>
        <w:t>Descrição detalhada do objeto.</w:t>
      </w:r>
    </w:p>
    <w:p>
      <w:pPr>
        <w:pStyle w:val="Normal"/>
        <w:numPr>
          <w:ilvl w:val="1"/>
          <w:numId w:val="2"/>
        </w:numPr>
        <w:spacing w:lineRule="auto" w:line="276" w:before="120" w:after="120"/>
        <w:jc w:val="both"/>
        <w:rPr>
          <w:rFonts w:cs="Arial"/>
          <w:szCs w:val="20"/>
        </w:rPr>
      </w:pPr>
      <w:r>
        <w:rPr>
          <w:rFonts w:cs="Arial"/>
          <w:szCs w:val="20"/>
        </w:rPr>
        <w:t>Todas as especificações do objeto contidas na proposta vinculam a Contratada.</w:t>
      </w:r>
    </w:p>
    <w:p>
      <w:pPr>
        <w:pStyle w:val="Normal"/>
        <w:numPr>
          <w:ilvl w:val="1"/>
          <w:numId w:val="2"/>
        </w:numPr>
        <w:spacing w:lineRule="auto" w:line="276" w:before="120" w:after="120"/>
        <w:jc w:val="both"/>
        <w:rPr>
          <w:rFonts w:cs="Arial"/>
          <w:color w:val="000000"/>
          <w:szCs w:val="20"/>
        </w:rPr>
      </w:pPr>
      <w:r>
        <w:rPr>
          <w:rFonts w:cs="Arial"/>
          <w:color w:val="000000"/>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1"/>
          <w:numId w:val="2"/>
        </w:numPr>
        <w:tabs>
          <w:tab w:val="left" w:pos="909" w:leader="none"/>
        </w:tabs>
        <w:spacing w:lineRule="auto" w:line="276" w:before="120" w:after="120"/>
        <w:jc w:val="both"/>
        <w:rPr>
          <w:rFonts w:cs="Arial"/>
          <w:color w:val="000000"/>
          <w:szCs w:val="20"/>
        </w:rPr>
      </w:pPr>
      <w:r>
        <w:rPr>
          <w:rFonts w:cs="Arial"/>
          <w:color w:val="000000"/>
          <w:szCs w:val="20"/>
        </w:rPr>
        <w:t>A Contratada deverá arcar com o ônus decorrente de eventual equívoco no dimensionamento dos quantitativos de sua proposta, caso o previsto não seja satisfatório para o atendimento do objeto da licitação, exceto quando ocorrer algum dos eventos arrolados nos incisos do §1° do artigo 57 da Lei n° 8.666, de 1993.</w:t>
      </w:r>
    </w:p>
    <w:p>
      <w:pPr>
        <w:pStyle w:val="Normal"/>
        <w:numPr>
          <w:ilvl w:val="1"/>
          <w:numId w:val="2"/>
        </w:numPr>
        <w:tabs>
          <w:tab w:val="left" w:pos="909" w:leader="none"/>
        </w:tabs>
        <w:spacing w:lineRule="auto" w:line="276" w:before="120" w:after="120"/>
        <w:ind w:left="850" w:right="0" w:hanging="432"/>
        <w:jc w:val="both"/>
        <w:rPr>
          <w:rFonts w:cs="Arial"/>
          <w:szCs w:val="20"/>
        </w:rPr>
      </w:pPr>
      <w:r>
        <w:rPr>
          <w:rFonts w:cs="Arial"/>
          <w:szCs w:val="20"/>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nº 8.666, de 1993, nos termos do art. 63, §2º da IN 5/2017);</w:t>
      </w:r>
    </w:p>
    <w:p>
      <w:pPr>
        <w:pStyle w:val="Normal"/>
        <w:numPr>
          <w:ilvl w:val="1"/>
          <w:numId w:val="2"/>
        </w:numPr>
        <w:tabs>
          <w:tab w:val="left" w:pos="909" w:leader="none"/>
        </w:tabs>
        <w:spacing w:lineRule="auto" w:line="276" w:before="120" w:after="120"/>
        <w:ind w:left="850" w:right="0" w:hanging="432"/>
        <w:jc w:val="both"/>
        <w:rPr>
          <w:rFonts w:cs="Arial"/>
          <w:szCs w:val="20"/>
        </w:rPr>
      </w:pPr>
      <w:r>
        <w:rPr>
          <w:rFonts w:cs="Arial"/>
          <w:szCs w:val="20"/>
        </w:rPr>
        <w:t xml:space="preserve"> </w:t>
      </w:r>
      <w:r>
        <w:rPr>
          <w:rFonts w:cs="Arial"/>
          <w:szCs w:val="20"/>
        </w:rPr>
        <w:t>Em se tratando de Microempreendedor Individual – MEI, o licitante deverá incluir, no campo das condições da proposta do sistema eletrônico, o valor correspondente à contribuição prevista no art. 18-B da Lei Complementar n. 123, de 2006.</w:t>
      </w:r>
    </w:p>
    <w:p>
      <w:pPr>
        <w:pStyle w:val="Normal"/>
        <w:numPr>
          <w:ilvl w:val="1"/>
          <w:numId w:val="2"/>
        </w:numPr>
        <w:tabs>
          <w:tab w:val="left" w:pos="909" w:leader="none"/>
        </w:tabs>
        <w:spacing w:lineRule="auto" w:line="276" w:before="120" w:after="120"/>
        <w:ind w:left="850" w:right="0" w:hanging="432"/>
        <w:jc w:val="both"/>
        <w:rPr>
          <w:rFonts w:cs="Arial"/>
          <w:color w:val="000000"/>
          <w:szCs w:val="20"/>
        </w:rPr>
      </w:pPr>
      <w:r>
        <w:rPr>
          <w:rFonts w:cs="Arial"/>
          <w:color w:val="000000"/>
          <w:szCs w:val="20"/>
        </w:rPr>
        <w:t xml:space="preserve"> </w:t>
      </w:r>
      <w:r>
        <w:rPr>
          <w:rFonts w:cs="Arial"/>
          <w:color w:val="000000"/>
          <w:szCs w:val="20"/>
        </w:rPr>
        <w:t>O prazo de validade da proposta não será inferior a 60 (sessenta)</w:t>
      </w:r>
      <w:r>
        <w:rPr>
          <w:rFonts w:cs="Arial"/>
          <w:bCs/>
          <w:iCs/>
          <w:color w:val="000000"/>
          <w:szCs w:val="20"/>
        </w:rPr>
        <w:t xml:space="preserve"> dias</w:t>
      </w:r>
      <w:r>
        <w:rPr>
          <w:rFonts w:cs="Arial"/>
          <w:b/>
          <w:color w:val="000000"/>
          <w:szCs w:val="20"/>
        </w:rPr>
        <w:t>,</w:t>
      </w:r>
      <w:r>
        <w:rPr>
          <w:rFonts w:cs="Arial"/>
          <w:color w:val="000000"/>
          <w:szCs w:val="20"/>
        </w:rPr>
        <w:t xml:space="preserve"> a contar da data de sua apresentação. </w:t>
      </w:r>
    </w:p>
    <w:p>
      <w:pPr>
        <w:pStyle w:val="Normal"/>
        <w:numPr>
          <w:ilvl w:val="0"/>
          <w:numId w:val="2"/>
        </w:numPr>
        <w:tabs>
          <w:tab w:val="left" w:pos="909" w:leader="none"/>
        </w:tabs>
        <w:spacing w:lineRule="auto" w:line="276" w:before="120" w:after="120"/>
        <w:ind w:left="510" w:right="0" w:hanging="360"/>
        <w:jc w:val="both"/>
        <w:rPr>
          <w:b/>
          <w:bCs/>
          <w:szCs w:val="20"/>
        </w:rPr>
      </w:pPr>
      <w:r>
        <w:rPr>
          <w:b/>
          <w:bCs/>
          <w:szCs w:val="20"/>
        </w:rPr>
        <w:t>DA FORMULAÇÃO DOS LANCES E DO JULGAMENTO DAS PROPOSTAS</w:t>
      </w:r>
    </w:p>
    <w:p>
      <w:pPr>
        <w:pStyle w:val="Normal"/>
        <w:numPr>
          <w:ilvl w:val="1"/>
          <w:numId w:val="2"/>
        </w:numPr>
        <w:tabs>
          <w:tab w:val="left" w:pos="909" w:leader="none"/>
        </w:tabs>
        <w:spacing w:lineRule="auto" w:line="276" w:before="120" w:after="120"/>
        <w:ind w:left="964" w:right="0" w:hanging="432"/>
        <w:jc w:val="both"/>
        <w:rPr>
          <w:rFonts w:cs="Arial"/>
          <w:color w:val="000000"/>
          <w:szCs w:val="20"/>
          <w:lang w:eastAsia="en-US"/>
        </w:rPr>
      </w:pPr>
      <w:r>
        <w:rPr>
          <w:rFonts w:cs="Arial"/>
          <w:color w:val="000000"/>
          <w:szCs w:val="20"/>
          <w:lang w:eastAsia="en-US"/>
        </w:rPr>
        <w:t>A abertura da presente licitação dar-se-á em sessão pública, por meio de sistema eletrônico, na data, horário e local indicados neste Edital.</w:t>
      </w:r>
    </w:p>
    <w:p>
      <w:pPr>
        <w:pStyle w:val="Normal"/>
        <w:numPr>
          <w:ilvl w:val="1"/>
          <w:numId w:val="2"/>
        </w:numPr>
        <w:tabs>
          <w:tab w:val="left" w:pos="909" w:leader="none"/>
        </w:tabs>
        <w:spacing w:lineRule="auto" w:line="276" w:before="120" w:after="120"/>
        <w:ind w:left="964" w:right="0" w:hanging="432"/>
        <w:jc w:val="both"/>
        <w:rPr>
          <w:rFonts w:cs="Arial"/>
          <w:szCs w:val="20"/>
        </w:rPr>
      </w:pPr>
      <w:r>
        <w:rPr>
          <w:rFonts w:cs="Arial"/>
          <w:color w:val="000000"/>
          <w:szCs w:val="20"/>
        </w:rPr>
        <w:t xml:space="preserve">O Pregoeiro verificará as propostas apresentadas, desclassificando desde logo aquelas que não estejam em conformidade com os requisitos estabelecidos neste Edital, contenham vícios insanáveis ou não apresentem as </w:t>
      </w:r>
      <w:r>
        <w:rPr>
          <w:rFonts w:cs="Arial"/>
          <w:szCs w:val="20"/>
        </w:rPr>
        <w:t>especificações técnicas exigidas no Termo de Referência.</w:t>
      </w:r>
    </w:p>
    <w:p>
      <w:pPr>
        <w:pStyle w:val="Normal"/>
        <w:numPr>
          <w:ilvl w:val="2"/>
          <w:numId w:val="2"/>
        </w:numPr>
        <w:tabs>
          <w:tab w:val="left" w:pos="1078" w:leader="none"/>
          <w:tab w:val="left" w:pos="1528" w:leader="none"/>
        </w:tabs>
        <w:spacing w:lineRule="auto" w:line="276" w:before="120" w:after="120"/>
        <w:ind w:left="1361" w:right="0" w:hanging="504"/>
        <w:jc w:val="both"/>
        <w:rPr>
          <w:rFonts w:cs="Arial"/>
          <w:color w:val="000000"/>
          <w:szCs w:val="20"/>
        </w:rPr>
      </w:pPr>
      <w:r>
        <w:rPr>
          <w:rFonts w:cs="Arial"/>
          <w:color w:val="000000"/>
          <w:szCs w:val="20"/>
        </w:rPr>
        <w:t>A desclassificação será sempre fundamentada e registrada no sistema, com acompanhamento em tempo real por todos os participantes.</w:t>
      </w:r>
    </w:p>
    <w:p>
      <w:pPr>
        <w:pStyle w:val="Normal"/>
        <w:numPr>
          <w:ilvl w:val="2"/>
          <w:numId w:val="2"/>
        </w:numPr>
        <w:tabs>
          <w:tab w:val="left" w:pos="1078" w:leader="none"/>
          <w:tab w:val="left" w:pos="1528" w:leader="none"/>
        </w:tabs>
        <w:spacing w:lineRule="auto" w:line="276" w:before="120" w:after="120"/>
        <w:ind w:left="1361" w:right="0" w:hanging="504"/>
        <w:jc w:val="both"/>
        <w:rPr>
          <w:rFonts w:cs="Arial"/>
          <w:color w:val="000000"/>
          <w:szCs w:val="20"/>
        </w:rPr>
      </w:pPr>
      <w:r>
        <w:rPr>
          <w:rFonts w:cs="Arial"/>
          <w:color w:val="000000"/>
          <w:szCs w:val="20"/>
        </w:rPr>
        <w:t>A não desclassificação da proposta não impede o seu julgamento definitivo em sentido contrário, levado a efeito na fase de aceitação.</w:t>
      </w:r>
    </w:p>
    <w:p>
      <w:pPr>
        <w:pStyle w:val="Normal"/>
        <w:numPr>
          <w:ilvl w:val="1"/>
          <w:numId w:val="2"/>
        </w:numPr>
        <w:tabs>
          <w:tab w:val="left" w:pos="1078"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O sistema ordenará automaticamente as propostas classificadas, sendo que somente estas participarão da fase de lances.</w:t>
      </w:r>
    </w:p>
    <w:p>
      <w:pPr>
        <w:pStyle w:val="Normal"/>
        <w:numPr>
          <w:ilvl w:val="1"/>
          <w:numId w:val="2"/>
        </w:numPr>
        <w:tabs>
          <w:tab w:val="left" w:pos="1078"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O sistema disponibilizará campo próprio para troca de mensagens entre o Pregoeiro e os licitantes.</w:t>
      </w:r>
    </w:p>
    <w:p>
      <w:pPr>
        <w:pStyle w:val="Normal"/>
        <w:numPr>
          <w:ilvl w:val="1"/>
          <w:numId w:val="2"/>
        </w:numPr>
        <w:tabs>
          <w:tab w:val="left" w:pos="1078"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 xml:space="preserve">Iniciada a etapa competitiva, os licitantes deverão encaminhar lances exclusivamente por meio de sistema eletrônico, sendo imediatamente informados do seu recebimento e do valor consignado no registro. </w:t>
      </w:r>
    </w:p>
    <w:p>
      <w:pPr>
        <w:pStyle w:val="Normal"/>
        <w:numPr>
          <w:ilvl w:val="2"/>
          <w:numId w:val="2"/>
        </w:numPr>
        <w:tabs>
          <w:tab w:val="left" w:pos="1022" w:leader="none"/>
          <w:tab w:val="left" w:pos="1078" w:leader="none"/>
          <w:tab w:val="left" w:pos="1472" w:leader="none"/>
          <w:tab w:val="left" w:pos="1528" w:leader="none"/>
        </w:tabs>
        <w:spacing w:lineRule="auto" w:line="276" w:before="120" w:after="120"/>
        <w:ind w:left="1417" w:right="0" w:hanging="504"/>
        <w:jc w:val="both"/>
        <w:rPr>
          <w:rFonts w:cs="Arial"/>
          <w:b/>
          <w:szCs w:val="20"/>
        </w:rPr>
      </w:pPr>
      <w:r>
        <w:rPr>
          <w:rFonts w:cs="Arial"/>
          <w:b/>
          <w:szCs w:val="20"/>
        </w:rPr>
        <w:t>O lance deverá ser ofertado pelo valor total do item.</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Os licitantes poderão oferecer lances sucessivos, observando o horário fixado para abertura da sessão e as regras estabelecidas no Edital.</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O licitante somente poderá oferecer lance inferior ao último por ele ofertado e registrado pelo sistema.</w:t>
      </w:r>
    </w:p>
    <w:p>
      <w:pPr>
        <w:pStyle w:val="Normal"/>
        <w:numPr>
          <w:ilvl w:val="2"/>
          <w:numId w:val="2"/>
        </w:numPr>
        <w:tabs>
          <w:tab w:val="left" w:pos="1022" w:leader="none"/>
          <w:tab w:val="left" w:pos="1078" w:leader="none"/>
          <w:tab w:val="left" w:pos="1472" w:leader="none"/>
          <w:tab w:val="left" w:pos="1528" w:leader="none"/>
        </w:tabs>
        <w:spacing w:lineRule="auto" w:line="276" w:before="120" w:after="120"/>
        <w:ind w:left="1474" w:right="0" w:hanging="504"/>
        <w:jc w:val="both"/>
        <w:rPr>
          <w:rFonts w:cs="Arial"/>
          <w:color w:val="000000"/>
          <w:szCs w:val="20"/>
        </w:rPr>
      </w:pPr>
      <w:r>
        <w:rPr>
          <w:rFonts w:cs="Arial"/>
          <w:color w:val="000000"/>
          <w:szCs w:val="20"/>
        </w:rPr>
        <w:t>O intervalo entre os lances enviados pelo mesmo licitante não poderá ser inferior a vinte (20) segundos e o intervalo entre lances não poderá ser inferior a três (3) segundos.</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 xml:space="preserve"> </w:t>
      </w:r>
      <w:r>
        <w:rPr>
          <w:rFonts w:cs="Arial"/>
          <w:color w:val="000000"/>
          <w:szCs w:val="20"/>
        </w:rPr>
        <w:t>Não serão aceitos dois ou mais lances de mesmo valor, prevalecendo aquele que for recebido e registrado em primeiro lugar.</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 xml:space="preserve">Durante o transcurso da sessão pública, os licitantes serão informados, em tempo real, do valor do menor lance registrado, vedada a identificação do licitante. </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 xml:space="preserve">No caso de desconexão com o Pregoeiro, no decorrer da etapa competitiva do Pregão, o sistema eletrônico poderá permanecer acessível aos licitantes para a recepção dos lances. </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 xml:space="preserve">Se a desconexão perdurar por tempo superior a 10 (dez) minutos, a sessão será suspensa e terá reinício somente após comunicação expressa do Pregoeiro aos participantes. </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szCs w:val="20"/>
        </w:rPr>
      </w:pPr>
      <w:r>
        <w:rPr>
          <w:rFonts w:cs="Arial"/>
          <w:szCs w:val="20"/>
        </w:rPr>
        <w:t>O critério de julgamento adotado será o menor preço, conforme definido neste Edital e seus anexos.</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color w:val="000000"/>
          <w:szCs w:val="20"/>
        </w:rPr>
      </w:pPr>
      <w:r>
        <w:rPr>
          <w:rFonts w:cs="Arial"/>
          <w:color w:val="000000"/>
          <w:szCs w:val="20"/>
        </w:rPr>
        <w:t xml:space="preserve"> </w:t>
      </w:r>
      <w:r>
        <w:rPr>
          <w:rFonts w:cs="Arial"/>
          <w:color w:val="000000"/>
          <w:szCs w:val="20"/>
        </w:rPr>
        <w:t>A etapa de lances da sessão pública será encerrada por decisão do Pregoeiro. O sistema eletrônico encaminhará aviso de fechamento iminente dos lances, após o que transcorrerá período de tempo de até 30 (trinta) minutos, aleatoriamente determinado pelo sistema, findo o qual será automaticamente encerrada a recepção de lances.</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color w:val="000000"/>
          <w:szCs w:val="20"/>
          <w:lang w:eastAsia="en-US"/>
        </w:rPr>
      </w:pPr>
      <w:r>
        <w:rPr>
          <w:rFonts w:cs="Arial"/>
          <w:color w:val="000000"/>
          <w:szCs w:val="20"/>
          <w:lang w:eastAsia="en-US"/>
        </w:rPr>
        <w:t>Caso o licitante não apresente lances, concorrerá com o valor de sua proposta e, na hipótese de desistência de apresentar outros lances, valerá o último lance por ele ofertado, para efeito de ordenação das propostas.</w:t>
      </w:r>
    </w:p>
    <w:p>
      <w:pPr>
        <w:pStyle w:val="Normal"/>
        <w:numPr>
          <w:ilvl w:val="1"/>
          <w:numId w:val="2"/>
        </w:numPr>
        <w:tabs>
          <w:tab w:val="left" w:pos="1022" w:leader="none"/>
          <w:tab w:val="left" w:pos="1078" w:leader="none"/>
          <w:tab w:val="left" w:pos="1472" w:leader="none"/>
          <w:tab w:val="left" w:pos="1528" w:leader="none"/>
        </w:tabs>
        <w:spacing w:lineRule="auto" w:line="276" w:before="120" w:after="120"/>
        <w:ind w:left="964" w:right="0" w:hanging="432"/>
        <w:jc w:val="both"/>
        <w:rPr>
          <w:rFonts w:cs="Arial"/>
          <w:szCs w:val="20"/>
        </w:rPr>
      </w:pPr>
      <w:r>
        <w:rPr>
          <w:rFonts w:cs="Arial"/>
          <w:szCs w:val="20"/>
        </w:rPr>
        <w:t>Só se aplica o sorteio quando houver empate entre as propostas e ausência de lances. Lances equivalentes não serão considerados iguais, vez que a ordem de apresentação pelos licitantes é utilizada como um dos critérios de classificação.</w:t>
      </w:r>
    </w:p>
    <w:p>
      <w:pPr>
        <w:pStyle w:val="Normal"/>
        <w:numPr>
          <w:ilvl w:val="0"/>
          <w:numId w:val="2"/>
        </w:numPr>
        <w:tabs>
          <w:tab w:val="left" w:pos="506" w:leader="none"/>
          <w:tab w:val="left" w:pos="1022" w:leader="none"/>
          <w:tab w:val="left" w:pos="1078" w:leader="none"/>
          <w:tab w:val="left" w:pos="1472" w:leader="none"/>
          <w:tab w:val="left" w:pos="1528" w:leader="none"/>
        </w:tabs>
        <w:spacing w:lineRule="auto" w:line="276" w:before="120" w:after="120"/>
        <w:ind w:left="680" w:right="0" w:hanging="360"/>
        <w:jc w:val="both"/>
        <w:rPr>
          <w:b/>
          <w:bCs/>
          <w:szCs w:val="20"/>
          <w:lang w:eastAsia="en-US"/>
        </w:rPr>
      </w:pPr>
      <w:r>
        <w:rPr>
          <w:b/>
          <w:bCs/>
          <w:szCs w:val="20"/>
          <w:lang w:eastAsia="en-US"/>
        </w:rPr>
        <w:t>DA ACEITABILIDADE DA PROPOSTA VENCEDORA.</w:t>
      </w:r>
    </w:p>
    <w:p>
      <w:pPr>
        <w:pStyle w:val="Normal"/>
        <w:numPr>
          <w:ilvl w:val="1"/>
          <w:numId w:val="2"/>
        </w:numPr>
        <w:tabs>
          <w:tab w:val="left" w:pos="853" w:leader="none"/>
          <w:tab w:val="left" w:pos="909" w:leader="none"/>
          <w:tab w:val="left" w:pos="1472" w:leader="none"/>
          <w:tab w:val="left" w:pos="1528" w:leader="none"/>
        </w:tabs>
        <w:spacing w:lineRule="auto" w:line="276" w:before="120" w:after="120"/>
        <w:ind w:left="850" w:right="0" w:hanging="432"/>
        <w:jc w:val="both"/>
        <w:rPr>
          <w:rFonts w:cs="Arial"/>
          <w:color w:val="000000"/>
          <w:szCs w:val="20"/>
          <w:lang w:eastAsia="en-US"/>
        </w:rPr>
      </w:pPr>
      <w:r>
        <w:rPr>
          <w:rFonts w:cs="Arial"/>
          <w:color w:val="000000"/>
          <w:szCs w:val="20"/>
          <w:lang w:eastAsia="en-US"/>
        </w:rPr>
        <w:t>Encerrada a etapa de lances e depois da verificação de possível empate, o Pregoeiro examinará a proposta classificada</w:t>
      </w:r>
      <w:r>
        <w:rPr>
          <w:rFonts w:cs="Arial"/>
          <w:szCs w:val="20"/>
          <w:lang w:eastAsia="en-US"/>
        </w:rPr>
        <w:t xml:space="preserve"> </w:t>
      </w:r>
      <w:r>
        <w:rPr>
          <w:rFonts w:cs="Arial"/>
          <w:color w:val="000000"/>
          <w:szCs w:val="20"/>
          <w:lang w:eastAsia="en-US"/>
        </w:rPr>
        <w:t>em primeiro lugar quanto ao preço, a sua exequibilidade, bem como quanto ao cumprimento das especificações do objeto.</w:t>
      </w:r>
    </w:p>
    <w:p>
      <w:pPr>
        <w:pStyle w:val="Normal"/>
        <w:numPr>
          <w:ilvl w:val="1"/>
          <w:numId w:val="2"/>
        </w:numPr>
        <w:tabs>
          <w:tab w:val="left" w:pos="853" w:leader="none"/>
          <w:tab w:val="left" w:pos="909" w:leader="none"/>
          <w:tab w:val="left" w:pos="1472" w:leader="none"/>
          <w:tab w:val="left" w:pos="1528" w:leader="none"/>
        </w:tabs>
        <w:spacing w:lineRule="auto" w:line="276" w:before="120" w:after="120"/>
        <w:ind w:left="850" w:right="0" w:hanging="432"/>
        <w:jc w:val="both"/>
        <w:rPr>
          <w:rFonts w:cs="Arial"/>
          <w:color w:val="000000"/>
          <w:szCs w:val="20"/>
          <w:lang w:eastAsia="en-US"/>
        </w:rPr>
      </w:pPr>
      <w:r>
        <w:rPr>
          <w:rFonts w:cs="Arial"/>
          <w:color w:val="000000"/>
          <w:szCs w:val="20"/>
          <w:lang w:eastAsia="en-US"/>
        </w:rPr>
        <w:t>Será desclassificada a proposta ou o lance vencedor, nos termos do item 9.1 do Anexo VII-A da In SEGES/MP n. 5/2017, que:</w:t>
      </w:r>
    </w:p>
    <w:p>
      <w:pPr>
        <w:pStyle w:val="Normal"/>
        <w:numPr>
          <w:ilvl w:val="2"/>
          <w:numId w:val="2"/>
        </w:numPr>
        <w:tabs>
          <w:tab w:val="left" w:pos="853" w:leader="none"/>
          <w:tab w:val="left" w:pos="909" w:leader="none"/>
          <w:tab w:val="left" w:pos="1472" w:leader="none"/>
          <w:tab w:val="left" w:pos="1528" w:leader="none"/>
        </w:tabs>
        <w:spacing w:lineRule="auto" w:line="276" w:before="120" w:after="120"/>
        <w:ind w:left="1191" w:right="0" w:hanging="504"/>
        <w:jc w:val="both"/>
        <w:rPr>
          <w:rFonts w:cs="Arial"/>
          <w:szCs w:val="20"/>
        </w:rPr>
      </w:pPr>
      <w:r>
        <w:rPr>
          <w:rFonts w:cs="Arial"/>
          <w:color w:val="000000"/>
          <w:szCs w:val="20"/>
          <w:lang w:eastAsia="en-US"/>
        </w:rPr>
        <w:t>Contenha</w:t>
      </w:r>
      <w:r>
        <w:rPr>
          <w:rFonts w:cs="Arial"/>
          <w:szCs w:val="20"/>
        </w:rPr>
        <w:t xml:space="preserve"> vício insanável ou ilegalidade;</w:t>
      </w:r>
    </w:p>
    <w:p>
      <w:pPr>
        <w:pStyle w:val="Normal"/>
        <w:numPr>
          <w:ilvl w:val="2"/>
          <w:numId w:val="2"/>
        </w:numPr>
        <w:tabs>
          <w:tab w:val="left" w:pos="853" w:leader="none"/>
          <w:tab w:val="left" w:pos="909" w:leader="none"/>
          <w:tab w:val="left" w:pos="1472" w:leader="none"/>
          <w:tab w:val="left" w:pos="1528" w:leader="none"/>
        </w:tabs>
        <w:spacing w:lineRule="auto" w:line="276" w:before="120" w:after="120"/>
        <w:ind w:left="1191" w:right="0" w:hanging="504"/>
        <w:jc w:val="both"/>
        <w:rPr>
          <w:rFonts w:cs="Arial"/>
          <w:szCs w:val="20"/>
        </w:rPr>
      </w:pPr>
      <w:r>
        <w:rPr>
          <w:rFonts w:cs="Arial"/>
          <w:szCs w:val="20"/>
        </w:rPr>
        <w:t xml:space="preserve">Não </w:t>
      </w:r>
      <w:r>
        <w:rPr>
          <w:rFonts w:cs="Arial"/>
          <w:color w:val="000000"/>
          <w:szCs w:val="20"/>
          <w:lang w:eastAsia="en-US"/>
        </w:rPr>
        <w:t>apresente</w:t>
      </w:r>
      <w:r>
        <w:rPr>
          <w:rFonts w:cs="Arial"/>
          <w:szCs w:val="20"/>
        </w:rPr>
        <w:t xml:space="preserve"> as especificações técnicas exigidas pelo Termo de Referência;</w:t>
      </w:r>
    </w:p>
    <w:p>
      <w:pPr>
        <w:pStyle w:val="Normal"/>
        <w:numPr>
          <w:ilvl w:val="2"/>
          <w:numId w:val="2"/>
        </w:numPr>
        <w:tabs>
          <w:tab w:val="left" w:pos="853" w:leader="none"/>
          <w:tab w:val="left" w:pos="909" w:leader="none"/>
          <w:tab w:val="left" w:pos="1472" w:leader="none"/>
          <w:tab w:val="left" w:pos="1528" w:leader="none"/>
        </w:tabs>
        <w:spacing w:lineRule="auto" w:line="276" w:before="120" w:after="120"/>
        <w:ind w:left="1191" w:right="0" w:hanging="504"/>
        <w:jc w:val="both"/>
        <w:rPr>
          <w:rFonts w:cs="Arial"/>
          <w:bCs/>
          <w:szCs w:val="20"/>
        </w:rPr>
      </w:pPr>
      <w:r>
        <w:rPr>
          <w:rFonts w:cs="Arial"/>
          <w:color w:val="000000"/>
          <w:szCs w:val="20"/>
          <w:lang w:eastAsia="en-US"/>
        </w:rPr>
        <w:t>Apresentar</w:t>
      </w:r>
      <w:r>
        <w:rPr>
          <w:rFonts w:cs="Arial"/>
          <w:szCs w:val="20"/>
        </w:rPr>
        <w:t xml:space="preserve"> preço final superior </w:t>
      </w:r>
      <w:r>
        <w:rPr>
          <w:rFonts w:cs="Arial"/>
          <w:bCs/>
          <w:szCs w:val="20"/>
        </w:rPr>
        <w:t xml:space="preserve">ao preço máximo fixado, ou que apresentar preço manifestamente inexequível. </w:t>
      </w:r>
    </w:p>
    <w:p>
      <w:pPr>
        <w:pStyle w:val="Normal"/>
        <w:numPr>
          <w:ilvl w:val="3"/>
          <w:numId w:val="2"/>
        </w:numPr>
        <w:tabs>
          <w:tab w:val="left" w:pos="853" w:leader="none"/>
          <w:tab w:val="left" w:pos="909" w:leader="none"/>
          <w:tab w:val="left" w:pos="1472" w:leader="none"/>
          <w:tab w:val="left" w:pos="1528" w:leader="none"/>
        </w:tabs>
        <w:spacing w:lineRule="auto" w:line="276" w:before="120" w:after="120"/>
        <w:ind w:left="1304" w:right="0" w:hanging="648"/>
        <w:jc w:val="both"/>
        <w:rPr>
          <w:rFonts w:cs="Arial"/>
          <w:szCs w:val="20"/>
        </w:rPr>
      </w:pPr>
      <w:r>
        <w:rPr>
          <w:rFonts w:cs="Arial"/>
          <w:szCs w:val="20"/>
        </w:rPr>
        <w:t xml:space="preserve">Considera-se </w:t>
      </w:r>
      <w:r>
        <w:rPr>
          <w:rFonts w:cs="Arial"/>
          <w:color w:val="000000"/>
          <w:szCs w:val="20"/>
          <w:lang w:eastAsia="en-US"/>
        </w:rPr>
        <w:t>inexequível</w:t>
      </w:r>
      <w:r>
        <w:rPr>
          <w:rFonts w:cs="Arial"/>
          <w:szCs w:val="20"/>
        </w:rPr>
        <w:t xml:space="preserve"> a proposta de preços ou menor lance que:</w:t>
      </w:r>
    </w:p>
    <w:p>
      <w:pPr>
        <w:pStyle w:val="Normal"/>
        <w:numPr>
          <w:ilvl w:val="4"/>
          <w:numId w:val="2"/>
        </w:numPr>
        <w:tabs>
          <w:tab w:val="left" w:pos="853" w:leader="none"/>
          <w:tab w:val="left" w:pos="909" w:leader="none"/>
          <w:tab w:val="left" w:pos="1472" w:leader="none"/>
          <w:tab w:val="left" w:pos="1528" w:leader="none"/>
          <w:tab w:val="left" w:pos="1819" w:leader="none"/>
        </w:tabs>
        <w:spacing w:lineRule="auto" w:line="276" w:before="120" w:after="120"/>
        <w:ind w:left="1191" w:right="0" w:hanging="792"/>
        <w:jc w:val="both"/>
        <w:rPr>
          <w:rFonts w:cs="Arial"/>
          <w:szCs w:val="20"/>
        </w:rPr>
      </w:pPr>
      <w:r>
        <w:rPr>
          <w:rFonts w:cs="Arial"/>
          <w:color w:val="000000"/>
          <w:szCs w:val="20"/>
          <w:lang w:eastAsia="en-US"/>
        </w:rPr>
        <w:t>Comprovadamente</w:t>
      </w:r>
      <w:r>
        <w:rPr>
          <w:rFonts w:cs="Arial"/>
          <w:szCs w:val="20"/>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pPr>
        <w:pStyle w:val="Normal"/>
        <w:numPr>
          <w:ilvl w:val="4"/>
          <w:numId w:val="2"/>
        </w:numPr>
        <w:tabs>
          <w:tab w:val="left" w:pos="853" w:leader="none"/>
          <w:tab w:val="left" w:pos="909" w:leader="none"/>
          <w:tab w:val="left" w:pos="1472" w:leader="none"/>
          <w:tab w:val="left" w:pos="1528" w:leader="none"/>
          <w:tab w:val="left" w:pos="1819" w:leader="none"/>
        </w:tabs>
        <w:spacing w:lineRule="auto" w:line="276" w:before="120" w:after="120"/>
        <w:ind w:left="1191" w:right="0" w:hanging="792"/>
        <w:jc w:val="both"/>
        <w:rPr>
          <w:rFonts w:cs="Arial"/>
          <w:color w:val="000000"/>
          <w:szCs w:val="20"/>
        </w:rPr>
      </w:pPr>
      <w:r>
        <w:rPr>
          <w:rFonts w:cs="Arial"/>
          <w:color w:val="000000"/>
          <w:szCs w:val="20"/>
        </w:rPr>
        <w:t>Apresentar um ou mais valores da planilha de custo que sejam inferiores àqueles fixados em instrumentos de caráter normativo obrigatório, tais como leis, medidas provisórias e convenções coletivas de trabalho vigentes.</w:t>
      </w:r>
    </w:p>
    <w:p>
      <w:pPr>
        <w:pStyle w:val="Normal"/>
        <w:numPr>
          <w:ilvl w:val="1"/>
          <w:numId w:val="2"/>
        </w:numPr>
        <w:tabs>
          <w:tab w:val="left" w:pos="853" w:leader="none"/>
          <w:tab w:val="left" w:pos="909" w:leader="none"/>
          <w:tab w:val="left" w:pos="1472" w:leader="none"/>
          <w:tab w:val="left" w:pos="1528" w:leader="none"/>
          <w:tab w:val="left" w:pos="1819" w:leader="none"/>
        </w:tabs>
        <w:spacing w:lineRule="auto" w:line="276" w:before="120" w:after="120"/>
        <w:ind w:left="794" w:right="0" w:hanging="432"/>
        <w:jc w:val="both"/>
        <w:rPr>
          <w:rFonts w:cs="Arial"/>
          <w:bCs/>
          <w:iCs/>
          <w:color w:val="000000"/>
          <w:szCs w:val="20"/>
        </w:rPr>
      </w:pPr>
      <w:r>
        <w:rPr>
          <w:rFonts w:cs="Arial"/>
          <w:bCs/>
          <w:iCs/>
          <w:color w:val="000000"/>
          <w:szCs w:val="20"/>
        </w:rPr>
        <w:t xml:space="preserve"> </w:t>
      </w:r>
      <w:r>
        <w:rPr>
          <w:rFonts w:cs="Arial"/>
          <w:bCs/>
          <w:iCs/>
          <w:color w:val="000000"/>
          <w:szCs w:val="20"/>
        </w:rPr>
        <w:t>Se houver indícios de inexequibilidade da proposta de preço, ou em caso da necessidade de esclarecimentos complementares, poderão ser efetuadas dil</w:t>
      </w:r>
      <w:bookmarkStart w:id="0" w:name="_GoBack"/>
      <w:bookmarkEnd w:id="0"/>
      <w:r>
        <w:rPr>
          <w:rFonts w:cs="Arial"/>
          <w:bCs/>
          <w:iCs/>
          <w:color w:val="000000"/>
          <w:szCs w:val="20"/>
        </w:rPr>
        <w:t>igências, na forma do § 3° do artigo 43 da Lei n° 8.666, de 1993, a exemplo das enumeradas no item 9.4 do Anexo VII-A da IN SEGES/MP n. 5, de 2017, para que a empresa comprove a exequibilidade da proposta.</w:t>
      </w:r>
    </w:p>
    <w:p>
      <w:pPr>
        <w:pStyle w:val="Normal"/>
        <w:numPr>
          <w:ilvl w:val="1"/>
          <w:numId w:val="2"/>
        </w:numPr>
        <w:tabs>
          <w:tab w:val="left" w:pos="853" w:leader="none"/>
          <w:tab w:val="left" w:pos="909" w:leader="none"/>
          <w:tab w:val="left" w:pos="1472" w:leader="none"/>
          <w:tab w:val="left" w:pos="1528" w:leader="none"/>
          <w:tab w:val="left" w:pos="1819" w:leader="none"/>
        </w:tabs>
        <w:spacing w:lineRule="auto" w:line="276" w:before="120" w:after="120"/>
        <w:ind w:left="794" w:right="0" w:hanging="432"/>
        <w:jc w:val="both"/>
        <w:rPr>
          <w:rFonts w:cs="Arial"/>
          <w:bCs/>
          <w:iCs/>
          <w:color w:val="000000"/>
          <w:szCs w:val="20"/>
        </w:rPr>
      </w:pPr>
      <w:r>
        <w:rPr>
          <w:rFonts w:cs="Arial"/>
          <w:bCs/>
          <w:iCs/>
          <w:color w:val="000000"/>
          <w:szCs w:val="20"/>
        </w:rPr>
        <w:t>Quando o licitante apresentar preço final inferior a 30% (trinta por cento) da média dos preços ofertados para o mesmo item, não sendo possível a sua imediata desclassificação por inexequibilidade, será obrigatória a realização de diligências para o exame da proposta.</w:t>
      </w:r>
    </w:p>
    <w:p>
      <w:pPr>
        <w:pStyle w:val="Normal"/>
        <w:numPr>
          <w:ilvl w:val="1"/>
          <w:numId w:val="2"/>
        </w:numPr>
        <w:tabs>
          <w:tab w:val="left" w:pos="853" w:leader="none"/>
          <w:tab w:val="left" w:pos="909" w:leader="none"/>
          <w:tab w:val="left" w:pos="1472" w:leader="none"/>
          <w:tab w:val="left" w:pos="1528" w:leader="none"/>
          <w:tab w:val="left" w:pos="1819" w:leader="none"/>
        </w:tabs>
        <w:spacing w:lineRule="auto" w:line="276" w:before="120" w:after="120"/>
        <w:ind w:left="794" w:right="0" w:hanging="432"/>
        <w:jc w:val="both"/>
        <w:rPr>
          <w:rFonts w:cs="Arial"/>
          <w:bCs/>
          <w:iCs/>
          <w:color w:val="000000"/>
          <w:szCs w:val="20"/>
        </w:rPr>
      </w:pPr>
      <w:r>
        <w:rPr>
          <w:rFonts w:cs="Arial"/>
          <w:bCs/>
          <w:iCs/>
          <w:color w:val="000000"/>
          <w:szCs w:val="20"/>
        </w:rPr>
        <w:t>Qualquer interessado poderá requerer que se realizem diligências para aferir a exequibilidade e a legalidade das propostas, devendo apresentar as provas ou os indícios que fundamentam a suspeita.</w:t>
      </w:r>
    </w:p>
    <w:p>
      <w:pPr>
        <w:pStyle w:val="Normal"/>
        <w:numPr>
          <w:ilvl w:val="1"/>
          <w:numId w:val="2"/>
        </w:numPr>
        <w:tabs>
          <w:tab w:val="left" w:pos="853" w:leader="none"/>
          <w:tab w:val="left" w:pos="909" w:leader="none"/>
          <w:tab w:val="left" w:pos="1472" w:leader="none"/>
          <w:tab w:val="left" w:pos="1528" w:leader="none"/>
          <w:tab w:val="left" w:pos="1819" w:leader="none"/>
        </w:tabs>
        <w:spacing w:lineRule="auto" w:line="276" w:before="120" w:after="120"/>
        <w:ind w:left="794" w:right="0" w:hanging="432"/>
        <w:jc w:val="both"/>
        <w:rPr>
          <w:rFonts w:cs="Arial"/>
          <w:color w:val="000000"/>
          <w:szCs w:val="20"/>
          <w:lang w:eastAsia="en-US"/>
        </w:rPr>
      </w:pPr>
      <w:r>
        <w:rPr>
          <w:rFonts w:cs="Arial"/>
          <w:color w:val="000000"/>
          <w:szCs w:val="20"/>
          <w:lang w:eastAsia="en-US"/>
        </w:rPr>
        <w:t>O Pregoeiro convocará o licitante para enviar documento digital, por meio de funcionalidade disponível no sistema, estabelecendo no “chat” prazo razoável para tanto, sob pena de não aceitação da proposta.</w:t>
      </w:r>
    </w:p>
    <w:p>
      <w:pPr>
        <w:pStyle w:val="Normal"/>
        <w:numPr>
          <w:ilvl w:val="2"/>
          <w:numId w:val="2"/>
        </w:numPr>
        <w:tabs>
          <w:tab w:val="left" w:pos="853" w:leader="none"/>
          <w:tab w:val="left" w:pos="909" w:leader="none"/>
          <w:tab w:val="left" w:pos="1472" w:leader="none"/>
          <w:tab w:val="left" w:pos="1528" w:leader="none"/>
          <w:tab w:val="left" w:pos="1819" w:leader="none"/>
        </w:tabs>
        <w:spacing w:lineRule="auto" w:line="276" w:before="120" w:after="120"/>
        <w:ind w:left="1191" w:right="0" w:hanging="504"/>
        <w:jc w:val="both"/>
        <w:rPr>
          <w:rFonts w:cs="Arial"/>
          <w:color w:val="000000"/>
          <w:szCs w:val="20"/>
          <w:lang w:eastAsia="en-US"/>
        </w:rPr>
      </w:pPr>
      <w:r>
        <w:rPr>
          <w:rFonts w:cs="Arial"/>
          <w:color w:val="000000"/>
          <w:szCs w:val="20"/>
          <w:lang w:eastAsia="en-US"/>
        </w:rPr>
        <w:t>O prazo estabelecido pelo Pregoeiro poderá ser prorrogado, por solicitação escrita e justificada do licitanteformulada antes de findo o prazo estabelecido, e formalmente aceita pelo Pregoeiro.</w:t>
      </w:r>
    </w:p>
    <w:p>
      <w:pPr>
        <w:pStyle w:val="Normal"/>
        <w:numPr>
          <w:ilvl w:val="2"/>
          <w:numId w:val="2"/>
        </w:numPr>
        <w:tabs>
          <w:tab w:val="left" w:pos="853" w:leader="none"/>
          <w:tab w:val="left" w:pos="909" w:leader="none"/>
          <w:tab w:val="left" w:pos="1472" w:leader="none"/>
          <w:tab w:val="left" w:pos="1528" w:leader="none"/>
          <w:tab w:val="left" w:pos="1819" w:leader="none"/>
        </w:tabs>
        <w:spacing w:lineRule="auto" w:line="276" w:before="120" w:after="120"/>
        <w:ind w:left="1191" w:right="0" w:hanging="504"/>
        <w:jc w:val="both"/>
        <w:rPr>
          <w:rFonts w:cs="Arial"/>
          <w:color w:val="000000"/>
          <w:szCs w:val="20"/>
          <w:lang w:eastAsia="en-US"/>
        </w:rPr>
      </w:pPr>
      <w:r>
        <w:rPr>
          <w:rFonts w:cs="Arial"/>
          <w:color w:val="000000"/>
          <w:szCs w:val="20"/>
          <w:lang w:eastAsia="en-US"/>
        </w:rPr>
        <w:t>Serão analisadas pelo pregoeiro, equipe de apoio e equipe técnica a correta discriminação dos serviços ofertados verificando a sua conformidade com o solicitado em Edital, assim como será avaliada o valor da proposta apresentada.</w:t>
      </w:r>
    </w:p>
    <w:p>
      <w:pPr>
        <w:pStyle w:val="Normal"/>
        <w:numPr>
          <w:ilvl w:val="1"/>
          <w:numId w:val="2"/>
        </w:numPr>
        <w:tabs>
          <w:tab w:val="left" w:pos="853" w:leader="none"/>
          <w:tab w:val="left" w:pos="909" w:leader="none"/>
          <w:tab w:val="left" w:pos="1472" w:leader="none"/>
          <w:tab w:val="left" w:pos="1528" w:leader="none"/>
          <w:tab w:val="left" w:pos="1819" w:leader="none"/>
        </w:tabs>
        <w:spacing w:lineRule="auto" w:line="276" w:before="120" w:after="120"/>
        <w:ind w:left="794" w:right="0" w:hanging="432"/>
        <w:jc w:val="both"/>
        <w:rPr>
          <w:rFonts w:cs="Arial"/>
          <w:color w:val="000000"/>
          <w:szCs w:val="20"/>
          <w:lang w:eastAsia="en-US"/>
        </w:rPr>
      </w:pPr>
      <w:r>
        <w:rPr>
          <w:rFonts w:cs="Arial"/>
          <w:color w:val="000000"/>
          <w:szCs w:val="20"/>
          <w:lang w:eastAsia="en-US"/>
        </w:rPr>
        <w:t>Se a proposta ou lance vencedor for desclassificado, o Pregoeiro examinará a proposta ou lance subsequente, e, assim sucessivamente, na ordem de classificação.</w:t>
      </w:r>
    </w:p>
    <w:p>
      <w:pPr>
        <w:pStyle w:val="Normal"/>
        <w:numPr>
          <w:ilvl w:val="1"/>
          <w:numId w:val="2"/>
        </w:numPr>
        <w:tabs>
          <w:tab w:val="left" w:pos="853" w:leader="none"/>
          <w:tab w:val="left" w:pos="909" w:leader="none"/>
          <w:tab w:val="left" w:pos="1472" w:leader="none"/>
          <w:tab w:val="left" w:pos="1528" w:leader="none"/>
          <w:tab w:val="left" w:pos="1819" w:leader="none"/>
        </w:tabs>
        <w:spacing w:lineRule="auto" w:line="276" w:before="120" w:after="120"/>
        <w:ind w:left="794" w:right="0" w:hanging="432"/>
        <w:jc w:val="both"/>
        <w:rPr>
          <w:rFonts w:cs="Arial"/>
          <w:color w:val="000000"/>
          <w:szCs w:val="20"/>
          <w:lang w:eastAsia="en-US"/>
        </w:rPr>
      </w:pPr>
      <w:r>
        <w:rPr>
          <w:rFonts w:cs="Arial"/>
          <w:color w:val="000000"/>
          <w:szCs w:val="20"/>
          <w:lang w:eastAsia="en-US"/>
        </w:rPr>
        <w:t>Havendo necessidade, o Pregoeiro suspenderá a sessão, informando no “chat” a nova data e horário para a continuidade da mesma.</w:t>
      </w:r>
    </w:p>
    <w:p>
      <w:pPr>
        <w:pStyle w:val="Normal"/>
        <w:numPr>
          <w:ilvl w:val="1"/>
          <w:numId w:val="2"/>
        </w:numPr>
        <w:tabs>
          <w:tab w:val="left" w:pos="853" w:leader="none"/>
          <w:tab w:val="left" w:pos="909" w:leader="none"/>
          <w:tab w:val="left" w:pos="1472" w:leader="none"/>
          <w:tab w:val="left" w:pos="1528" w:leader="none"/>
          <w:tab w:val="left" w:pos="1819" w:leader="none"/>
        </w:tabs>
        <w:spacing w:lineRule="auto" w:line="276" w:before="120" w:after="120"/>
        <w:ind w:left="794" w:right="0" w:hanging="432"/>
        <w:jc w:val="both"/>
        <w:rPr>
          <w:rFonts w:cs="Arial"/>
          <w:color w:val="000000"/>
          <w:szCs w:val="20"/>
          <w:lang w:eastAsia="en-US"/>
        </w:rPr>
      </w:pPr>
      <w:r>
        <w:rPr>
          <w:rFonts w:cs="Arial"/>
          <w:color w:val="000000"/>
          <w:szCs w:val="20"/>
          <w:lang w:eastAsia="en-US"/>
        </w:rPr>
        <w:t>O Pregoeiro poderá encaminhar, por meio do sistema eletrônico, contraproposta ao licitante que apresentou o lance mais vantajoso, com o fim de negociar a obtenção de melhor preço, vedada a negociação em condições diversas das previstas neste Edital.</w:t>
      </w:r>
    </w:p>
    <w:p>
      <w:pPr>
        <w:pStyle w:val="Normal"/>
        <w:numPr>
          <w:ilvl w:val="2"/>
          <w:numId w:val="2"/>
        </w:numPr>
        <w:tabs>
          <w:tab w:val="left" w:pos="853" w:leader="none"/>
          <w:tab w:val="left" w:pos="909" w:leader="none"/>
          <w:tab w:val="left" w:pos="1472" w:leader="none"/>
          <w:tab w:val="left" w:pos="1528" w:leader="none"/>
          <w:tab w:val="left" w:pos="1819" w:leader="none"/>
        </w:tabs>
        <w:spacing w:lineRule="auto" w:line="276" w:before="120" w:after="120"/>
        <w:ind w:left="1191" w:right="0" w:hanging="504"/>
        <w:jc w:val="both"/>
        <w:rPr>
          <w:rFonts w:cs="Arial"/>
          <w:color w:val="000000"/>
          <w:szCs w:val="20"/>
          <w:lang w:eastAsia="en-US"/>
        </w:rPr>
      </w:pPr>
      <w:r>
        <w:rPr>
          <w:rFonts w:cs="Arial"/>
          <w:color w:val="000000"/>
          <w:szCs w:val="20"/>
          <w:lang w:eastAsia="en-US"/>
        </w:rPr>
        <w:t xml:space="preserve"> </w:t>
      </w:r>
      <w:r>
        <w:rPr>
          <w:rFonts w:cs="Arial"/>
          <w:color w:val="000000"/>
          <w:szCs w:val="20"/>
          <w:lang w:eastAsia="en-US"/>
        </w:rPr>
        <w:t>Também nas hipóteses em que o Pregoeiro não aceitar a proposta e passar à subsequente, poderá negociar com o licitante para que seja obtido preço melhor.</w:t>
      </w:r>
    </w:p>
    <w:p>
      <w:pPr>
        <w:pStyle w:val="Normal"/>
        <w:numPr>
          <w:ilvl w:val="2"/>
          <w:numId w:val="2"/>
        </w:numPr>
        <w:tabs>
          <w:tab w:val="left" w:pos="853" w:leader="none"/>
          <w:tab w:val="left" w:pos="909" w:leader="none"/>
          <w:tab w:val="left" w:pos="1472" w:leader="none"/>
          <w:tab w:val="left" w:pos="1528" w:leader="none"/>
          <w:tab w:val="left" w:pos="1819" w:leader="none"/>
        </w:tabs>
        <w:spacing w:lineRule="auto" w:line="276" w:before="120" w:after="120"/>
        <w:ind w:left="1191" w:right="0" w:hanging="504"/>
        <w:jc w:val="both"/>
        <w:rPr>
          <w:rFonts w:cs="Arial"/>
          <w:color w:val="000000"/>
          <w:szCs w:val="20"/>
          <w:lang w:eastAsia="en-US"/>
        </w:rPr>
      </w:pPr>
      <w:r>
        <w:rPr>
          <w:rFonts w:cs="Arial"/>
          <w:color w:val="000000"/>
          <w:szCs w:val="20"/>
          <w:lang w:eastAsia="en-US"/>
        </w:rPr>
        <w:t>A negociação será realizada por meio do sistema, podendo ser acompanhada pelos demais licitantes.</w:t>
      </w:r>
    </w:p>
    <w:p>
      <w:pPr>
        <w:pStyle w:val="Normal"/>
        <w:numPr>
          <w:ilvl w:val="1"/>
          <w:numId w:val="2"/>
        </w:numPr>
        <w:tabs>
          <w:tab w:val="left" w:pos="853" w:leader="none"/>
          <w:tab w:val="left" w:pos="909" w:leader="none"/>
          <w:tab w:val="left" w:pos="1134" w:leader="none"/>
        </w:tabs>
        <w:spacing w:lineRule="auto" w:line="276" w:before="120" w:after="120"/>
        <w:ind w:left="850" w:right="0" w:hanging="432"/>
        <w:jc w:val="both"/>
        <w:rPr>
          <w:rFonts w:cs="Arial"/>
          <w:color w:val="000000"/>
          <w:szCs w:val="20"/>
          <w:lang w:eastAsia="en-US"/>
        </w:rPr>
      </w:pPr>
      <w:r>
        <w:rPr>
          <w:rFonts w:cs="Arial"/>
          <w:color w:val="000000"/>
          <w:szCs w:val="20"/>
          <w:lang w:eastAsia="en-US"/>
        </w:rPr>
        <w:t>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pPr>
        <w:pStyle w:val="Normal"/>
        <w:numPr>
          <w:ilvl w:val="0"/>
          <w:numId w:val="2"/>
        </w:numPr>
        <w:tabs>
          <w:tab w:val="left" w:pos="853" w:leader="none"/>
          <w:tab w:val="left" w:pos="909" w:leader="none"/>
          <w:tab w:val="left" w:pos="1134" w:leader="none"/>
        </w:tabs>
        <w:spacing w:lineRule="auto" w:line="276" w:before="120" w:after="120"/>
        <w:ind w:left="454" w:right="0" w:hanging="360"/>
        <w:jc w:val="both"/>
        <w:rPr>
          <w:rFonts w:cs="Arial"/>
          <w:b/>
          <w:color w:val="000000"/>
          <w:szCs w:val="20"/>
          <w:lang w:eastAsia="en-US"/>
        </w:rPr>
      </w:pPr>
      <w:r>
        <w:rPr>
          <w:rFonts w:cs="Arial"/>
          <w:b/>
          <w:color w:val="000000"/>
          <w:szCs w:val="20"/>
          <w:lang w:eastAsia="en-US"/>
        </w:rPr>
        <w:t>DO ENCAMINHAMENTO DA PROPOSTA VENCEDORA</w:t>
      </w:r>
    </w:p>
    <w:p>
      <w:pPr>
        <w:pStyle w:val="Normal"/>
        <w:numPr>
          <w:ilvl w:val="1"/>
          <w:numId w:val="2"/>
        </w:numPr>
        <w:tabs>
          <w:tab w:val="left" w:pos="797" w:leader="none"/>
          <w:tab w:val="left" w:pos="909" w:leader="none"/>
          <w:tab w:val="left" w:pos="1134" w:leader="none"/>
        </w:tabs>
        <w:spacing w:lineRule="auto" w:line="276" w:before="120" w:after="120"/>
        <w:ind w:left="794" w:right="0" w:hanging="432"/>
        <w:jc w:val="both"/>
        <w:rPr>
          <w:rFonts w:cs="Arial"/>
          <w:color w:val="000000"/>
          <w:szCs w:val="20"/>
          <w:lang w:eastAsia="en-US"/>
        </w:rPr>
      </w:pPr>
      <w:r>
        <w:rPr>
          <w:rFonts w:cs="Arial"/>
          <w:color w:val="000000"/>
          <w:szCs w:val="20"/>
          <w:lang w:eastAsia="en-US"/>
        </w:rPr>
        <w:t>A proposta final do licitante declarado vencedor deverá ser encaminhada no prazo de 02 (duas) horas, a contar da solicitação do Pregoeiro no sistema eletrônico e deverá:</w:t>
      </w:r>
    </w:p>
    <w:p>
      <w:pPr>
        <w:pStyle w:val="Normal"/>
        <w:numPr>
          <w:ilvl w:val="2"/>
          <w:numId w:val="2"/>
        </w:numPr>
        <w:tabs>
          <w:tab w:val="left" w:pos="797" w:leader="none"/>
          <w:tab w:val="left" w:pos="909" w:leader="none"/>
          <w:tab w:val="left" w:pos="1134" w:leader="none"/>
        </w:tabs>
        <w:spacing w:lineRule="auto" w:line="276" w:before="120" w:after="120"/>
        <w:ind w:left="1191" w:right="0" w:hanging="504"/>
        <w:jc w:val="both"/>
        <w:rPr>
          <w:rFonts w:cs="Arial"/>
          <w:color w:val="000000"/>
          <w:szCs w:val="20"/>
          <w:lang w:eastAsia="en-US"/>
        </w:rPr>
      </w:pPr>
      <w:r>
        <w:rPr>
          <w:rFonts w:cs="Arial"/>
          <w:color w:val="000000"/>
          <w:szCs w:val="20"/>
          <w:lang w:eastAsia="en-US"/>
        </w:rPr>
        <w:t>Ser redigida em língua portuguesa, digitada em uma via, sem emendas, rasuras, entrelinhas ou ressalvas, devendo a última folha ser assinada e as demais rubricadas pelo licitante ou seu representante legal.</w:t>
      </w:r>
    </w:p>
    <w:p>
      <w:pPr>
        <w:pStyle w:val="Normal"/>
        <w:numPr>
          <w:ilvl w:val="2"/>
          <w:numId w:val="2"/>
        </w:numPr>
        <w:tabs>
          <w:tab w:val="left" w:pos="797" w:leader="none"/>
          <w:tab w:val="left" w:pos="909" w:leader="none"/>
          <w:tab w:val="left" w:pos="1134" w:leader="none"/>
        </w:tabs>
        <w:spacing w:lineRule="auto" w:line="276" w:before="120" w:after="120"/>
        <w:ind w:left="1191" w:right="0" w:hanging="504"/>
        <w:jc w:val="both"/>
        <w:rPr>
          <w:rFonts w:cs="Arial"/>
          <w:color w:val="000000"/>
          <w:szCs w:val="20"/>
          <w:lang w:eastAsia="en-US"/>
        </w:rPr>
      </w:pPr>
      <w:r>
        <w:rPr>
          <w:rFonts w:cs="Arial"/>
          <w:color w:val="000000"/>
          <w:szCs w:val="20"/>
          <w:lang w:eastAsia="en-US"/>
        </w:rPr>
        <w:t>Ser encaminhada pela empresa vencedora do item na forma do Modelo para Apresentação de Proposta – Anexo III do edital, ou em modelo próprio da proponente, contendo, no mínimo, as mesmas informações do referido anexo.</w:t>
      </w:r>
    </w:p>
    <w:p>
      <w:pPr>
        <w:pStyle w:val="Normal"/>
        <w:numPr>
          <w:ilvl w:val="1"/>
          <w:numId w:val="2"/>
        </w:numPr>
        <w:tabs>
          <w:tab w:val="left" w:pos="797" w:leader="none"/>
          <w:tab w:val="left" w:pos="909" w:leader="none"/>
        </w:tabs>
        <w:spacing w:lineRule="auto" w:line="276" w:before="120" w:after="120"/>
        <w:ind w:left="850" w:right="0" w:hanging="432"/>
        <w:jc w:val="both"/>
        <w:rPr>
          <w:rFonts w:cs="Arial"/>
          <w:color w:val="000000"/>
          <w:szCs w:val="20"/>
          <w:lang w:eastAsia="en-US"/>
        </w:rPr>
      </w:pPr>
      <w:r>
        <w:rPr>
          <w:rFonts w:cs="Arial"/>
          <w:color w:val="000000"/>
          <w:szCs w:val="20"/>
          <w:lang w:eastAsia="en-US"/>
        </w:rPr>
        <w:t>Deverá se encaminhado o Plano de Ensino para a(s) turma(s) a ser(em) criada(s) para o Curso de Inglês – Instrumental, descrevendo, pelo menos os seguintes tópicos:</w:t>
      </w:r>
    </w:p>
    <w:p>
      <w:pPr>
        <w:pStyle w:val="Normal"/>
        <w:numPr>
          <w:ilvl w:val="2"/>
          <w:numId w:val="2"/>
        </w:numPr>
        <w:tabs>
          <w:tab w:val="left" w:pos="797" w:leader="none"/>
          <w:tab w:val="left" w:pos="909" w:leader="none"/>
        </w:tabs>
        <w:spacing w:lineRule="auto" w:line="276" w:before="120" w:after="120"/>
        <w:ind w:left="1247" w:right="0" w:hanging="504"/>
        <w:jc w:val="both"/>
        <w:rPr>
          <w:rFonts w:cs="Arial"/>
          <w:color w:val="000000"/>
          <w:szCs w:val="20"/>
          <w:lang w:eastAsia="en-US"/>
        </w:rPr>
      </w:pPr>
      <w:r>
        <w:rPr>
          <w:rFonts w:cs="Arial"/>
          <w:color w:val="000000"/>
          <w:szCs w:val="20"/>
          <w:lang w:eastAsia="en-US"/>
        </w:rPr>
        <w:t>Objetivos da disciplina;</w:t>
      </w:r>
    </w:p>
    <w:p>
      <w:pPr>
        <w:pStyle w:val="Normal"/>
        <w:numPr>
          <w:ilvl w:val="2"/>
          <w:numId w:val="2"/>
        </w:numPr>
        <w:tabs>
          <w:tab w:val="left" w:pos="797" w:leader="none"/>
          <w:tab w:val="left" w:pos="909" w:leader="none"/>
        </w:tabs>
        <w:spacing w:lineRule="auto" w:line="276" w:before="120" w:after="120"/>
        <w:ind w:left="1247" w:right="0" w:hanging="504"/>
        <w:jc w:val="both"/>
        <w:rPr>
          <w:rFonts w:cs="Arial"/>
          <w:color w:val="000000"/>
          <w:szCs w:val="20"/>
          <w:lang w:eastAsia="en-US"/>
        </w:rPr>
      </w:pPr>
      <w:r>
        <w:rPr>
          <w:rFonts w:cs="Arial"/>
          <w:color w:val="000000"/>
          <w:szCs w:val="20"/>
          <w:lang w:eastAsia="en-US"/>
        </w:rPr>
        <w:t>Conteúdo Programático;</w:t>
      </w:r>
    </w:p>
    <w:p>
      <w:pPr>
        <w:pStyle w:val="Normal"/>
        <w:numPr>
          <w:ilvl w:val="2"/>
          <w:numId w:val="2"/>
        </w:numPr>
        <w:tabs>
          <w:tab w:val="left" w:pos="797" w:leader="none"/>
          <w:tab w:val="left" w:pos="909" w:leader="none"/>
        </w:tabs>
        <w:spacing w:lineRule="auto" w:line="276" w:before="120" w:after="120"/>
        <w:ind w:left="1247" w:right="0" w:hanging="504"/>
        <w:jc w:val="both"/>
        <w:rPr>
          <w:rFonts w:cs="Arial"/>
          <w:color w:val="000000"/>
          <w:szCs w:val="20"/>
          <w:lang w:eastAsia="en-US"/>
        </w:rPr>
      </w:pPr>
      <w:r>
        <w:rPr>
          <w:rFonts w:cs="Arial"/>
          <w:color w:val="000000"/>
          <w:szCs w:val="20"/>
          <w:lang w:eastAsia="en-US"/>
        </w:rPr>
        <w:t>Metodologia utilizada: Livros, programas de computador ou aplicativos utilizados nas aulas;</w:t>
      </w:r>
    </w:p>
    <w:p>
      <w:pPr>
        <w:pStyle w:val="Normal"/>
        <w:numPr>
          <w:ilvl w:val="2"/>
          <w:numId w:val="2"/>
        </w:numPr>
        <w:tabs>
          <w:tab w:val="left" w:pos="797" w:leader="none"/>
          <w:tab w:val="left" w:pos="909" w:leader="none"/>
        </w:tabs>
        <w:spacing w:lineRule="auto" w:line="276" w:before="120" w:after="120"/>
        <w:ind w:left="1247" w:right="0" w:hanging="504"/>
        <w:jc w:val="both"/>
        <w:rPr>
          <w:rFonts w:cs="Arial"/>
          <w:color w:val="000000"/>
          <w:szCs w:val="20"/>
          <w:lang w:eastAsia="en-US"/>
        </w:rPr>
      </w:pPr>
      <w:r>
        <w:rPr>
          <w:rFonts w:cs="Arial"/>
          <w:color w:val="000000"/>
          <w:szCs w:val="20"/>
          <w:lang w:eastAsia="en-US"/>
        </w:rPr>
        <w:t>Forma de avaliação dos alunos</w:t>
      </w:r>
    </w:p>
    <w:p>
      <w:pPr>
        <w:pStyle w:val="Normal"/>
        <w:numPr>
          <w:ilvl w:val="1"/>
          <w:numId w:val="2"/>
        </w:numPr>
        <w:tabs>
          <w:tab w:val="left" w:pos="797" w:leader="none"/>
          <w:tab w:val="left" w:pos="909" w:leader="none"/>
        </w:tabs>
        <w:spacing w:lineRule="auto" w:line="276" w:before="120" w:after="120"/>
        <w:ind w:left="850" w:right="0" w:hanging="432"/>
        <w:jc w:val="both"/>
        <w:rPr>
          <w:rFonts w:cs="Arial"/>
          <w:color w:val="000000"/>
          <w:szCs w:val="20"/>
          <w:lang w:eastAsia="en-US"/>
        </w:rPr>
      </w:pPr>
      <w:r>
        <w:rPr>
          <w:rFonts w:cs="Arial"/>
          <w:color w:val="000000"/>
          <w:szCs w:val="20"/>
          <w:lang w:eastAsia="en-US"/>
        </w:rPr>
        <w:t xml:space="preserve"> </w:t>
      </w:r>
      <w:r>
        <w:rPr>
          <w:rFonts w:cs="Arial"/>
          <w:color w:val="000000"/>
          <w:szCs w:val="20"/>
          <w:lang w:eastAsia="en-US"/>
        </w:rPr>
        <w:t>A proposta final deverá ser documentada nos autos e será levada em consideração no decorrer da execução do contrato e aplicação de eventual sanção à Contratada, se for o caso.</w:t>
      </w:r>
    </w:p>
    <w:p>
      <w:pPr>
        <w:pStyle w:val="Normal"/>
        <w:numPr>
          <w:ilvl w:val="2"/>
          <w:numId w:val="2"/>
        </w:numPr>
        <w:tabs>
          <w:tab w:val="left" w:pos="797" w:leader="none"/>
          <w:tab w:val="left" w:pos="909" w:leader="none"/>
          <w:tab w:val="left" w:pos="1472" w:leader="none"/>
        </w:tabs>
        <w:spacing w:lineRule="auto" w:line="276" w:before="120" w:after="120"/>
        <w:ind w:left="1304" w:right="0" w:hanging="504"/>
        <w:jc w:val="both"/>
        <w:rPr>
          <w:rFonts w:cs="Arial"/>
          <w:color w:val="000000"/>
          <w:szCs w:val="20"/>
          <w:lang w:eastAsia="en-US"/>
        </w:rPr>
      </w:pPr>
      <w:r>
        <w:rPr>
          <w:rFonts w:cs="Arial"/>
          <w:color w:val="000000"/>
          <w:szCs w:val="20"/>
          <w:lang w:eastAsia="en-US"/>
        </w:rPr>
        <w:t>Todas as especificações do objeto contidas na proposta vinculam a Contratada.</w:t>
      </w:r>
    </w:p>
    <w:p>
      <w:pPr>
        <w:pStyle w:val="Normal"/>
        <w:numPr>
          <w:ilvl w:val="0"/>
          <w:numId w:val="2"/>
        </w:numPr>
        <w:tabs>
          <w:tab w:val="left" w:pos="797" w:leader="none"/>
          <w:tab w:val="left" w:pos="909" w:leader="none"/>
          <w:tab w:val="left" w:pos="1472" w:leader="none"/>
        </w:tabs>
        <w:spacing w:lineRule="auto" w:line="276" w:before="120" w:after="120"/>
        <w:ind w:left="510" w:right="0" w:hanging="360"/>
        <w:jc w:val="both"/>
        <w:rPr>
          <w:b/>
          <w:bCs/>
          <w:szCs w:val="20"/>
          <w:lang w:eastAsia="en-US"/>
        </w:rPr>
      </w:pPr>
      <w:r>
        <w:rPr>
          <w:b/>
          <w:bCs/>
          <w:szCs w:val="20"/>
          <w:lang w:eastAsia="en-US"/>
        </w:rPr>
        <w:t>DA HABILITAÇÃO</w:t>
      </w:r>
    </w:p>
    <w:p>
      <w:pPr>
        <w:pStyle w:val="Normal"/>
        <w:numPr>
          <w:ilvl w:val="1"/>
          <w:numId w:val="2"/>
        </w:numPr>
        <w:tabs>
          <w:tab w:val="left" w:pos="797" w:leader="none"/>
          <w:tab w:val="left" w:pos="909" w:leader="none"/>
          <w:tab w:val="left" w:pos="1472" w:leader="none"/>
        </w:tabs>
        <w:spacing w:lineRule="auto" w:line="276" w:before="120" w:after="120"/>
        <w:ind w:left="907" w:right="0" w:hanging="432"/>
        <w:jc w:val="both"/>
        <w:rPr>
          <w:rFonts w:cs="Arial"/>
          <w:szCs w:val="20"/>
        </w:rPr>
      </w:pPr>
      <w:r>
        <w:rPr>
          <w:rFonts w:cs="Arial"/>
          <w:szCs w:val="20"/>
          <w:lang w:eastAsia="ar-SA"/>
        </w:rPr>
        <w:t>Como condição prévia ao exame da documentação de habilitação</w:t>
      </w:r>
      <w:r>
        <w:rPr>
          <w:rFonts w:cs="Arial"/>
          <w:szCs w:val="20"/>
        </w:rPr>
        <w:t xml:space="preserve"> do licitante detentor da proposta </w:t>
      </w:r>
      <w:r>
        <w:rPr>
          <w:rFonts w:cs="Arial"/>
          <w:color w:val="000000"/>
          <w:szCs w:val="20"/>
        </w:rPr>
        <w:t>classificada em primeiro lugar</w:t>
      </w:r>
      <w:r>
        <w:rPr>
          <w:rFonts w:cs="Arial"/>
          <w:szCs w:val="20"/>
          <w:lang w:eastAsia="ar-SA"/>
        </w:rPr>
        <w:t xml:space="preserve">, </w:t>
      </w:r>
      <w:r>
        <w:rPr>
          <w:rFonts w:cs="Arial"/>
          <w:szCs w:val="20"/>
        </w:rPr>
        <w:t xml:space="preserve">o Pregoeiro </w:t>
      </w:r>
      <w:r>
        <w:rPr>
          <w:rFonts w:cs="Arial"/>
          <w:szCs w:val="20"/>
          <w:lang w:eastAsia="ar-SA"/>
        </w:rPr>
        <w:t>verificará o eventual descumprimento das condições de participação, especialmente quanto à</w:t>
      </w:r>
      <w:r>
        <w:rPr>
          <w:rFonts w:cs="Arial"/>
          <w:szCs w:val="20"/>
        </w:rPr>
        <w:t xml:space="preserve"> existência de sanção que impeça a participação no certame ou a futura contratação, mediante a consulta aos seguintes cadastros:</w:t>
      </w:r>
    </w:p>
    <w:p>
      <w:pPr>
        <w:pStyle w:val="Normal"/>
        <w:numPr>
          <w:ilvl w:val="2"/>
          <w:numId w:val="2"/>
        </w:numPr>
        <w:tabs>
          <w:tab w:val="left" w:pos="797" w:leader="none"/>
          <w:tab w:val="left" w:pos="909" w:leader="none"/>
          <w:tab w:val="left" w:pos="1191" w:leader="none"/>
        </w:tabs>
        <w:spacing w:lineRule="auto" w:line="276" w:before="120" w:after="120"/>
        <w:ind w:left="907" w:right="0" w:hanging="504"/>
        <w:jc w:val="both"/>
        <w:rPr>
          <w:rFonts w:cs="Arial"/>
          <w:szCs w:val="20"/>
        </w:rPr>
      </w:pPr>
      <w:r>
        <w:rPr>
          <w:rFonts w:cs="Arial"/>
          <w:szCs w:val="20"/>
        </w:rPr>
        <w:t>SICAF;</w:t>
      </w:r>
    </w:p>
    <w:p>
      <w:pPr>
        <w:pStyle w:val="Normal"/>
        <w:numPr>
          <w:ilvl w:val="2"/>
          <w:numId w:val="2"/>
        </w:numPr>
        <w:tabs>
          <w:tab w:val="left" w:pos="797" w:leader="none"/>
          <w:tab w:val="left" w:pos="909" w:leader="none"/>
          <w:tab w:val="left" w:pos="1191" w:leader="none"/>
        </w:tabs>
        <w:spacing w:lineRule="auto" w:line="276" w:before="120" w:after="120"/>
        <w:ind w:left="907" w:right="0" w:hanging="504"/>
        <w:jc w:val="both"/>
        <w:rPr>
          <w:rFonts w:cs="Arial"/>
          <w:szCs w:val="20"/>
        </w:rPr>
      </w:pPr>
      <w:r>
        <w:rPr>
          <w:rFonts w:cs="Arial"/>
          <w:szCs w:val="20"/>
        </w:rPr>
        <w:t>Cadastro Nacional de Empresas Inidôneas e Suspensas – CEIS, mantido pela Controladoria-Geral da União (</w:t>
      </w:r>
      <w:hyperlink r:id="rId9">
        <w:r>
          <w:rPr>
            <w:rStyle w:val="LinkdaInternet"/>
            <w:rFonts w:cs="Arial"/>
            <w:szCs w:val="20"/>
          </w:rPr>
          <w:t>www.portaldatransparencia.gov.br/ceis</w:t>
        </w:r>
      </w:hyperlink>
      <w:r>
        <w:rPr>
          <w:rFonts w:cs="Arial"/>
          <w:szCs w:val="20"/>
        </w:rPr>
        <w:t>);</w:t>
      </w:r>
    </w:p>
    <w:p>
      <w:pPr>
        <w:pStyle w:val="Normal"/>
        <w:numPr>
          <w:ilvl w:val="2"/>
          <w:numId w:val="2"/>
        </w:numPr>
        <w:tabs>
          <w:tab w:val="left" w:pos="797" w:leader="none"/>
          <w:tab w:val="left" w:pos="909" w:leader="none"/>
          <w:tab w:val="left" w:pos="1191" w:leader="none"/>
        </w:tabs>
        <w:spacing w:lineRule="auto" w:line="276" w:before="120" w:after="120"/>
        <w:ind w:left="907" w:right="0" w:hanging="504"/>
        <w:jc w:val="both"/>
        <w:rPr>
          <w:rFonts w:cs="Arial"/>
          <w:szCs w:val="20"/>
        </w:rPr>
      </w:pPr>
      <w:r>
        <w:rPr>
          <w:rFonts w:cs="Arial"/>
          <w:bCs/>
          <w:szCs w:val="20"/>
        </w:rPr>
        <w:t>Cadastro Nacional de Condenações Cíveis por Atos de Improbidade Administrativa, mantido pelo Conselho Nacional de Justiça</w:t>
      </w:r>
      <w:r>
        <w:rPr>
          <w:rFonts w:cs="Arial"/>
          <w:szCs w:val="20"/>
        </w:rPr>
        <w:t xml:space="preserve"> (</w:t>
      </w:r>
      <w:hyperlink r:id="rId10">
        <w:r>
          <w:rPr>
            <w:rStyle w:val="LinkdaInternet"/>
            <w:rFonts w:cs="Arial"/>
            <w:szCs w:val="20"/>
          </w:rPr>
          <w:t>www.</w:t>
        </w:r>
        <w:r>
          <w:rPr>
            <w:rStyle w:val="LinkdaInternet"/>
            <w:rFonts w:cs="Arial"/>
            <w:bCs/>
            <w:szCs w:val="20"/>
          </w:rPr>
          <w:t>cnj</w:t>
        </w:r>
        <w:r>
          <w:rPr>
            <w:rStyle w:val="LinkdaInternet"/>
            <w:rFonts w:cs="Arial"/>
            <w:szCs w:val="20"/>
          </w:rPr>
          <w:t>.jus.br/</w:t>
        </w:r>
        <w:r>
          <w:rPr>
            <w:rStyle w:val="LinkdaInternet"/>
            <w:rFonts w:cs="Arial"/>
            <w:bCs/>
            <w:szCs w:val="20"/>
          </w:rPr>
          <w:t>improbidade</w:t>
        </w:r>
        <w:r>
          <w:rPr>
            <w:rStyle w:val="LinkdaInternet"/>
            <w:rFonts w:cs="Arial"/>
            <w:szCs w:val="20"/>
          </w:rPr>
          <w:t>_adm/consultar_requerido.php</w:t>
        </w:r>
      </w:hyperlink>
      <w:r>
        <w:rPr>
          <w:rFonts w:cs="Arial"/>
          <w:szCs w:val="20"/>
        </w:rPr>
        <w:t>).</w:t>
      </w:r>
    </w:p>
    <w:p>
      <w:pPr>
        <w:pStyle w:val="Normal"/>
        <w:numPr>
          <w:ilvl w:val="2"/>
          <w:numId w:val="2"/>
        </w:numPr>
        <w:tabs>
          <w:tab w:val="left" w:pos="797" w:leader="none"/>
          <w:tab w:val="left" w:pos="909" w:leader="none"/>
          <w:tab w:val="left" w:pos="1191" w:leader="none"/>
        </w:tabs>
        <w:spacing w:lineRule="auto" w:line="276" w:before="120" w:after="120"/>
        <w:ind w:left="907" w:right="0" w:hanging="504"/>
        <w:jc w:val="both"/>
        <w:rPr>
          <w:rFonts w:cs="Arial"/>
          <w:szCs w:val="20"/>
        </w:rPr>
      </w:pPr>
      <w:r>
        <w:rPr>
          <w:rFonts w:cs="Arial"/>
          <w:szCs w:val="20"/>
        </w:rPr>
        <w:t xml:space="preserve"> </w:t>
      </w:r>
      <w:r>
        <w:rPr>
          <w:rFonts w:cs="Arial"/>
          <w:szCs w:val="20"/>
        </w:rPr>
        <w:t>Lista de Inidôneos, mantida pelo Tribunal de Contas da União – TCU;</w:t>
      </w:r>
    </w:p>
    <w:p>
      <w:pPr>
        <w:pStyle w:val="Normal"/>
        <w:numPr>
          <w:ilvl w:val="2"/>
          <w:numId w:val="2"/>
        </w:numPr>
        <w:tabs>
          <w:tab w:val="left" w:pos="797" w:leader="none"/>
          <w:tab w:val="left" w:pos="909" w:leader="none"/>
          <w:tab w:val="left" w:pos="1191" w:leader="none"/>
        </w:tabs>
        <w:spacing w:lineRule="auto" w:line="276" w:before="120" w:after="120"/>
        <w:ind w:left="907" w:right="0" w:hanging="504"/>
        <w:jc w:val="both"/>
        <w:rPr>
          <w:rFonts w:cs="Arial"/>
          <w:bCs/>
          <w:color w:val="000000"/>
          <w:szCs w:val="20"/>
        </w:rPr>
      </w:pPr>
      <w:r>
        <w:rPr>
          <w:rFonts w:cs="Arial"/>
          <w:bCs/>
          <w:color w:val="000000"/>
          <w:szCs w:val="20"/>
        </w:rPr>
        <w:t xml:space="preserve"> </w:t>
      </w:r>
      <w:r>
        <w:rPr>
          <w:rFonts w:cs="Arial"/>
          <w:bCs/>
          <w:color w:val="00000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2"/>
          <w:numId w:val="2"/>
        </w:numPr>
        <w:tabs>
          <w:tab w:val="left" w:pos="797" w:leader="none"/>
          <w:tab w:val="left" w:pos="909" w:leader="none"/>
          <w:tab w:val="left" w:pos="1191" w:leader="none"/>
        </w:tabs>
        <w:spacing w:lineRule="auto" w:line="276" w:before="120" w:after="120"/>
        <w:ind w:left="907" w:right="0" w:hanging="504"/>
        <w:jc w:val="both"/>
        <w:rPr>
          <w:rFonts w:cs="Arial"/>
          <w:bCs/>
          <w:color w:val="000000"/>
          <w:szCs w:val="20"/>
        </w:rPr>
      </w:pPr>
      <w:r>
        <w:rPr>
          <w:rFonts w:cs="Arial"/>
          <w:bCs/>
          <w:color w:val="000000"/>
          <w:szCs w:val="20"/>
        </w:rPr>
        <w:t>Constatada a existência de sanção, o Pregoeiro reputará o licitante inabilitado, por falta de condição de participação.</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bCs/>
          <w:szCs w:val="20"/>
        </w:rPr>
      </w:pPr>
      <w:r>
        <w:rPr>
          <w:rFonts w:cs="Arial"/>
          <w:bCs/>
          <w:szCs w:val="20"/>
        </w:rPr>
        <w:t>Deverá ser apresentado atestado de capacidade técnica fornecida por pessoa jurídica de direito público ou privado que comprove que a licitante tenha prestado, ou que esteja prestando, serviços compatíveis com o objeto desta licitação.</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bCs/>
          <w:szCs w:val="20"/>
        </w:rPr>
      </w:pPr>
      <w:r>
        <w:rPr>
          <w:rFonts w:cs="Arial"/>
          <w:bCs/>
          <w:szCs w:val="20"/>
        </w:rPr>
        <w:t>Os licitantes deverão apresentar a seguinte documentação relativa à Habilitação Jurídica, à Regularidade Fiscal e Trabalhista, e à Qualificação Econômico-Financeira nas condições seguintes:</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b/>
          <w:bCs/>
          <w:color w:val="000000"/>
          <w:szCs w:val="20"/>
        </w:rPr>
      </w:pPr>
      <w:r>
        <w:rPr>
          <w:rFonts w:cs="Arial"/>
          <w:b/>
          <w:bCs/>
          <w:color w:val="000000"/>
          <w:szCs w:val="20"/>
        </w:rPr>
        <w:t>Habilitação jurídica:</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bCs/>
          <w:color w:val="000000"/>
          <w:szCs w:val="20"/>
        </w:rPr>
      </w:pPr>
      <w:r>
        <w:rPr>
          <w:rFonts w:cs="Arial"/>
          <w:bCs/>
          <w:color w:val="000000"/>
          <w:szCs w:val="20"/>
        </w:rPr>
        <w:t>No caso de empresário individual: inscrição no Registro Público de Empresas Mercantis, a cargo da Junta Comercial da respectiva sede;</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bCs/>
          <w:color w:val="000000"/>
          <w:szCs w:val="20"/>
        </w:rPr>
      </w:pPr>
      <w:r>
        <w:rPr>
          <w:rFonts w:cs="Arial"/>
          <w:bCs/>
          <w:color w:val="000000"/>
          <w:szCs w:val="20"/>
        </w:rPr>
        <w:t xml:space="preserve">Em se tratando de Microempreendedor Individual – MEI: Certificado da Condição de Microempreendedor Individual - CCMEI, cuja aceitação ficará condicionada à verificação da autenticidade no sítio </w:t>
      </w:r>
      <w:hyperlink r:id="rId11">
        <w:r>
          <w:rPr>
            <w:rStyle w:val="LinkdaInternet"/>
            <w:rFonts w:cs="Arial"/>
            <w:bCs/>
            <w:color w:val="000000"/>
            <w:szCs w:val="20"/>
          </w:rPr>
          <w:t>www.portaldoempreendedor.gov.br</w:t>
        </w:r>
      </w:hyperlink>
      <w:r>
        <w:rPr>
          <w:rFonts w:cs="Arial"/>
          <w:bCs/>
          <w:color w:val="000000"/>
          <w:szCs w:val="20"/>
        </w:rPr>
        <w:t>;</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bCs/>
          <w:color w:val="000000"/>
          <w:szCs w:val="20"/>
        </w:rPr>
      </w:pPr>
      <w:r>
        <w:rPr>
          <w:rFonts w:cs="Arial"/>
          <w:bCs/>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bCs/>
          <w:color w:val="000000"/>
          <w:szCs w:val="20"/>
        </w:rPr>
      </w:pPr>
      <w:r>
        <w:rPr>
          <w:rFonts w:cs="Arial"/>
          <w:bCs/>
          <w:color w:val="000000"/>
          <w:szCs w:val="20"/>
        </w:rPr>
        <w:t>No caso de sociedade simples: inscrição do ato constitutivo no Registro Civil das Pessoas Jurídicas do local de sua sede, acompanhada de prova da indicação dos seus administradores;</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bCs/>
          <w:szCs w:val="20"/>
        </w:rPr>
      </w:pPr>
      <w:r>
        <w:rPr>
          <w:rFonts w:cs="Arial"/>
          <w:bCs/>
          <w:color w:val="000000"/>
          <w:szCs w:val="20"/>
        </w:rPr>
        <w:t xml:space="preserve">No caso de microempresa ou empresa de pequeno porte: certidão expedida pela Junta Comercial ou pelo Registro Civil das Pessoas Jurídicas, conforme o caso, que comprove a condição de microempresa ou empresa de pequeno </w:t>
      </w:r>
      <w:r>
        <w:rPr>
          <w:rFonts w:cs="Arial"/>
          <w:bCs/>
          <w:szCs w:val="20"/>
        </w:rPr>
        <w:t>porte, como determinado pelo Departamento Nacional de Registro do Comércio – DNRC;</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color w:val="000000"/>
          <w:szCs w:val="20"/>
        </w:rPr>
      </w:pPr>
      <w:r>
        <w:rPr>
          <w:rFonts w:cs="Arial"/>
          <w:color w:val="000000"/>
          <w:szCs w:val="20"/>
        </w:rPr>
        <w:t>Inscrição no Registro Público de Empresas Mercantis onde opera, com averbação no Registro onde tem sede a matriz, no caso de ser o participante sucursal, filial ou agência;</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bCs/>
          <w:color w:val="000000"/>
          <w:szCs w:val="20"/>
        </w:rPr>
      </w:pPr>
      <w:r>
        <w:rPr>
          <w:rFonts w:cs="Arial"/>
          <w:bCs/>
          <w:color w:val="000000"/>
          <w:szCs w:val="20"/>
        </w:rPr>
        <w:t>Os documentos acima deverão estar acompanhados de todas as alterações ou da consolidação respectiva;</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b/>
          <w:bCs/>
          <w:color w:val="000000"/>
          <w:szCs w:val="20"/>
        </w:rPr>
      </w:pPr>
      <w:r>
        <w:rPr>
          <w:rFonts w:cs="Arial"/>
          <w:b/>
          <w:bCs/>
          <w:color w:val="000000"/>
          <w:szCs w:val="20"/>
        </w:rPr>
        <w:t xml:space="preserve"> </w:t>
      </w:r>
      <w:r>
        <w:rPr>
          <w:rFonts w:cs="Arial"/>
          <w:b/>
          <w:bCs/>
          <w:color w:val="000000"/>
          <w:szCs w:val="20"/>
        </w:rPr>
        <w:t>Regularidade fiscal e trabalhista:</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szCs w:val="20"/>
          <w:lang w:eastAsia="en-US"/>
        </w:rPr>
      </w:pPr>
      <w:r>
        <w:rPr>
          <w:rFonts w:cs="Arial"/>
          <w:szCs w:val="20"/>
          <w:lang w:eastAsia="en-US"/>
        </w:rPr>
        <w:t xml:space="preserve"> </w:t>
      </w:r>
      <w:r>
        <w:rPr>
          <w:rFonts w:cs="Arial"/>
          <w:szCs w:val="20"/>
          <w:lang w:eastAsia="en-US"/>
        </w:rPr>
        <w:t>Prova de inscrição no Cadastro Nacional de Pessoas Jurídicas ou no Cadastro de Pessoas Físicas, conforme o caso;</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color w:val="000000"/>
          <w:szCs w:val="20"/>
          <w:lang w:eastAsia="en-US"/>
        </w:rPr>
      </w:pPr>
      <w:r>
        <w:rPr>
          <w:rFonts w:cs="Arial"/>
          <w:color w:val="000000"/>
          <w:szCs w:val="20"/>
          <w:lang w:eastAsia="en-US"/>
        </w:rPr>
        <w:t>Prova de regularidade com o Fundo de Garantia do Tempo de Serviço (FGTS);</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szCs w:val="20"/>
          <w:lang w:eastAsia="en-US"/>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bCs/>
          <w:color w:val="000000"/>
          <w:szCs w:val="20"/>
        </w:rPr>
      </w:pPr>
      <w:r>
        <w:rPr>
          <w:rFonts w:cs="Arial"/>
          <w:bCs/>
          <w:color w:val="000000"/>
          <w:szCs w:val="20"/>
        </w:rPr>
        <w:t xml:space="preserve">Prova de inscrição no cadastro de contribuintes municipal, relativo ao domicílio ou sede do licitante, pertinente ao seu ramo de atividade e compatível com o objeto contratual; </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szCs w:val="20"/>
        </w:rPr>
      </w:pPr>
      <w:r>
        <w:rPr>
          <w:rFonts w:cs="Arial"/>
          <w:szCs w:val="20"/>
        </w:rPr>
        <w:t>Prova de regularidade com a Fazenda Municipal do domicílio ou sede do licitante;</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color w:val="000000"/>
          <w:szCs w:val="20"/>
        </w:rPr>
      </w:pPr>
      <w:r>
        <w:rPr>
          <w:rFonts w:cs="Arial"/>
          <w:color w:val="000000"/>
          <w:szCs w:val="20"/>
        </w:rPr>
        <w:t>Caso o licitante seja considerado isento dos tributos municipais relacionados ao objeto licitatório, deverá comprovar tal condição mediante a apresentação de declaração da Fazenda Municipal do domicílio ou sede do fornecedor, ou outra equivalente, na forma da lei;</w:t>
      </w:r>
    </w:p>
    <w:p>
      <w:pPr>
        <w:pStyle w:val="Normal"/>
        <w:numPr>
          <w:ilvl w:val="3"/>
          <w:numId w:val="2"/>
        </w:numPr>
        <w:tabs>
          <w:tab w:val="left" w:pos="797" w:leader="none"/>
          <w:tab w:val="left" w:pos="909" w:leader="none"/>
          <w:tab w:val="left" w:pos="1472" w:leader="none"/>
        </w:tabs>
        <w:spacing w:lineRule="auto" w:line="276" w:before="120" w:after="120"/>
        <w:ind w:left="624" w:right="0" w:hanging="648"/>
        <w:jc w:val="both"/>
        <w:rPr>
          <w:rFonts w:cs="Arial"/>
          <w:color w:val="000000"/>
          <w:szCs w:val="20"/>
          <w:lang w:eastAsia="en-US"/>
        </w:rPr>
      </w:pPr>
      <w:r>
        <w:rPr>
          <w:rFonts w:cs="Arial"/>
          <w:color w:val="000000"/>
          <w:szCs w:val="20"/>
          <w:lang w:eastAsia="en-US" w:bidi="pt-BR"/>
        </w:rPr>
        <w:t xml:space="preserve">Caso o licitante detentor do menor preço seja microempresa, empresa de pequeno porte ou </w:t>
      </w:r>
      <w:r>
        <w:rPr>
          <w:rFonts w:eastAsia="Zurich BT" w:cs="Arial"/>
          <w:bCs/>
          <w:szCs w:val="20"/>
        </w:rPr>
        <w:t>sociedade cooperativa</w:t>
      </w:r>
      <w:r>
        <w:rPr>
          <w:rFonts w:cs="Arial"/>
          <w:color w:val="000000"/>
          <w:szCs w:val="20"/>
          <w:lang w:eastAsia="en-US" w:bidi="pt-BR"/>
        </w:rPr>
        <w:t xml:space="preserve">, </w:t>
      </w:r>
      <w:r>
        <w:rPr>
          <w:rFonts w:cs="Arial"/>
          <w:color w:val="000000"/>
          <w:szCs w:val="20"/>
          <w:lang w:eastAsia="en-US"/>
        </w:rPr>
        <w:t>deverá apresentar toda a documentação exigida para efeito de comprovação de regularidade fiscal, mesmo que esta apresente alguma restrição, sob pena de inabilitação.</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bCs/>
          <w:szCs w:val="20"/>
        </w:rPr>
      </w:pPr>
      <w:r>
        <w:rPr>
          <w:rFonts w:cs="Arial"/>
          <w:bCs/>
          <w:szCs w:val="20"/>
        </w:rPr>
        <w:t xml:space="preserve">A comprovação da regularidade fiscal e trabalhista, da qualificação econômico-financeira e da habilitação jurídica, conforme o caso, poderá ser substituída pela consulta ao SICAF, nos casos em que a empresa estiver habilitada no referido sistema, conforme o disposto nos arts. 4º, caput, 8º, § 3º, 13 a 18 e 43, III, da Instrução Normativa SLTI/MPOG nº 2, de 11.10.10. </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bCs/>
          <w:szCs w:val="20"/>
        </w:rPr>
      </w:pPr>
      <w:r>
        <w:rPr>
          <w:rFonts w:cs="Arial"/>
          <w:bCs/>
          <w:szCs w:val="20"/>
        </w:rPr>
        <w:t>Também poderão ser consultados os sítios oficiais emissores de certidões, especialmente quando o licitante esteja com alguma documentação vencida junto ao SICAF.</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color w:val="000000"/>
          <w:szCs w:val="20"/>
        </w:rPr>
      </w:pPr>
      <w:r>
        <w:rPr>
          <w:rFonts w:cs="Arial"/>
          <w:bCs/>
          <w:szCs w:val="20"/>
        </w:rPr>
        <w:t xml:space="preserve">Caso </w:t>
      </w:r>
      <w:r>
        <w:rPr>
          <w:rFonts w:cs="Arial"/>
          <w:szCs w:val="20"/>
        </w:rPr>
        <w:t>o Pregoeiro não logre êxito em obter a certidão correspondente através do sítio oficial, ou na hipótese de se encontrar vencida no referido sistema</w:t>
      </w:r>
      <w:r>
        <w:rPr>
          <w:rFonts w:cs="Arial"/>
          <w:b/>
          <w:szCs w:val="20"/>
          <w:u w:val="single"/>
        </w:rPr>
        <w:t>,</w:t>
      </w:r>
      <w:r>
        <w:rPr>
          <w:rFonts w:cs="Arial"/>
          <w:szCs w:val="20"/>
        </w:rPr>
        <w:t xml:space="preserve"> o licitante será convocado a encaminhar, no prazo de 02 (duas)</w:t>
      </w:r>
      <w:r>
        <w:rPr>
          <w:rFonts w:cs="Arial"/>
          <w:bCs/>
          <w:color w:val="000000"/>
          <w:szCs w:val="20"/>
        </w:rPr>
        <w:t xml:space="preserve"> horas</w:t>
      </w:r>
      <w:r>
        <w:rPr>
          <w:rFonts w:cs="Arial"/>
          <w:color w:val="000000"/>
          <w:szCs w:val="20"/>
        </w:rPr>
        <w:t>,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bCs/>
          <w:szCs w:val="20"/>
        </w:rPr>
      </w:pPr>
      <w:r>
        <w:rPr>
          <w:rFonts w:cs="Arial"/>
          <w:bCs/>
          <w:szCs w:val="20"/>
        </w:rPr>
        <w:t xml:space="preserve"> </w:t>
      </w:r>
      <w:r>
        <w:rPr>
          <w:rFonts w:cs="Arial"/>
          <w:bCs/>
          <w:szCs w:val="20"/>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bCs/>
          <w:color w:val="000000"/>
          <w:szCs w:val="20"/>
        </w:rPr>
      </w:pPr>
      <w:r>
        <w:rPr>
          <w:rFonts w:cs="Arial"/>
          <w:bCs/>
          <w:color w:val="000000"/>
          <w:szCs w:val="20"/>
        </w:rPr>
        <w:t xml:space="preserve"> </w:t>
      </w:r>
      <w:r>
        <w:rPr>
          <w:rFonts w:cs="Arial"/>
          <w:bCs/>
          <w:color w:val="000000"/>
          <w:szCs w:val="20"/>
        </w:rPr>
        <w:t xml:space="preserve">Os documentos exigidos para habilitação relacionados nos subitens acima, deverão ser apresentados em meio digital pelos licitantes, por meio de funcionalidade presente no sistema (upload), no prazo de 2 (duas) horas, após solicitação do Pregoeiro no sistema eletrônico. Somente mediante autorização do Pregoeiro e em caso de indisponibilidade do sistema, será aceito o envio da documentação por meio do e-mail </w:t>
      </w:r>
      <w:r>
        <w:rPr>
          <w:rFonts w:cs="Arial"/>
          <w:bCs/>
          <w:color w:val="0000CC"/>
          <w:szCs w:val="20"/>
        </w:rPr>
        <w:t>rosalina.cruz@ufvjm.edu.br</w:t>
      </w:r>
      <w:hyperlink r:id="rId12">
        <w:r>
          <w:rPr>
            <w:rStyle w:val="LinkdaInternet"/>
            <w:rFonts w:cs="Arial"/>
            <w:bCs/>
            <w:szCs w:val="20"/>
            <w:u w:val="none"/>
          </w:rPr>
          <w:t xml:space="preserve"> </w:t>
        </w:r>
        <w:r>
          <w:rPr>
            <w:rStyle w:val="LinkdaInternet"/>
            <w:rFonts w:cs="Arial"/>
            <w:bCs/>
            <w:color w:val="00000A"/>
            <w:szCs w:val="20"/>
            <w:u w:val="none"/>
          </w:rPr>
          <w:t>e</w:t>
        </w:r>
        <w:r>
          <w:rPr>
            <w:rStyle w:val="LinkdaInternet"/>
            <w:rFonts w:cs="Arial"/>
            <w:bCs/>
            <w:szCs w:val="20"/>
            <w:u w:val="none"/>
          </w:rPr>
          <w:t xml:space="preserve"> licita.to@ufvjm.edu.br</w:t>
        </w:r>
      </w:hyperlink>
      <w:r>
        <w:rPr>
          <w:rFonts w:cs="Arial"/>
          <w:bCs/>
          <w:color w:val="000000"/>
          <w:szCs w:val="20"/>
        </w:rPr>
        <w:t>. Posteriormente, os documentos serão remetidos em original, por qualquer processo de cópia reprográfica, autenticada por tabelião de notas, ou por servidor da Administração, desde que conferidos com o original, ou publicação em órgão da imprensa oficial, para análise, no prazo de 2 dias úteis, após encerrado o prazo para o encaminhamento via funcionalidade do sistema (upload) ou e-mail.</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bCs/>
          <w:szCs w:val="20"/>
        </w:rPr>
      </w:pPr>
      <w:r>
        <w:rPr>
          <w:rFonts w:cs="Arial"/>
          <w:bCs/>
          <w:szCs w:val="20"/>
        </w:rPr>
        <w:t>Não serão aceitos documentos com indicação de CNPJ/CPF diferentes, salvo aqueles legalmente permitidos.</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bCs/>
          <w:color w:val="000000"/>
          <w:szCs w:val="20"/>
        </w:rPr>
      </w:pPr>
      <w:r>
        <w:rPr>
          <w:rFonts w:cs="Arial"/>
          <w:bCs/>
          <w:color w:val="000000"/>
          <w:szCs w:val="20"/>
        </w:rPr>
        <w:t xml:space="preserve"> </w:t>
      </w:r>
      <w:r>
        <w:rPr>
          <w:rFonts w:cs="Arial"/>
          <w:bCs/>
          <w:color w:val="000000"/>
          <w:szCs w:val="20"/>
        </w:rPr>
        <w:t>A existência de restrição relativamente à regularidade fiscal não impede que a licitante qualificada como microempresa, empresa de pequeno porte ou sociedade cooperativa equiparada seja declarada vencedora, uma vez que atenda a todas as demais exigências do edital.</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bCs/>
          <w:color w:val="000000"/>
          <w:szCs w:val="20"/>
        </w:rPr>
      </w:pPr>
      <w:r>
        <w:rPr>
          <w:rFonts w:cs="Arial"/>
          <w:bCs/>
          <w:color w:val="000000"/>
          <w:szCs w:val="20"/>
        </w:rPr>
        <w:t xml:space="preserve"> </w:t>
      </w:r>
      <w:r>
        <w:rPr>
          <w:rFonts w:cs="Arial"/>
          <w:bCs/>
          <w:color w:val="000000"/>
          <w:szCs w:val="20"/>
        </w:rPr>
        <w:t>A declaração do vencedor acontecerá no momento imediatamente posterior à fase de habilitação.</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bCs/>
          <w:color w:val="000000"/>
          <w:szCs w:val="20"/>
        </w:rPr>
      </w:pPr>
      <w:r>
        <w:rPr>
          <w:rFonts w:cs="Arial"/>
          <w:bCs/>
          <w:color w:val="000000"/>
          <w:szCs w:val="20"/>
        </w:rPr>
        <w:t>Constatada a existência de alguma restrição no que tange à regularidade fiscal, o licitante vencedor será convocado para, no prazo de 5 (cinco) dias úteis, após a declaração do vencedor, comprovar a regularização. O prazo poderá ser prorrogado por igual período, a critério da administração pública, quando requerida pelo licitante, mediante apresentação de justificativa.</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bCs/>
          <w:color w:val="000000"/>
          <w:szCs w:val="20"/>
        </w:rPr>
      </w:pPr>
      <w:r>
        <w:rPr>
          <w:rFonts w:cs="Arial"/>
          <w:bCs/>
          <w:color w:val="000000"/>
          <w:szCs w:val="20"/>
        </w:rPr>
        <w:t xml:space="preserve"> </w:t>
      </w:r>
      <w:r>
        <w:rPr>
          <w:rFonts w:cs="Arial"/>
          <w:bCs/>
          <w:color w:val="000000"/>
          <w:szCs w:val="20"/>
        </w:rPr>
        <w:t>A não-regularização fiscal no prazo previsto no subitem anterior acarretará a inabilitação do licitante, sem prejuízo das sanções previstas neste Edital, com a reabertura da sessão pública.</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color w:val="000000"/>
          <w:szCs w:val="20"/>
        </w:rPr>
      </w:pPr>
      <w:r>
        <w:rPr>
          <w:rFonts w:cs="Arial"/>
          <w:color w:val="000000"/>
          <w:szCs w:val="20"/>
        </w:rPr>
        <w:t>Havendo necessidade de analisar minuciosamente os documentos exigidos, o Pregoeiro suspenderá a sessão, informando no “chat” a nova data e horário para a continuidade da mesma.</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color w:val="000000"/>
          <w:szCs w:val="20"/>
          <w:lang w:eastAsia="en-US"/>
        </w:rPr>
      </w:pPr>
      <w:r>
        <w:rPr>
          <w:rFonts w:cs="Arial"/>
          <w:color w:val="000000"/>
          <w:szCs w:val="20"/>
        </w:rPr>
        <w:t xml:space="preserve">Será inabilitado o licitante que não comprovar sua habilitação, deixar de </w:t>
      </w:r>
      <w:r>
        <w:rPr>
          <w:rFonts w:cs="Arial"/>
          <w:bCs/>
          <w:color w:val="000000"/>
          <w:szCs w:val="20"/>
        </w:rPr>
        <w:t>apresentar</w:t>
      </w:r>
      <w:r>
        <w:rPr>
          <w:rFonts w:cs="Arial"/>
          <w:color w:val="000000"/>
          <w:szCs w:val="20"/>
        </w:rPr>
        <w:t xml:space="preserve"> quaisquer dos documentos exigidos para a habilitação, ou apresentá-los em desacordo com o e</w:t>
      </w:r>
      <w:r>
        <w:rPr>
          <w:rFonts w:cs="Arial"/>
          <w:color w:val="000000"/>
          <w:szCs w:val="20"/>
          <w:lang w:eastAsia="en-US"/>
        </w:rPr>
        <w:t>stabelecido neste Edital.</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color w:val="000000"/>
          <w:szCs w:val="20"/>
          <w:lang w:eastAsia="en-US"/>
        </w:rPr>
      </w:pPr>
      <w:r>
        <w:rPr>
          <w:rFonts w:cs="Arial"/>
          <w:color w:val="000000"/>
          <w:szCs w:val="20"/>
          <w:lang w:eastAsia="en-US"/>
        </w:rPr>
        <w:t>Da sessão pública do Pregão divulgar-se-á Ata no sistema eletrônico.</w:t>
      </w:r>
    </w:p>
    <w:p>
      <w:pPr>
        <w:pStyle w:val="Normal"/>
        <w:numPr>
          <w:ilvl w:val="0"/>
          <w:numId w:val="2"/>
        </w:numPr>
        <w:tabs>
          <w:tab w:val="left" w:pos="797" w:leader="none"/>
          <w:tab w:val="left" w:pos="909" w:leader="none"/>
          <w:tab w:val="left" w:pos="1472" w:leader="none"/>
        </w:tabs>
        <w:spacing w:lineRule="auto" w:line="276" w:before="120" w:after="120"/>
        <w:ind w:left="283" w:right="0" w:hanging="360"/>
        <w:jc w:val="both"/>
        <w:rPr>
          <w:rFonts w:cs="Arial"/>
          <w:b/>
          <w:bCs/>
          <w:szCs w:val="20"/>
          <w:lang w:eastAsia="en-US"/>
        </w:rPr>
      </w:pPr>
      <w:r>
        <w:rPr>
          <w:rFonts w:cs="Arial"/>
          <w:b/>
          <w:bCs/>
          <w:szCs w:val="20"/>
          <w:lang w:eastAsia="en-US"/>
        </w:rPr>
        <w:t>DA REABERTURA DA SESSÃO PÚBLICA</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szCs w:val="20"/>
        </w:rPr>
      </w:pPr>
      <w:r>
        <w:rPr>
          <w:rFonts w:cs="Arial"/>
          <w:szCs w:val="20"/>
        </w:rPr>
        <w:t>A sessão pública poderá ser reaberta:</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szCs w:val="20"/>
        </w:rPr>
      </w:pPr>
      <w:r>
        <w:rPr>
          <w:rFonts w:cs="Arial"/>
          <w:szCs w:val="20"/>
        </w:rPr>
        <w:t xml:space="preserve"> </w:t>
      </w:r>
      <w:r>
        <w:rPr>
          <w:rFonts w:cs="Arial"/>
          <w:szCs w:val="20"/>
        </w:rPr>
        <w:t>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szCs w:val="20"/>
        </w:rPr>
      </w:pPr>
      <w:r>
        <w:rPr>
          <w:rFonts w:cs="Arial"/>
          <w:szCs w:val="20"/>
        </w:rPr>
        <w:t>Quando houver erro na aceitação do preço melhor classificado ou quando o licitante declarado vencedor não assinar o contrato, não retirar o instrumento equivalente ou não comprovar a regularização fiscal, nos termos do art. 43, §1º da LC nº 123/2006. Nessas hipóteses, serão adotados os procedimentos imediatamente posteriores ao encerramento da etapa de lances.</w:t>
      </w:r>
    </w:p>
    <w:p>
      <w:pPr>
        <w:pStyle w:val="Normal"/>
        <w:numPr>
          <w:ilvl w:val="1"/>
          <w:numId w:val="2"/>
        </w:numPr>
        <w:tabs>
          <w:tab w:val="left" w:pos="797" w:leader="none"/>
          <w:tab w:val="left" w:pos="909" w:leader="none"/>
          <w:tab w:val="left" w:pos="1472" w:leader="none"/>
        </w:tabs>
        <w:spacing w:lineRule="auto" w:line="276" w:before="120" w:after="120"/>
        <w:ind w:left="624" w:right="0" w:hanging="432"/>
        <w:jc w:val="both"/>
        <w:rPr>
          <w:rFonts w:cs="Arial"/>
          <w:szCs w:val="20"/>
        </w:rPr>
      </w:pPr>
      <w:r>
        <w:rPr>
          <w:rFonts w:cs="Arial"/>
          <w:szCs w:val="20"/>
        </w:rPr>
        <w:t>Todos os licitantes remanescentes deverão ser convocados para acompanhar a sessão reaberta.</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szCs w:val="20"/>
        </w:rPr>
      </w:pPr>
      <w:r>
        <w:rPr>
          <w:rFonts w:cs="Arial"/>
          <w:szCs w:val="20"/>
        </w:rPr>
        <w:t>A convocação se dará por meio do sistema eletrônico (“chat”), e-mail, ou, ainda, fac-símile, de acordo com a fase do procedimento licitatório.</w:t>
      </w:r>
    </w:p>
    <w:p>
      <w:pPr>
        <w:pStyle w:val="Normal"/>
        <w:numPr>
          <w:ilvl w:val="2"/>
          <w:numId w:val="2"/>
        </w:numPr>
        <w:tabs>
          <w:tab w:val="left" w:pos="797" w:leader="none"/>
          <w:tab w:val="left" w:pos="909" w:leader="none"/>
          <w:tab w:val="left" w:pos="1472" w:leader="none"/>
        </w:tabs>
        <w:spacing w:lineRule="auto" w:line="276" w:before="120" w:after="120"/>
        <w:ind w:left="624" w:right="0" w:hanging="504"/>
        <w:jc w:val="both"/>
        <w:rPr>
          <w:rFonts w:cs="Arial"/>
          <w:szCs w:val="20"/>
        </w:rPr>
      </w:pPr>
      <w:r>
        <w:rPr>
          <w:rFonts w:cs="Arial"/>
          <w:szCs w:val="20"/>
        </w:rPr>
        <w:t>A convocação feita por e-mail ou fac-símile dar-se-á de acordo com os dados contidos no SICAF, sendo responsabilidade do licitante manter seus dados cadastrais atualizados.</w:t>
      </w:r>
    </w:p>
    <w:p>
      <w:pPr>
        <w:pStyle w:val="Normal"/>
        <w:numPr>
          <w:ilvl w:val="0"/>
          <w:numId w:val="2"/>
        </w:numPr>
        <w:tabs>
          <w:tab w:val="left" w:pos="797" w:leader="none"/>
          <w:tab w:val="left" w:pos="909" w:leader="none"/>
          <w:tab w:val="left" w:pos="1472" w:leader="none"/>
        </w:tabs>
        <w:spacing w:lineRule="auto" w:line="276" w:before="120" w:after="120"/>
        <w:ind w:left="340" w:right="0" w:hanging="360"/>
        <w:jc w:val="both"/>
        <w:rPr>
          <w:b/>
          <w:bCs/>
          <w:szCs w:val="20"/>
          <w:lang w:eastAsia="en-US"/>
        </w:rPr>
      </w:pPr>
      <w:r>
        <w:rPr>
          <w:b/>
          <w:bCs/>
          <w:szCs w:val="20"/>
          <w:lang w:eastAsia="en-US"/>
        </w:rPr>
        <w:t>DOS RECURSOS</w:t>
      </w:r>
    </w:p>
    <w:p>
      <w:pPr>
        <w:pStyle w:val="Normal"/>
        <w:numPr>
          <w:ilvl w:val="1"/>
          <w:numId w:val="2"/>
        </w:numPr>
        <w:tabs>
          <w:tab w:val="left" w:pos="797"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lang w:eastAsia="en-US"/>
        </w:rPr>
        <w:t xml:space="preserve">Declarado o vencedor e decorrida a fase de regularização fiscal de microempresa, empresa de pequeno porte ou </w:t>
      </w:r>
      <w:r>
        <w:rPr>
          <w:rFonts w:eastAsia="Zurich BT" w:cs="Arial"/>
          <w:bCs/>
          <w:szCs w:val="20"/>
        </w:rPr>
        <w:t>sociedade cooperativa</w:t>
      </w:r>
      <w:r>
        <w:rPr>
          <w:rFonts w:cs="Arial"/>
          <w:color w:val="000000"/>
          <w:szCs w:val="20"/>
          <w:lang w:eastAsia="en-US"/>
        </w:rPr>
        <w:t xml:space="preserve">, se for o caso, será concedido o </w:t>
      </w:r>
      <w:r>
        <w:rPr>
          <w:rFonts w:cs="Arial"/>
          <w:color w:val="000000"/>
          <w:szCs w:val="20"/>
        </w:rPr>
        <w:t>prazo de no mínimo trinta minutos, para que qualquer licitante manifeste a intenção de recorrer, de forma motivada, isto é, indicando contra qual(is) decisão(ões) pretende recorrer e por quais motivos, em campo próprio do sistema.</w:t>
      </w:r>
    </w:p>
    <w:p>
      <w:pPr>
        <w:pStyle w:val="Normal"/>
        <w:numPr>
          <w:ilvl w:val="1"/>
          <w:numId w:val="2"/>
        </w:numPr>
        <w:tabs>
          <w:tab w:val="left" w:pos="797"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rPr>
        <w:t>Havendo quem se manifeste, caberá ao Pregoeiro verificar a tempestividade e a existência de motivação da intenção de recorrer, para decidir se admite ou não o recurso, fundamentadamente.</w:t>
      </w:r>
    </w:p>
    <w:p>
      <w:pPr>
        <w:pStyle w:val="Normal"/>
        <w:numPr>
          <w:ilvl w:val="2"/>
          <w:numId w:val="2"/>
        </w:numPr>
        <w:tabs>
          <w:tab w:val="left" w:pos="797" w:leader="none"/>
          <w:tab w:val="left" w:pos="909" w:leader="none"/>
          <w:tab w:val="left" w:pos="1472" w:leader="none"/>
        </w:tabs>
        <w:spacing w:lineRule="auto" w:line="276" w:before="120" w:after="120"/>
        <w:ind w:left="680" w:right="0" w:hanging="504"/>
        <w:jc w:val="both"/>
        <w:rPr>
          <w:rFonts w:cs="Arial"/>
          <w:color w:val="000000"/>
          <w:szCs w:val="20"/>
        </w:rPr>
      </w:pPr>
      <w:r>
        <w:rPr>
          <w:rFonts w:cs="Arial"/>
          <w:color w:val="000000"/>
          <w:szCs w:val="20"/>
        </w:rPr>
        <w:t>Nesse momento o Pregoeiro não adentrará no mérito recursal, mas apenas verificará as condições de admissibilidade do recurso.</w:t>
      </w:r>
    </w:p>
    <w:p>
      <w:pPr>
        <w:pStyle w:val="Normal"/>
        <w:numPr>
          <w:ilvl w:val="2"/>
          <w:numId w:val="2"/>
        </w:numPr>
        <w:tabs>
          <w:tab w:val="left" w:pos="797" w:leader="none"/>
          <w:tab w:val="left" w:pos="909" w:leader="none"/>
          <w:tab w:val="left" w:pos="1472" w:leader="none"/>
        </w:tabs>
        <w:spacing w:lineRule="auto" w:line="276" w:before="120" w:after="120"/>
        <w:ind w:left="680" w:right="0" w:hanging="504"/>
        <w:jc w:val="both"/>
        <w:rPr>
          <w:rFonts w:cs="Arial"/>
          <w:color w:val="000000"/>
          <w:szCs w:val="20"/>
        </w:rPr>
      </w:pPr>
      <w:r>
        <w:rPr>
          <w:rFonts w:cs="Arial"/>
          <w:color w:val="000000"/>
          <w:szCs w:val="20"/>
        </w:rPr>
        <w:t>A falta de manifestação motivada do licitante quanto à intenção de recorrer importará a decadência desse direito.</w:t>
      </w:r>
    </w:p>
    <w:p>
      <w:pPr>
        <w:pStyle w:val="Normal"/>
        <w:numPr>
          <w:ilvl w:val="2"/>
          <w:numId w:val="2"/>
        </w:numPr>
        <w:tabs>
          <w:tab w:val="left" w:pos="797" w:leader="none"/>
          <w:tab w:val="left" w:pos="909" w:leader="none"/>
          <w:tab w:val="left" w:pos="1472" w:leader="none"/>
        </w:tabs>
        <w:spacing w:lineRule="auto" w:line="276" w:before="120" w:after="120"/>
        <w:ind w:left="680" w:right="0" w:hanging="504"/>
        <w:jc w:val="both"/>
        <w:rPr>
          <w:rFonts w:cs="Arial"/>
          <w:color w:val="000000"/>
          <w:szCs w:val="20"/>
        </w:rPr>
      </w:pPr>
      <w:r>
        <w:rPr>
          <w:rFonts w:cs="Arial"/>
          <w:color w:val="000000"/>
          <w:szCs w:val="20"/>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pStyle w:val="Normal"/>
        <w:numPr>
          <w:ilvl w:val="1"/>
          <w:numId w:val="2"/>
        </w:numPr>
        <w:tabs>
          <w:tab w:val="left" w:pos="797"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rPr>
        <w:t>O acolhimento do recurso invalida tão somente os atos insuscetíveis de aproveitamento.</w:t>
      </w:r>
    </w:p>
    <w:p>
      <w:pPr>
        <w:pStyle w:val="Normal"/>
        <w:numPr>
          <w:ilvl w:val="1"/>
          <w:numId w:val="2"/>
        </w:numPr>
        <w:tabs>
          <w:tab w:val="left" w:pos="797"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rPr>
        <w:t>Os autos do processo permanecerão com vista franqueada aos interessados, no endereço constante neste Edital.</w:t>
      </w:r>
    </w:p>
    <w:p>
      <w:pPr>
        <w:pStyle w:val="Normal"/>
        <w:numPr>
          <w:ilvl w:val="0"/>
          <w:numId w:val="2"/>
        </w:numPr>
        <w:tabs>
          <w:tab w:val="left" w:pos="394" w:leader="none"/>
          <w:tab w:val="left" w:pos="506" w:leader="none"/>
          <w:tab w:val="left" w:pos="909" w:leader="none"/>
          <w:tab w:val="left" w:pos="1472" w:leader="none"/>
        </w:tabs>
        <w:spacing w:lineRule="auto" w:line="276" w:before="120" w:after="120"/>
        <w:ind w:left="340" w:right="0" w:hanging="360"/>
        <w:jc w:val="both"/>
        <w:rPr>
          <w:b/>
          <w:bCs/>
          <w:szCs w:val="20"/>
        </w:rPr>
      </w:pPr>
      <w:r>
        <w:rPr>
          <w:b/>
          <w:bCs/>
          <w:szCs w:val="20"/>
        </w:rPr>
        <w:t>DA ADJUDICAÇÃO E HOMOLOGAÇÃO</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rPr>
        <w:t xml:space="preserve"> </w:t>
      </w:r>
      <w:r>
        <w:rPr>
          <w:rFonts w:cs="Arial"/>
          <w:color w:val="000000"/>
          <w:szCs w:val="20"/>
        </w:rPr>
        <w:t>O objeto da licitação será adjudicado ao licitante declarado vencedor, por ato do Pregoeiro, caso não haja interposição de recurso, ou pela autoridade competente, após a regular decisão dos recursos apresentados.</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rPr>
        <w:t>Após a fase recursal, constatada a regularidade dos atos praticados, a autoridade competente homologará o procedimento licitatório.</w:t>
      </w:r>
    </w:p>
    <w:p>
      <w:pPr>
        <w:pStyle w:val="Normal"/>
        <w:numPr>
          <w:ilvl w:val="0"/>
          <w:numId w:val="2"/>
        </w:numPr>
        <w:tabs>
          <w:tab w:val="left" w:pos="338" w:leader="none"/>
          <w:tab w:val="left" w:pos="394" w:leader="none"/>
          <w:tab w:val="left" w:pos="506" w:leader="none"/>
          <w:tab w:val="left" w:pos="909" w:leader="none"/>
          <w:tab w:val="left" w:pos="1472" w:leader="none"/>
        </w:tabs>
        <w:spacing w:lineRule="auto" w:line="276" w:before="120" w:after="120"/>
        <w:ind w:left="340" w:right="0" w:hanging="360"/>
        <w:jc w:val="both"/>
        <w:rPr>
          <w:b/>
          <w:bCs/>
          <w:szCs w:val="20"/>
        </w:rPr>
      </w:pPr>
      <w:r>
        <w:rPr>
          <w:b/>
          <w:bCs/>
          <w:szCs w:val="20"/>
        </w:rPr>
        <w:t>DO TERMO DE CONTRATO OU INSTRUMENTO EQUIVALENTE</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bCs/>
          <w:iCs/>
          <w:color w:val="000000"/>
          <w:szCs w:val="20"/>
        </w:rPr>
      </w:pPr>
      <w:r>
        <w:rPr>
          <w:rFonts w:cs="Arial"/>
          <w:color w:val="000000"/>
          <w:szCs w:val="20"/>
        </w:rPr>
        <w:t xml:space="preserve"> </w:t>
      </w:r>
      <w:r>
        <w:rPr>
          <w:rFonts w:cs="Arial"/>
          <w:color w:val="000000"/>
          <w:szCs w:val="20"/>
        </w:rPr>
        <w:t>Após a homologação da licitação, o adjudicatário terá o prazo de 05 (cinco) dias úteis, contados a partir da data de sua convocação, para assinar o</w:t>
      </w:r>
      <w:r>
        <w:rPr>
          <w:rFonts w:cs="Arial"/>
          <w:bCs/>
          <w:iCs/>
          <w:color w:val="000000"/>
          <w:szCs w:val="20"/>
        </w:rPr>
        <w:t xml:space="preserve"> Termo de Contrato ou aceitar instrumento equivalente, conforme o caso (Nota de Empenho/Carta Contrato/Autorização), sob pena de decair do direito à contratação, sem prejuízo das sanções previstas neste Edital.</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bCs/>
          <w:iCs/>
          <w:color w:val="000000"/>
          <w:szCs w:val="20"/>
        </w:rPr>
      </w:pPr>
      <w:r>
        <w:rPr>
          <w:rFonts w:cs="Arial"/>
          <w:bCs/>
          <w:iCs/>
          <w:color w:val="000000"/>
          <w:szCs w:val="20"/>
        </w:rPr>
        <w:t>O prazo de vigência da contratação será de 10 (dez) meses contados a partir da assinatura do contrato, prorrogável na forma do art. 57, § 1°, da Lei n° 8.666/93 e o prazo de execução dos serviços será de 180 (cento e oitenta) dias contados da emissão da ordem de serviços, prorrogável na forma do art. 57, § 1°, da Lei n° 8.666/93.</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color w:val="000000"/>
          <w:szCs w:val="20"/>
        </w:rPr>
      </w:pPr>
      <w:r>
        <w:rPr>
          <w:rFonts w:eastAsia="MS Mincho" w:cs="Arial"/>
          <w:bCs/>
          <w:iCs/>
          <w:color w:val="000000"/>
          <w:szCs w:val="20"/>
        </w:rPr>
        <w:t xml:space="preserve">Previamente à contratação, </w:t>
      </w:r>
      <w:r>
        <w:rPr>
          <w:rFonts w:cs="Arial"/>
          <w:color w:val="000000"/>
          <w:szCs w:val="20"/>
        </w:rPr>
        <w:t>a Administração realizará consulta “on line” ao SICAF, bem como ao Cadastro Informativo de Créditos não Quitados – CADIN, cujos resultados serão anexados aos autos do processo.</w:t>
      </w:r>
    </w:p>
    <w:p>
      <w:pPr>
        <w:pStyle w:val="Normal"/>
        <w:numPr>
          <w:ilvl w:val="2"/>
          <w:numId w:val="2"/>
        </w:numPr>
        <w:tabs>
          <w:tab w:val="left" w:pos="394" w:leader="none"/>
          <w:tab w:val="left" w:pos="506" w:leader="none"/>
          <w:tab w:val="left" w:pos="909" w:leader="none"/>
          <w:tab w:val="left" w:pos="1472" w:leader="none"/>
        </w:tabs>
        <w:spacing w:lineRule="auto" w:line="276" w:before="120" w:after="120"/>
        <w:ind w:left="680" w:right="0" w:hanging="504"/>
        <w:jc w:val="both"/>
        <w:rPr>
          <w:rFonts w:cs="Arial"/>
          <w:color w:val="000000"/>
          <w:szCs w:val="20"/>
        </w:rPr>
      </w:pPr>
      <w:r>
        <w:rPr>
          <w:rFonts w:cs="Arial"/>
          <w:color w:val="000000"/>
          <w:szCs w:val="20"/>
        </w:rPr>
        <w:t>Na hipótese de irregularidade do registro no SICAF, o contratado deverá regularizar a sua situação perante o cadastro no prazo de até 05 (cinco) dias, sob pena de aplicação das penalidades previstas no edital e anexos.</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bCs/>
          <w:iCs/>
          <w:color w:val="000000"/>
          <w:szCs w:val="20"/>
        </w:rPr>
      </w:pPr>
      <w:r>
        <w:rPr>
          <w:rFonts w:cs="Arial"/>
          <w:color w:val="000000"/>
          <w:szCs w:val="20"/>
        </w:rPr>
        <w:t>Alternativamente à convocação para comparecer perante o órgão ou entidade</w:t>
      </w:r>
      <w:r>
        <w:rPr>
          <w:rFonts w:cs="Arial"/>
          <w:i/>
          <w:color w:val="FF0000"/>
          <w:szCs w:val="20"/>
        </w:rPr>
        <w:t xml:space="preserve"> </w:t>
      </w:r>
      <w:r>
        <w:rPr>
          <w:rFonts w:cs="Arial"/>
          <w:color w:val="000000"/>
          <w:szCs w:val="20"/>
        </w:rPr>
        <w:t xml:space="preserve">para a assinatura do Termo de Contrato ou aceite do instrumento equivalente, a Administração poderá encaminhá-lo para assinatura ou aceite do adjudicatário, </w:t>
      </w:r>
      <w:r>
        <w:rPr>
          <w:rFonts w:cs="Arial"/>
          <w:bCs/>
          <w:iCs/>
          <w:color w:val="000000"/>
          <w:szCs w:val="20"/>
        </w:rPr>
        <w:t>mediante correspondência postal com aviso de recebimento (AR) ou meio eletrônico, para que seja assinado ou aceito no prazo de 03 (três) dias, a contar da data de seu recebimento.</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rPr>
        <w:t>O prazo previsto para assinatura ou aceite poderá ser prorrogado, por igual período, por solicitação justificada do adjudicatário e aceita pela Administração.</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rPr>
        <w:t>Se o adjudicatário, no ato da assinatura do contrato não comprovar que mantém as mesmas condições de habilitação, ou quando, injustificadamente, recusar-se à assinatura, poderá ser convocado outro licitante, desde que respeitada a ordem de classificação, para, após a verificação da proposta, negociação e comprovados os requisitos de habilitação, celebrar a contratação, sem prejuízo das sanções previstas neste edital e demais cominações legais.</w:t>
      </w:r>
    </w:p>
    <w:p>
      <w:pPr>
        <w:pStyle w:val="Normal"/>
        <w:numPr>
          <w:ilvl w:val="0"/>
          <w:numId w:val="2"/>
        </w:numPr>
        <w:tabs>
          <w:tab w:val="left" w:pos="394" w:leader="none"/>
          <w:tab w:val="left" w:pos="506" w:leader="none"/>
          <w:tab w:val="left" w:pos="909" w:leader="none"/>
          <w:tab w:val="left" w:pos="1472" w:leader="none"/>
        </w:tabs>
        <w:spacing w:lineRule="auto" w:line="276" w:before="120" w:after="120"/>
        <w:ind w:left="680" w:right="0" w:hanging="360"/>
        <w:jc w:val="both"/>
        <w:rPr>
          <w:b/>
          <w:bCs/>
          <w:szCs w:val="20"/>
        </w:rPr>
      </w:pPr>
      <w:r>
        <w:rPr>
          <w:b/>
          <w:bCs/>
          <w:szCs w:val="20"/>
        </w:rPr>
        <w:t>DO REAJUSTE</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680" w:right="0" w:hanging="432"/>
        <w:jc w:val="both"/>
        <w:rPr>
          <w:rFonts w:cs="Arial"/>
          <w:color w:val="000000"/>
          <w:szCs w:val="20"/>
        </w:rPr>
      </w:pPr>
      <w:r>
        <w:rPr>
          <w:rFonts w:cs="Arial"/>
          <w:color w:val="000000"/>
          <w:szCs w:val="20"/>
        </w:rPr>
        <w:t xml:space="preserve"> </w:t>
      </w:r>
      <w:r>
        <w:rPr>
          <w:rFonts w:cs="Arial"/>
          <w:color w:val="000000"/>
          <w:szCs w:val="20"/>
        </w:rPr>
        <w:t>O preço é fixo e irreajustável.</w:t>
      </w:r>
    </w:p>
    <w:p>
      <w:pPr>
        <w:pStyle w:val="Normal"/>
        <w:numPr>
          <w:ilvl w:val="0"/>
          <w:numId w:val="2"/>
        </w:numPr>
        <w:tabs>
          <w:tab w:val="left" w:pos="394" w:leader="none"/>
          <w:tab w:val="left" w:pos="506" w:leader="none"/>
          <w:tab w:val="left" w:pos="909" w:leader="none"/>
          <w:tab w:val="left" w:pos="1472" w:leader="none"/>
        </w:tabs>
        <w:spacing w:lineRule="auto" w:line="276" w:before="120" w:after="120"/>
        <w:ind w:left="113" w:right="0" w:hanging="360"/>
        <w:jc w:val="both"/>
        <w:rPr>
          <w:b/>
          <w:bCs/>
          <w:szCs w:val="20"/>
        </w:rPr>
      </w:pPr>
      <w:r>
        <w:rPr>
          <w:b/>
          <w:bCs/>
          <w:szCs w:val="20"/>
        </w:rPr>
        <w:t>DA ENTREGA E DO RECEBIMENTO DO OBJETO E DA FISCALIZAÇÃO</w:t>
      </w:r>
    </w:p>
    <w:p>
      <w:pPr>
        <w:pStyle w:val="Normal"/>
        <w:numPr>
          <w:ilvl w:val="1"/>
          <w:numId w:val="2"/>
        </w:numPr>
        <w:tabs>
          <w:tab w:val="left" w:pos="394" w:leader="none"/>
          <w:tab w:val="left" w:pos="506" w:leader="none"/>
          <w:tab w:val="left" w:pos="909" w:leader="none"/>
          <w:tab w:val="left" w:pos="1472" w:leader="none"/>
        </w:tabs>
        <w:spacing w:lineRule="auto" w:line="276" w:before="120" w:after="120"/>
        <w:ind w:left="510" w:right="0" w:hanging="432"/>
        <w:jc w:val="both"/>
        <w:rPr>
          <w:rFonts w:cs="Arial"/>
          <w:szCs w:val="20"/>
          <w:lang w:eastAsia="en-US"/>
        </w:rPr>
      </w:pPr>
      <w:r>
        <w:rPr>
          <w:rFonts w:cs="Arial"/>
          <w:szCs w:val="20"/>
          <w:lang w:eastAsia="en-US"/>
        </w:rPr>
        <w:t xml:space="preserve"> </w:t>
      </w:r>
      <w:r>
        <w:rPr>
          <w:rFonts w:cs="Arial"/>
          <w:szCs w:val="20"/>
          <w:lang w:eastAsia="en-US"/>
        </w:rPr>
        <w:t>Os critérios de recebimento e aceitação do objeto e de fiscalização estão previstos no Termo de Referência.</w:t>
      </w:r>
    </w:p>
    <w:p>
      <w:pPr>
        <w:pStyle w:val="Normal"/>
        <w:numPr>
          <w:ilvl w:val="0"/>
          <w:numId w:val="2"/>
        </w:numPr>
        <w:tabs>
          <w:tab w:val="left" w:pos="394" w:leader="none"/>
          <w:tab w:val="left" w:pos="506" w:leader="none"/>
          <w:tab w:val="left" w:pos="909" w:leader="none"/>
          <w:tab w:val="left" w:pos="1472" w:leader="none"/>
        </w:tabs>
        <w:spacing w:lineRule="auto" w:line="276" w:before="120" w:after="120"/>
        <w:ind w:left="113" w:right="0" w:hanging="360"/>
        <w:jc w:val="both"/>
        <w:rPr>
          <w:b/>
          <w:bCs/>
          <w:szCs w:val="20"/>
          <w:lang w:eastAsia="en-US"/>
        </w:rPr>
      </w:pPr>
      <w:r>
        <w:rPr>
          <w:b/>
          <w:bCs/>
          <w:szCs w:val="20"/>
          <w:lang w:eastAsia="en-US"/>
        </w:rPr>
        <w:t>DAS OBRIGAÇÕES DA CONTRATANTE E DA CONTRATADA</w:t>
      </w:r>
    </w:p>
    <w:p>
      <w:pPr>
        <w:pStyle w:val="Normal"/>
        <w:numPr>
          <w:ilvl w:val="1"/>
          <w:numId w:val="2"/>
        </w:numPr>
        <w:tabs>
          <w:tab w:val="left" w:pos="394" w:leader="none"/>
          <w:tab w:val="left" w:pos="450" w:leader="none"/>
          <w:tab w:val="left" w:pos="909" w:leader="none"/>
          <w:tab w:val="left" w:pos="1472" w:leader="none"/>
        </w:tabs>
        <w:spacing w:lineRule="auto" w:line="276" w:before="120" w:after="120"/>
        <w:ind w:left="397" w:right="0" w:hanging="432"/>
        <w:jc w:val="both"/>
        <w:rPr>
          <w:rFonts w:cs="Arial"/>
          <w:color w:val="000000"/>
          <w:szCs w:val="20"/>
          <w:lang w:eastAsia="en-US"/>
        </w:rPr>
      </w:pPr>
      <w:r>
        <w:rPr>
          <w:rFonts w:cs="Arial"/>
          <w:color w:val="000000"/>
          <w:szCs w:val="20"/>
          <w:lang w:eastAsia="en-US"/>
        </w:rPr>
        <w:t>As obrigações da Contratante e da Contratada são as estabelecidas no Termo de Referência.</w:t>
      </w:r>
    </w:p>
    <w:p>
      <w:pPr>
        <w:pStyle w:val="Normal"/>
        <w:numPr>
          <w:ilvl w:val="0"/>
          <w:numId w:val="2"/>
        </w:numPr>
        <w:tabs>
          <w:tab w:val="left" w:pos="394" w:leader="none"/>
          <w:tab w:val="left" w:pos="506" w:leader="none"/>
          <w:tab w:val="left" w:pos="909" w:leader="none"/>
          <w:tab w:val="left" w:pos="1472" w:leader="none"/>
        </w:tabs>
        <w:spacing w:lineRule="auto" w:line="276" w:before="120" w:after="120"/>
        <w:ind w:left="113" w:right="0" w:hanging="360"/>
        <w:jc w:val="both"/>
        <w:rPr>
          <w:b/>
          <w:bCs/>
          <w:szCs w:val="20"/>
        </w:rPr>
      </w:pPr>
      <w:r>
        <w:rPr>
          <w:b/>
          <w:bCs/>
          <w:szCs w:val="20"/>
        </w:rPr>
        <w:t>DO PAGAMENTO</w:t>
      </w:r>
    </w:p>
    <w:p>
      <w:pPr>
        <w:pStyle w:val="Normal"/>
        <w:numPr>
          <w:ilvl w:val="1"/>
          <w:numId w:val="2"/>
        </w:numPr>
        <w:tabs>
          <w:tab w:val="left" w:pos="394" w:leader="none"/>
          <w:tab w:val="left" w:pos="506" w:leader="none"/>
          <w:tab w:val="left" w:pos="797" w:leader="none"/>
        </w:tabs>
        <w:spacing w:lineRule="auto" w:line="276" w:before="120" w:after="120"/>
        <w:ind w:left="454" w:right="0" w:hanging="432"/>
        <w:jc w:val="both"/>
        <w:rPr>
          <w:rFonts w:cs="Arial"/>
          <w:color w:val="000000"/>
          <w:szCs w:val="20"/>
          <w:lang w:eastAsia="en-US"/>
        </w:rPr>
      </w:pPr>
      <w:r>
        <w:rPr>
          <w:rFonts w:cs="Arial"/>
          <w:color w:val="000000"/>
          <w:szCs w:val="20"/>
          <w:lang w:eastAsia="en-US"/>
        </w:rPr>
        <w:t>O pagamento será efetuado pela Contratante no prazo de 20 (vinte) dias, contados do recebimento da Nota Fiscal/Fatura.</w:t>
      </w:r>
    </w:p>
    <w:p>
      <w:pPr>
        <w:pStyle w:val="Normal"/>
        <w:numPr>
          <w:ilvl w:val="1"/>
          <w:numId w:val="2"/>
        </w:numPr>
        <w:tabs>
          <w:tab w:val="left" w:pos="394" w:leader="none"/>
          <w:tab w:val="left" w:pos="506" w:leader="none"/>
          <w:tab w:val="left" w:pos="797" w:leader="none"/>
        </w:tabs>
        <w:spacing w:lineRule="auto" w:line="276" w:before="120" w:after="120"/>
        <w:ind w:left="454" w:right="0" w:hanging="432"/>
        <w:jc w:val="both"/>
        <w:rPr>
          <w:rFonts w:cs="Arial"/>
          <w:color w:val="000000"/>
          <w:szCs w:val="20"/>
          <w:lang w:eastAsia="en-US"/>
        </w:rPr>
      </w:pPr>
      <w:r>
        <w:rPr>
          <w:rFonts w:cs="Arial"/>
          <w:color w:val="000000"/>
          <w:szCs w:val="20"/>
          <w:lang w:eastAsia="en-US"/>
        </w:rPr>
        <w:t>O pagamento será devido mediante ateste do fiscal do contrato da efetiva prestação dos serviços, devendo ser executado de forma proporcional ao valor total do contrato, nos meses em que houver programação para a ocorrência das aulas, sendo que o pagamento da última parcela somente será realizado após o recebimento definitivo do objeto.</w:t>
      </w:r>
    </w:p>
    <w:p>
      <w:pPr>
        <w:pStyle w:val="Normal"/>
        <w:numPr>
          <w:ilvl w:val="1"/>
          <w:numId w:val="2"/>
        </w:numPr>
        <w:tabs>
          <w:tab w:val="left" w:pos="394" w:leader="none"/>
          <w:tab w:val="left" w:pos="506" w:leader="none"/>
          <w:tab w:val="left" w:pos="797" w:leader="none"/>
        </w:tabs>
        <w:spacing w:lineRule="auto" w:line="276" w:before="120" w:after="120"/>
        <w:ind w:left="454" w:right="0" w:hanging="432"/>
        <w:jc w:val="both"/>
        <w:rPr>
          <w:rFonts w:cs="Arial"/>
          <w:color w:val="000000"/>
          <w:szCs w:val="20"/>
          <w:lang w:eastAsia="en-US"/>
        </w:rPr>
      </w:pPr>
      <w:r>
        <w:rPr>
          <w:rFonts w:cs="Arial"/>
          <w:color w:val="000000"/>
          <w:szCs w:val="20"/>
          <w:lang w:eastAsia="en-US"/>
        </w:rPr>
        <w:t xml:space="preserve">A emissão da Nota Fiscal/Fatura será precedida do recebimento provisório e definitivo do serviço, nos seguintes termos: </w:t>
      </w:r>
    </w:p>
    <w:p>
      <w:pPr>
        <w:pStyle w:val="Normal"/>
        <w:numPr>
          <w:ilvl w:val="2"/>
          <w:numId w:val="2"/>
        </w:numPr>
        <w:tabs>
          <w:tab w:val="left" w:pos="394" w:leader="none"/>
          <w:tab w:val="left" w:pos="506" w:leader="none"/>
          <w:tab w:val="left" w:pos="797" w:leader="none"/>
        </w:tabs>
        <w:spacing w:lineRule="auto" w:line="276" w:before="120" w:after="120"/>
        <w:ind w:left="454" w:right="0" w:hanging="504"/>
        <w:jc w:val="both"/>
        <w:rPr>
          <w:rFonts w:cs="Arial"/>
          <w:color w:val="000000"/>
          <w:szCs w:val="20"/>
          <w:lang w:eastAsia="en-US"/>
        </w:rPr>
      </w:pPr>
      <w:r>
        <w:rPr>
          <w:rFonts w:cs="Arial"/>
          <w:color w:val="000000"/>
          <w:szCs w:val="20"/>
        </w:rPr>
        <w:t xml:space="preserve">Será considerada data do pagamento o dia </w:t>
      </w:r>
      <w:r>
        <w:rPr>
          <w:rFonts w:cs="Arial"/>
          <w:color w:val="000000"/>
          <w:szCs w:val="20"/>
          <w:lang w:eastAsia="en-US"/>
        </w:rPr>
        <w:t>em que constar como emitida a ordem bancária para pagamento.</w:t>
      </w:r>
    </w:p>
    <w:p>
      <w:pPr>
        <w:pStyle w:val="Normal"/>
        <w:numPr>
          <w:ilvl w:val="2"/>
          <w:numId w:val="2"/>
        </w:numPr>
        <w:tabs>
          <w:tab w:val="left" w:pos="394" w:leader="none"/>
          <w:tab w:val="left" w:pos="506" w:leader="none"/>
          <w:tab w:val="left" w:pos="797" w:leader="none"/>
        </w:tabs>
        <w:spacing w:lineRule="auto" w:line="276" w:before="120" w:after="120"/>
        <w:ind w:left="454" w:right="0" w:hanging="504"/>
        <w:jc w:val="both"/>
        <w:rPr>
          <w:rFonts w:cs="Arial"/>
          <w:color w:val="000000"/>
          <w:szCs w:val="20"/>
          <w:lang w:eastAsia="en-US"/>
        </w:rPr>
      </w:pPr>
      <w:r>
        <w:rPr>
          <w:rFonts w:cs="Arial"/>
          <w:color w:val="000000"/>
          <w:szCs w:val="20"/>
          <w:lang w:eastAsia="en-US"/>
        </w:rPr>
        <w:t>Antes de cada pagamento à contratada, será realizada consulta ao SICAF para verificar a manutenção das condições de habilitação exigidas no edital.</w:t>
      </w:r>
    </w:p>
    <w:p>
      <w:pPr>
        <w:pStyle w:val="Normal"/>
        <w:numPr>
          <w:ilvl w:val="2"/>
          <w:numId w:val="2"/>
        </w:numPr>
        <w:tabs>
          <w:tab w:val="left" w:pos="394" w:leader="none"/>
          <w:tab w:val="left" w:pos="506" w:leader="none"/>
          <w:tab w:val="left" w:pos="797" w:leader="none"/>
        </w:tabs>
        <w:spacing w:lineRule="auto" w:line="276" w:before="120" w:after="120"/>
        <w:ind w:left="454" w:right="0" w:hanging="504"/>
        <w:jc w:val="both"/>
        <w:rPr>
          <w:rFonts w:cs="Arial"/>
          <w:color w:val="000000"/>
          <w:szCs w:val="20"/>
          <w:lang w:eastAsia="en-US"/>
        </w:rPr>
      </w:pPr>
      <w:r>
        <w:rPr>
          <w:rFonts w:cs="Arial"/>
          <w:color w:val="000000"/>
          <w:szCs w:val="20"/>
          <w:lang w:eastAsia="en-US"/>
        </w:rPr>
        <w:t>Constatando-se, junto ao SICAF,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pPr>
        <w:pStyle w:val="Normal"/>
        <w:numPr>
          <w:ilvl w:val="2"/>
          <w:numId w:val="2"/>
        </w:numPr>
        <w:tabs>
          <w:tab w:val="left" w:pos="394" w:leader="none"/>
          <w:tab w:val="left" w:pos="506" w:leader="none"/>
          <w:tab w:val="left" w:pos="797" w:leader="none"/>
        </w:tabs>
        <w:spacing w:lineRule="auto" w:line="276" w:before="120" w:after="120"/>
        <w:ind w:left="454" w:right="0" w:hanging="504"/>
        <w:jc w:val="both"/>
        <w:rPr>
          <w:rFonts w:cs="Arial"/>
          <w:color w:val="000000"/>
          <w:szCs w:val="20"/>
          <w:lang w:eastAsia="en-US"/>
        </w:rPr>
      </w:pPr>
      <w:r>
        <w:rPr>
          <w:rFonts w:cs="Arial"/>
          <w:color w:val="000000"/>
          <w:szCs w:val="20"/>
          <w:lang w:eastAsia="en-U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pStyle w:val="Normal"/>
        <w:numPr>
          <w:ilvl w:val="2"/>
          <w:numId w:val="2"/>
        </w:numPr>
        <w:tabs>
          <w:tab w:val="left" w:pos="394" w:leader="none"/>
          <w:tab w:val="left" w:pos="506" w:leader="none"/>
          <w:tab w:val="left" w:pos="797" w:leader="none"/>
        </w:tabs>
        <w:spacing w:lineRule="auto" w:line="276" w:before="120" w:after="120"/>
        <w:ind w:left="454" w:right="0" w:hanging="504"/>
        <w:jc w:val="both"/>
        <w:rPr>
          <w:rFonts w:cs="Arial"/>
          <w:color w:val="000000"/>
          <w:szCs w:val="20"/>
          <w:lang w:eastAsia="en-US"/>
        </w:rPr>
      </w:pPr>
      <w:r>
        <w:rPr>
          <w:rFonts w:cs="Arial"/>
          <w:color w:val="000000"/>
          <w:szCs w:val="20"/>
          <w:lang w:eastAsia="en-US"/>
        </w:rPr>
        <w:t>Persistindo a irregularidade, a contratante deverá adotar as medidas necessárias à rescisão contratual nos autos do processo administrativo correspondente, assegurada à contratada a ampla defesa.</w:t>
      </w:r>
    </w:p>
    <w:p>
      <w:pPr>
        <w:pStyle w:val="Normal"/>
        <w:numPr>
          <w:ilvl w:val="1"/>
          <w:numId w:val="2"/>
        </w:numPr>
        <w:tabs>
          <w:tab w:val="left" w:pos="394" w:leader="none"/>
          <w:tab w:val="left" w:pos="506" w:leader="none"/>
          <w:tab w:val="left" w:pos="797" w:leader="none"/>
        </w:tabs>
        <w:spacing w:lineRule="auto" w:line="276" w:before="120" w:after="120"/>
        <w:ind w:left="454" w:right="0" w:hanging="432"/>
        <w:jc w:val="both"/>
        <w:rPr>
          <w:rFonts w:cs="Arial"/>
          <w:color w:val="000000"/>
          <w:szCs w:val="20"/>
          <w:lang w:eastAsia="en-US"/>
        </w:rPr>
      </w:pPr>
      <w:r>
        <w:rPr>
          <w:rFonts w:cs="Arial"/>
          <w:color w:val="000000"/>
          <w:szCs w:val="20"/>
          <w:lang w:eastAsia="en-US"/>
        </w:rPr>
        <w:t>Havendo a efetiva execução do objeto, os pagamentos serão realizados normalmente, até que se decida pela rescisão do contrato, caso a contratada não regularize sua situação junto ao SICAF.</w:t>
      </w:r>
    </w:p>
    <w:p>
      <w:pPr>
        <w:pStyle w:val="Normal"/>
        <w:numPr>
          <w:ilvl w:val="1"/>
          <w:numId w:val="2"/>
        </w:numPr>
        <w:tabs>
          <w:tab w:val="left" w:pos="394" w:leader="none"/>
          <w:tab w:val="left" w:pos="506" w:leader="none"/>
          <w:tab w:val="left" w:pos="797" w:leader="none"/>
        </w:tabs>
        <w:spacing w:lineRule="auto" w:line="276" w:before="120" w:after="120"/>
        <w:ind w:left="454" w:right="0" w:hanging="432"/>
        <w:jc w:val="both"/>
        <w:rPr>
          <w:rFonts w:cs="Arial"/>
          <w:color w:val="000000"/>
          <w:szCs w:val="20"/>
          <w:lang w:eastAsia="en-US"/>
        </w:rPr>
      </w:pPr>
      <w:r>
        <w:rPr>
          <w:rFonts w:cs="Arial"/>
          <w:color w:val="000000"/>
          <w:szCs w:val="20"/>
          <w:lang w:eastAsia="en-US"/>
        </w:rPr>
        <w:t>Somente por motivo de economicidade, segurança nacional ou outro interesse público de alta relevância, devidamente justificado, em qualquer caso, pela máxima autoridade da contratante, não será rescindido o contrato em execução com a contratada inadimplente no SICAF.</w:t>
      </w:r>
    </w:p>
    <w:p>
      <w:pPr>
        <w:pStyle w:val="Normal"/>
        <w:numPr>
          <w:ilvl w:val="1"/>
          <w:numId w:val="2"/>
        </w:numPr>
        <w:tabs>
          <w:tab w:val="left" w:pos="394" w:leader="none"/>
          <w:tab w:val="left" w:pos="506" w:leader="none"/>
          <w:tab w:val="left" w:pos="797" w:leader="none"/>
        </w:tabs>
        <w:spacing w:lineRule="auto" w:line="276" w:before="120" w:after="120"/>
        <w:ind w:left="454" w:right="0" w:hanging="432"/>
        <w:jc w:val="both"/>
        <w:rPr>
          <w:rFonts w:cs="Arial"/>
          <w:color w:val="000000"/>
          <w:szCs w:val="20"/>
        </w:rPr>
      </w:pPr>
      <w:r>
        <w:rPr>
          <w:rFonts w:cs="Arial"/>
          <w:color w:val="000000"/>
          <w:szCs w:val="20"/>
        </w:rPr>
        <w:t>Quando do pagamento, será efetuada a retenção tributária prevista na legislação aplicável, nos termos do item 6 do Anexo XI da IN SEGES/MPDG n. 5/2017, quando couber:</w:t>
      </w:r>
    </w:p>
    <w:p>
      <w:pPr>
        <w:pStyle w:val="Normal"/>
        <w:numPr>
          <w:ilvl w:val="2"/>
          <w:numId w:val="2"/>
        </w:numPr>
        <w:tabs>
          <w:tab w:val="left" w:pos="394" w:leader="none"/>
          <w:tab w:val="left" w:pos="506" w:leader="none"/>
          <w:tab w:val="left" w:pos="797" w:leader="none"/>
        </w:tabs>
        <w:spacing w:lineRule="auto" w:line="276" w:before="120" w:after="120"/>
        <w:ind w:left="454" w:right="0" w:hanging="504"/>
        <w:jc w:val="both"/>
        <w:rPr>
          <w:rFonts w:cs="Arial"/>
          <w:color w:val="000000"/>
          <w:szCs w:val="20"/>
        </w:rPr>
      </w:pPr>
      <w:r>
        <w:rPr>
          <w:rFonts w:cs="Arial"/>
          <w:color w:val="000000"/>
          <w:szCs w:val="20"/>
        </w:rPr>
        <w:t xml:space="preserve">A Contratada regularmente optante pelo Simples Nacional, exclusivamente </w:t>
      </w:r>
      <w:r>
        <w:rPr>
          <w:rFonts w:cs="Arial"/>
          <w:szCs w:val="20"/>
          <w:lang w:eastAsia="en-US"/>
        </w:rPr>
        <w:t>para as atividades de prestação de serviços previstas no §5º-C, do artigo 18, da LC 123, de 2006</w:t>
      </w:r>
      <w:r>
        <w:rPr>
          <w:rFonts w:cs="Arial"/>
          <w:color w:val="000000"/>
          <w:szCs w:val="20"/>
        </w:rPr>
        <w:t xml:space="preserve">, não sofrerá a retenção tributária quanto aos impostos e contribuições abrangidos por aquele regime, observando-se as exceções nele previstas. No entanto, o pagamento ficará condicionado à apresentação de comprovação, por meio de documento oficial, de que faz jus ao tratamento tributário favorecido previsto na referida Lei Complementar. </w:t>
      </w:r>
    </w:p>
    <w:p>
      <w:pPr>
        <w:pStyle w:val="Normal"/>
        <w:numPr>
          <w:ilvl w:val="2"/>
          <w:numId w:val="2"/>
        </w:numPr>
        <w:tabs>
          <w:tab w:val="left" w:pos="394" w:leader="none"/>
          <w:tab w:val="left" w:pos="506" w:leader="none"/>
          <w:tab w:val="left" w:pos="797" w:leader="none"/>
        </w:tabs>
        <w:spacing w:lineRule="auto" w:line="276" w:before="120" w:after="120"/>
        <w:ind w:left="454" w:right="0" w:hanging="504"/>
        <w:jc w:val="both"/>
        <w:rPr>
          <w:rFonts w:cs="Arial"/>
          <w:color w:val="000000"/>
          <w:szCs w:val="20"/>
        </w:rPr>
      </w:pPr>
      <w:r>
        <w:rPr>
          <w:rFonts w:cs="Arial"/>
          <w:color w:val="000000"/>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ListParagraph"/>
        <w:numPr>
          <w:ilvl w:val="0"/>
          <w:numId w:val="2"/>
        </w:numPr>
        <w:tabs>
          <w:tab w:val="left" w:pos="394" w:leader="none"/>
          <w:tab w:val="left" w:pos="506" w:leader="none"/>
          <w:tab w:val="left" w:pos="797" w:leader="none"/>
        </w:tabs>
        <w:spacing w:lineRule="auto" w:line="276" w:before="120" w:after="120"/>
        <w:contextualSpacing/>
        <w:jc w:val="both"/>
        <w:rPr>
          <w:b/>
          <w:bCs/>
          <w:szCs w:val="20"/>
        </w:rPr>
      </w:pPr>
      <w:r>
        <w:rPr>
          <w:b/>
          <w:bCs/>
          <w:szCs w:val="20"/>
        </w:rPr>
        <w:t>DAS SANÇÕES ADMINISTRATIVAS.</w:t>
      </w:r>
    </w:p>
    <w:p>
      <w:pPr>
        <w:pStyle w:val="Normal"/>
        <w:tabs>
          <w:tab w:val="left" w:pos="113" w:leader="none"/>
          <w:tab w:val="left" w:pos="797" w:leader="none"/>
        </w:tabs>
        <w:spacing w:lineRule="auto" w:line="276" w:before="120" w:after="120"/>
        <w:ind w:left="142" w:right="0" w:hanging="0"/>
        <w:jc w:val="both"/>
        <w:rPr>
          <w:rFonts w:cs="Arial"/>
          <w:szCs w:val="20"/>
          <w:shd w:fill="FFFFFF" w:val="clear"/>
        </w:rPr>
      </w:pPr>
      <w:r>
        <w:rPr>
          <w:rFonts w:cs="Arial"/>
          <w:b/>
          <w:bCs/>
          <w:szCs w:val="20"/>
          <w:shd w:fill="FFFFFF" w:val="clear"/>
        </w:rPr>
        <w:t>18.1</w:t>
      </w:r>
      <w:r>
        <w:rPr>
          <w:rFonts w:cs="Arial"/>
          <w:szCs w:val="20"/>
          <w:shd w:fill="FFFFFF" w:val="clear"/>
        </w:rPr>
        <w:t xml:space="preserve"> Comete infração administrativa, nos termos da Lei nº 10.520, de 2002, o licitante/adjudicatário que:</w:t>
      </w:r>
    </w:p>
    <w:p>
      <w:pPr>
        <w:pStyle w:val="ListParagraph"/>
        <w:numPr>
          <w:ilvl w:val="2"/>
          <w:numId w:val="17"/>
        </w:numPr>
        <w:tabs>
          <w:tab w:val="left" w:pos="113" w:leader="none"/>
          <w:tab w:val="left" w:pos="797" w:leader="none"/>
        </w:tabs>
        <w:spacing w:lineRule="auto" w:line="276" w:before="120" w:after="120"/>
        <w:contextualSpacing/>
        <w:jc w:val="both"/>
        <w:rPr>
          <w:rFonts w:cs="Arial"/>
          <w:szCs w:val="20"/>
          <w:shd w:fill="FFFFFF" w:val="clear"/>
        </w:rPr>
      </w:pPr>
      <w:r>
        <w:rPr>
          <w:rFonts w:cs="Arial"/>
          <w:szCs w:val="20"/>
          <w:shd w:fill="FFFFFF" w:val="clear"/>
        </w:rPr>
        <w:t>Não assinar o termo de contrato ou aceitar/retirar o instrumento equivalente, quando convocado dentro do prazo de validade da proposta;</w:t>
      </w:r>
    </w:p>
    <w:p>
      <w:pPr>
        <w:pStyle w:val="ListParagraph"/>
        <w:numPr>
          <w:ilvl w:val="2"/>
          <w:numId w:val="17"/>
        </w:numPr>
        <w:tabs>
          <w:tab w:val="left" w:pos="1440" w:leader="none"/>
        </w:tabs>
        <w:spacing w:lineRule="auto" w:line="276" w:before="120" w:after="120"/>
        <w:contextualSpacing/>
        <w:jc w:val="both"/>
        <w:rPr>
          <w:rFonts w:cs="Arial"/>
          <w:szCs w:val="20"/>
          <w:shd w:fill="FFFFFF" w:val="clear"/>
        </w:rPr>
      </w:pPr>
      <w:r>
        <w:rPr>
          <w:rFonts w:cs="Arial"/>
          <w:szCs w:val="20"/>
          <w:shd w:fill="FFFFFF" w:val="clear"/>
        </w:rPr>
        <w:t>Apresentar documentação falsa;</w:t>
      </w:r>
    </w:p>
    <w:p>
      <w:pPr>
        <w:pStyle w:val="Normal"/>
        <w:numPr>
          <w:ilvl w:val="2"/>
          <w:numId w:val="17"/>
        </w:numPr>
        <w:tabs>
          <w:tab w:val="left" w:pos="1440" w:leader="none"/>
        </w:tabs>
        <w:spacing w:lineRule="auto" w:line="276" w:before="120" w:after="120"/>
        <w:ind w:left="680" w:right="0" w:hanging="720"/>
        <w:jc w:val="both"/>
        <w:rPr>
          <w:rFonts w:cs="Arial"/>
          <w:szCs w:val="20"/>
          <w:shd w:fill="FFFFFF" w:val="clear"/>
        </w:rPr>
      </w:pPr>
      <w:r>
        <w:rPr>
          <w:rFonts w:cs="Arial"/>
          <w:szCs w:val="20"/>
          <w:shd w:fill="FFFFFF" w:val="clear"/>
        </w:rPr>
        <w:t>Deixar de entregar os documentos exigidos no certame;</w:t>
      </w:r>
    </w:p>
    <w:p>
      <w:pPr>
        <w:pStyle w:val="Normal"/>
        <w:numPr>
          <w:ilvl w:val="2"/>
          <w:numId w:val="17"/>
        </w:numPr>
        <w:tabs>
          <w:tab w:val="left" w:pos="1440" w:leader="none"/>
        </w:tabs>
        <w:spacing w:lineRule="auto" w:line="276" w:before="120" w:after="120"/>
        <w:ind w:left="680" w:right="0" w:hanging="720"/>
        <w:jc w:val="both"/>
        <w:rPr>
          <w:rFonts w:cs="Arial"/>
          <w:szCs w:val="20"/>
        </w:rPr>
      </w:pPr>
      <w:r>
        <w:rPr>
          <w:rFonts w:cs="Arial"/>
          <w:szCs w:val="20"/>
        </w:rPr>
        <w:t>Ensejar o retardamento da execução do objeto;</w:t>
      </w:r>
    </w:p>
    <w:p>
      <w:pPr>
        <w:pStyle w:val="Normal"/>
        <w:numPr>
          <w:ilvl w:val="2"/>
          <w:numId w:val="17"/>
        </w:numPr>
        <w:tabs>
          <w:tab w:val="left" w:pos="1440" w:leader="none"/>
        </w:tabs>
        <w:spacing w:lineRule="auto" w:line="276" w:before="120" w:after="120"/>
        <w:ind w:left="680" w:right="0" w:hanging="720"/>
        <w:jc w:val="both"/>
        <w:rPr>
          <w:rFonts w:cs="Arial"/>
          <w:szCs w:val="20"/>
          <w:shd w:fill="FFFFFF" w:val="clear"/>
        </w:rPr>
      </w:pPr>
      <w:r>
        <w:rPr>
          <w:rFonts w:cs="Arial"/>
          <w:szCs w:val="20"/>
          <w:shd w:fill="FFFFFF" w:val="clear"/>
        </w:rPr>
        <w:t>Não mantiver a proposta;</w:t>
      </w:r>
    </w:p>
    <w:p>
      <w:pPr>
        <w:pStyle w:val="Normal"/>
        <w:numPr>
          <w:ilvl w:val="2"/>
          <w:numId w:val="17"/>
        </w:numPr>
        <w:tabs>
          <w:tab w:val="left" w:pos="1440" w:leader="none"/>
        </w:tabs>
        <w:spacing w:lineRule="auto" w:line="276" w:before="120" w:after="120"/>
        <w:ind w:left="680" w:right="0" w:hanging="720"/>
        <w:jc w:val="both"/>
        <w:rPr>
          <w:rFonts w:cs="Arial"/>
          <w:szCs w:val="20"/>
          <w:shd w:fill="FFFFFF" w:val="clear"/>
        </w:rPr>
      </w:pPr>
      <w:r>
        <w:rPr>
          <w:rFonts w:cs="Arial"/>
          <w:szCs w:val="20"/>
          <w:shd w:fill="FFFFFF" w:val="clear"/>
        </w:rPr>
        <w:t>Cometer fraude fiscal;</w:t>
      </w:r>
    </w:p>
    <w:p>
      <w:pPr>
        <w:pStyle w:val="Normal"/>
        <w:numPr>
          <w:ilvl w:val="2"/>
          <w:numId w:val="17"/>
        </w:numPr>
        <w:tabs>
          <w:tab w:val="left" w:pos="1440" w:leader="none"/>
        </w:tabs>
        <w:spacing w:lineRule="auto" w:line="276" w:before="120" w:after="120"/>
        <w:ind w:left="680" w:right="0" w:hanging="720"/>
        <w:jc w:val="both"/>
        <w:rPr>
          <w:rFonts w:cs="Arial"/>
          <w:szCs w:val="20"/>
          <w:shd w:fill="FFFFFF" w:val="clear"/>
        </w:rPr>
      </w:pPr>
      <w:r>
        <w:rPr>
          <w:rFonts w:cs="Arial"/>
          <w:szCs w:val="20"/>
          <w:shd w:fill="FFFFFF" w:val="clear"/>
        </w:rPr>
        <w:t>Comportar-se de modo inidôneo;</w:t>
      </w:r>
    </w:p>
    <w:p>
      <w:pPr>
        <w:pStyle w:val="Normal"/>
        <w:numPr>
          <w:ilvl w:val="1"/>
          <w:numId w:val="17"/>
        </w:numPr>
        <w:spacing w:lineRule="auto" w:line="276" w:before="120" w:after="120"/>
        <w:ind w:left="425" w:right="0" w:hanging="540"/>
        <w:jc w:val="both"/>
        <w:rPr>
          <w:rFonts w:cs="Arial"/>
          <w:szCs w:val="20"/>
          <w:shd w:fill="FFFFFF" w:val="clear"/>
        </w:rPr>
      </w:pPr>
      <w:r>
        <w:rPr>
          <w:rFonts w:cs="Arial"/>
          <w:szCs w:val="20"/>
          <w:shd w:fill="FFFFFF" w:val="clear"/>
        </w:rPr>
        <w:t xml:space="preserve"> </w:t>
      </w:r>
      <w:r>
        <w:rPr>
          <w:rFonts w:cs="Arial"/>
          <w:szCs w:val="20"/>
          <w:shd w:fill="FFFFFF" w:val="clea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Normal"/>
        <w:numPr>
          <w:ilvl w:val="1"/>
          <w:numId w:val="17"/>
        </w:numPr>
        <w:spacing w:lineRule="auto" w:line="276" w:before="120" w:after="120"/>
        <w:ind w:left="425" w:right="0" w:hanging="540"/>
        <w:jc w:val="both"/>
        <w:rPr>
          <w:rFonts w:cs="Arial"/>
          <w:szCs w:val="20"/>
          <w:shd w:fill="FFFFFF" w:val="clear"/>
        </w:rPr>
      </w:pPr>
      <w:r>
        <w:rPr>
          <w:rFonts w:cs="Arial"/>
          <w:szCs w:val="20"/>
          <w:shd w:fill="FFFFFF" w:val="clear"/>
        </w:rPr>
        <w:t xml:space="preserve"> </w:t>
      </w:r>
      <w:r>
        <w:rPr>
          <w:rFonts w:cs="Arial"/>
          <w:szCs w:val="20"/>
          <w:shd w:fill="FFFFFF" w:val="clear"/>
        </w:rPr>
        <w:t>O licitante/adjudicatário que cometer qualquer das infrações discriminadas no subitem anterior ficará sujeito, sem prejuízo da responsabilidade civil e criminal, às seguintes sanções:</w:t>
      </w:r>
    </w:p>
    <w:p>
      <w:pPr>
        <w:pStyle w:val="Normal"/>
        <w:numPr>
          <w:ilvl w:val="2"/>
          <w:numId w:val="17"/>
        </w:numPr>
        <w:tabs>
          <w:tab w:val="left" w:pos="1440" w:leader="none"/>
        </w:tabs>
        <w:spacing w:lineRule="auto" w:line="276" w:before="120" w:after="120"/>
        <w:ind w:left="680" w:right="0" w:hanging="720"/>
        <w:jc w:val="both"/>
        <w:rPr>
          <w:rFonts w:cs="Arial"/>
          <w:szCs w:val="20"/>
          <w:shd w:fill="FFFFFF" w:val="clear"/>
        </w:rPr>
      </w:pPr>
      <w:r>
        <w:rPr>
          <w:rFonts w:cs="Arial"/>
          <w:szCs w:val="20"/>
          <w:shd w:fill="FFFFFF" w:val="clear"/>
        </w:rPr>
        <w:t xml:space="preserve"> </w:t>
      </w:r>
      <w:r>
        <w:rPr>
          <w:rFonts w:cs="Arial"/>
          <w:szCs w:val="20"/>
          <w:shd w:fill="FFFFFF" w:val="clear"/>
        </w:rPr>
        <w:t>Multa de 10% (dez por cento) sobre o valor estimado do(s) item(s) prejudicado(s) pela conduta do licitante;</w:t>
      </w:r>
    </w:p>
    <w:p>
      <w:pPr>
        <w:pStyle w:val="Normal"/>
        <w:numPr>
          <w:ilvl w:val="2"/>
          <w:numId w:val="17"/>
        </w:numPr>
        <w:tabs>
          <w:tab w:val="left" w:pos="1440" w:leader="none"/>
        </w:tabs>
        <w:spacing w:lineRule="auto" w:line="276" w:before="120" w:after="120"/>
        <w:ind w:left="680" w:right="0" w:hanging="720"/>
        <w:jc w:val="both"/>
        <w:rPr>
          <w:rFonts w:cs="Arial"/>
          <w:szCs w:val="20"/>
          <w:shd w:fill="FFFFFF" w:val="clear"/>
        </w:rPr>
      </w:pPr>
      <w:r>
        <w:rPr>
          <w:rFonts w:cs="Arial"/>
          <w:szCs w:val="20"/>
          <w:shd w:fill="FFFFFF" w:val="clear"/>
        </w:rPr>
        <w:t xml:space="preserve"> </w:t>
      </w:r>
      <w:r>
        <w:rPr>
          <w:rFonts w:cs="Arial"/>
          <w:szCs w:val="20"/>
          <w:shd w:fill="FFFFFF" w:val="clear"/>
        </w:rPr>
        <w:t>Impedimento de licitar e de contratar com a União e descredenciamento no SICAF, pelo prazo de até cinco anos;</w:t>
      </w:r>
    </w:p>
    <w:p>
      <w:pPr>
        <w:pStyle w:val="Normal"/>
        <w:numPr>
          <w:ilvl w:val="2"/>
          <w:numId w:val="17"/>
        </w:numPr>
        <w:tabs>
          <w:tab w:val="left" w:pos="1440" w:leader="none"/>
        </w:tabs>
        <w:spacing w:lineRule="auto" w:line="276" w:before="120" w:after="120"/>
        <w:ind w:left="680" w:right="0" w:hanging="720"/>
        <w:jc w:val="both"/>
        <w:rPr>
          <w:rFonts w:cs="Arial"/>
          <w:szCs w:val="20"/>
          <w:shd w:fill="FFFFFF" w:val="clear"/>
        </w:rPr>
      </w:pPr>
      <w:r>
        <w:rPr>
          <w:rFonts w:cs="Arial"/>
          <w:szCs w:val="20"/>
          <w:shd w:fill="FFFFFF" w:val="clear"/>
        </w:rPr>
        <w:t>A penalidade de multa pode ser aplicada cumulativamente com a sanção de impedimento.</w:t>
      </w:r>
    </w:p>
    <w:p>
      <w:pPr>
        <w:pStyle w:val="Normal"/>
        <w:numPr>
          <w:ilvl w:val="1"/>
          <w:numId w:val="17"/>
        </w:numPr>
        <w:spacing w:lineRule="auto" w:line="276" w:before="120" w:after="120"/>
        <w:ind w:left="454" w:right="0" w:hanging="540"/>
        <w:jc w:val="both"/>
        <w:rPr>
          <w:rFonts w:cs="Arial"/>
          <w:szCs w:val="20"/>
        </w:rPr>
      </w:pPr>
      <w:r>
        <w:rPr>
          <w:rFonts w:cs="Arial"/>
          <w:szCs w:val="20"/>
        </w:rPr>
        <w:t xml:space="preserve"> </w:t>
      </w:r>
      <w:r>
        <w:rPr>
          <w:rFonts w:cs="Arial"/>
          <w:szCs w:val="20"/>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pPr>
        <w:pStyle w:val="Normal"/>
        <w:numPr>
          <w:ilvl w:val="1"/>
          <w:numId w:val="17"/>
        </w:numPr>
        <w:spacing w:lineRule="auto" w:line="276" w:before="120" w:after="120"/>
        <w:ind w:left="454" w:right="0" w:hanging="540"/>
        <w:jc w:val="both"/>
        <w:rPr>
          <w:rFonts w:cs="Arial"/>
          <w:szCs w:val="20"/>
        </w:rPr>
      </w:pPr>
      <w:r>
        <w:rPr>
          <w:rFonts w:cs="Arial"/>
          <w:szCs w:val="20"/>
        </w:rPr>
        <w:t xml:space="preserve"> </w:t>
      </w:r>
      <w:r>
        <w:rPr>
          <w:rFonts w:cs="Arial"/>
          <w:szCs w:val="20"/>
        </w:rPr>
        <w:t>A autoridade competente, na aplicação das sanções, levará em consideração a gravidade da conduta do infrator, o caráter educativo da pena, bem como o dano causado à Administração, observado o princípio da proporcionalidade.</w:t>
      </w:r>
    </w:p>
    <w:p>
      <w:pPr>
        <w:pStyle w:val="Normal"/>
        <w:numPr>
          <w:ilvl w:val="1"/>
          <w:numId w:val="17"/>
        </w:numPr>
        <w:spacing w:lineRule="auto" w:line="276" w:before="120" w:after="120"/>
        <w:ind w:left="454" w:right="0" w:hanging="540"/>
        <w:jc w:val="both"/>
        <w:rPr>
          <w:rFonts w:cs="Arial"/>
          <w:szCs w:val="20"/>
        </w:rPr>
      </w:pPr>
      <w:r>
        <w:rPr>
          <w:rFonts w:cs="Arial"/>
          <w:szCs w:val="20"/>
        </w:rPr>
        <w:t xml:space="preserve"> </w:t>
      </w:r>
      <w:r>
        <w:rPr>
          <w:rFonts w:cs="Arial"/>
          <w:szCs w:val="20"/>
        </w:rPr>
        <w:t>As penalidades serão obrigatoriamente registradas no SICAF.</w:t>
      </w:r>
    </w:p>
    <w:p>
      <w:pPr>
        <w:pStyle w:val="Normal"/>
        <w:numPr>
          <w:ilvl w:val="1"/>
          <w:numId w:val="17"/>
        </w:numPr>
        <w:spacing w:lineRule="auto" w:line="276" w:before="120" w:after="120"/>
        <w:ind w:left="454" w:right="0" w:hanging="540"/>
        <w:jc w:val="both"/>
        <w:rPr>
          <w:rFonts w:cs="Arial"/>
          <w:szCs w:val="20"/>
        </w:rPr>
      </w:pPr>
      <w:r>
        <w:rPr>
          <w:rFonts w:cs="Arial"/>
          <w:szCs w:val="20"/>
        </w:rPr>
        <w:t xml:space="preserve"> </w:t>
      </w:r>
      <w:r>
        <w:rPr>
          <w:rFonts w:cs="Arial"/>
          <w:szCs w:val="20"/>
        </w:rPr>
        <w:t>As sanções por atos praticados no decorrer da contratação estão previstas no Termo de Referência.</w:t>
      </w:r>
    </w:p>
    <w:p>
      <w:pPr>
        <w:pStyle w:val="Nivel1"/>
        <w:numPr>
          <w:ilvl w:val="0"/>
          <w:numId w:val="17"/>
        </w:numPr>
        <w:spacing w:before="120" w:after="120"/>
        <w:ind w:left="357" w:right="0" w:hanging="540"/>
        <w:rPr/>
      </w:pPr>
      <w:r>
        <w:rPr/>
        <w:t>DA IMPUGNAÇÃO AO EDITAL E DO PEDIDO DE ESCLARECIMENTO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Até 02 (dois) dias úteis antes da data designada para a abertura da sessão pública, qualquer pessoa poderá impugnar este Edital.</w:t>
      </w:r>
    </w:p>
    <w:p>
      <w:pPr>
        <w:pStyle w:val="Normal"/>
        <w:numPr>
          <w:ilvl w:val="1"/>
          <w:numId w:val="17"/>
        </w:numPr>
        <w:spacing w:lineRule="auto" w:line="276" w:before="120" w:after="120"/>
        <w:ind w:left="454" w:right="-15" w:hanging="540"/>
        <w:jc w:val="both"/>
        <w:rPr>
          <w:rFonts w:cs="Arial"/>
          <w:szCs w:val="20"/>
        </w:rPr>
      </w:pPr>
      <w:r>
        <w:rPr>
          <w:rFonts w:cs="Arial"/>
          <w:color w:val="000000"/>
          <w:szCs w:val="20"/>
        </w:rPr>
        <w:t xml:space="preserve"> </w:t>
      </w:r>
      <w:r>
        <w:rPr>
          <w:rFonts w:cs="Arial"/>
          <w:color w:val="000000"/>
          <w:szCs w:val="20"/>
        </w:rPr>
        <w:t xml:space="preserve">A impugnação poderá ser realizada por forma eletrônica, pelo e-mail </w:t>
      </w:r>
      <w:r>
        <w:rPr>
          <w:rStyle w:val="LinkdaInternet"/>
          <w:rFonts w:cs="Arial"/>
          <w:szCs w:val="20"/>
        </w:rPr>
        <w:t>rosalina.cruz@ufvjm.edu.br</w:t>
      </w:r>
      <w:r>
        <w:rPr>
          <w:rFonts w:cs="Arial"/>
          <w:color w:val="000000"/>
          <w:szCs w:val="20"/>
        </w:rPr>
        <w:t xml:space="preserve">, ou por petição dirigida ou protocolada no endereço </w:t>
      </w:r>
      <w:r>
        <w:rPr>
          <w:rFonts w:cs="Arial"/>
          <w:szCs w:val="20"/>
        </w:rPr>
        <w:t>Divisão de Licitações, no endereço constante na capa deste Edital.</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Caberá ao Pregoeiro decidir sobre a impugnação no prazo de até vinte e quatro horas.</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Acolhida a impugnação, será definida e publicada nova data para a realização do certame.</w:t>
      </w:r>
    </w:p>
    <w:p>
      <w:pPr>
        <w:pStyle w:val="Normal"/>
        <w:numPr>
          <w:ilvl w:val="1"/>
          <w:numId w:val="17"/>
        </w:numPr>
        <w:spacing w:lineRule="auto" w:line="276" w:before="120" w:after="120"/>
        <w:ind w:left="454" w:right="0" w:hanging="540"/>
        <w:jc w:val="both"/>
        <w:rPr>
          <w:rFonts w:cs="Arial"/>
          <w:bCs/>
          <w:szCs w:val="20"/>
          <w:lang w:eastAsia="en-US"/>
        </w:rPr>
      </w:pPr>
      <w:r>
        <w:rPr>
          <w:rFonts w:cs="Arial"/>
          <w:color w:val="000000"/>
          <w:szCs w:val="20"/>
        </w:rPr>
        <w:t xml:space="preserve"> </w:t>
      </w:r>
      <w:r>
        <w:rPr>
          <w:rFonts w:cs="Arial"/>
          <w:color w:val="000000"/>
          <w:szCs w:val="20"/>
        </w:rPr>
        <w:t xml:space="preserve">Os pedidos de esclarecimentos referentes a este processo licitatório deverão ser enviados ao Pregoeiro, até 03 (três) dias úteis anteriores à data designada para abertura da sessão pública, </w:t>
      </w:r>
      <w:r>
        <w:rPr>
          <w:rFonts w:cs="Arial"/>
          <w:bCs/>
          <w:szCs w:val="20"/>
          <w:lang w:eastAsia="en-US"/>
        </w:rPr>
        <w:t>exclusivamente por meio eletrônico via internet, no endereço indicado no Edital.</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As impugnações e pedidos de esclarecimentos não suspendem os prazos previstos no certame.</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As respostas às impugnações e os esclarecimentos prestados pelo Pregoeiro serão entranhados nos autos do processo licitatório e estarão disponíveis para consulta por qualquer interessado.</w:t>
      </w:r>
    </w:p>
    <w:p>
      <w:pPr>
        <w:pStyle w:val="Nivel1"/>
        <w:numPr>
          <w:ilvl w:val="0"/>
          <w:numId w:val="17"/>
        </w:numPr>
        <w:spacing w:before="120" w:after="120"/>
        <w:ind w:left="357" w:right="0" w:hanging="540"/>
        <w:rPr/>
      </w:pPr>
      <w:r>
        <w:rPr/>
        <w:t>DAS DISPOSIÇÕES GERAIS</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A homologação do resultado desta licitação não implicará direito à contratação.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Os licitantes assumem todos os custos de preparação e apresentação de suas propostas e a Administração não será, em nenhum caso, responsável por esses custos, independentemente da condução ou do resultado do processo licitatório.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Na contagem dos prazos estabelecidos neste Edital e seus Anexos, excluir-se-á o dia do início e incluir-se-á o do vencimento. Só se iniciam e vencem os prazos em dias de expediente na Administração.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O desatendimento de exigências formais não essenciais não importará o afastamento do licitante, desde que seja possível o aproveitamento do ato, observados os princípios da isonomia e do interesse público.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Em caso de divergência entre disposições deste Edital e de seus anexos ou demais peças que compõem o processo, prevalecerá as deste Edital.</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É facultada ao Pregoeiro ou à Autoridade Superior, em qualquer fase da licitação, a promoção de diligência destinada a esclarecer ou complementar instrução do processo.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Nenhuma indenização será devida às licitantes pela elaboração ou pela apresentação de documentação referente ao presente Edital.</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A UFVJM poderá revogar a presente licitação por razões de interesse público decorrente de fato superveniente devidamente comprovado, pertinente e suficiente para justificar tal conduta, devendo anulá-la por ilegalidade, de ofício ou mediante provocação de terceiros, nos termos do art. 49 da Lei nº 8.666/93.</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No caso de alteração, deste Edital, o prazo para realização do certame será reaberto, exceto quando, inquestionavelmente, a alteração não afetar a formulação das propostas.</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O órgão promotor do certame não disponibilizará suas instalações, bem como equipamentos ou conexões com o provedor do sistema eletrônico, às licitantes interessadas em participar deste Pregão.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 xml:space="preserve">Para dirimir, na esfera judicial, as questões oriundas do presente Edital, será competente o juízo da Justiça Federal de Minas Gerais – seção judiciária de Belo Horizonte. </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Na hipótese de não haver expediente no dia da abertura da presente licitação, ficará esta transferida para o primeiro dia útil subsequente, no mesmo local e horário anteriormente estabelecido.</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 xml:space="preserve"> </w:t>
      </w:r>
      <w:r>
        <w:rPr>
          <w:rFonts w:cs="Arial"/>
          <w:color w:val="000000"/>
          <w:szCs w:val="20"/>
        </w:rPr>
        <w:t>A ata será disponibilizada na internet para acesso livre, imediatamente após o encerramento da sessão pública.</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Cópia do Edital e seus Anexos estará disponibilizada nos sites “www.comprasgovernamentais.gov.br”, e  “</w:t>
      </w:r>
      <w:hyperlink r:id="rId13">
        <w:r>
          <w:rPr>
            <w:rStyle w:val="LinkdaInternet"/>
            <w:rFonts w:cs="Arial"/>
            <w:color w:val="000000"/>
            <w:szCs w:val="20"/>
          </w:rPr>
          <w:t>www.ufvjm.edu.br</w:t>
        </w:r>
      </w:hyperlink>
      <w:r>
        <w:rPr>
          <w:rFonts w:cs="Arial"/>
          <w:color w:val="000000"/>
          <w:szCs w:val="20"/>
        </w:rPr>
        <w:t>”.</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O Edital está disponibilizado, na íntegra, nos endereços eletrônicos www.comprasgovernamentais.gov.br, www.ufvjm.edu.br e também poderão ser lidos e/ou obtidos no endereço constantes da capa deste Edital, nos dias úteis, no horário das 14:00 horas 18:00 horas, mesmo endereço e período no qual os autos do processo administrativo permanecerão com vista franqueada aos interessados.</w:t>
      </w:r>
    </w:p>
    <w:p>
      <w:pPr>
        <w:pStyle w:val="Normal"/>
        <w:numPr>
          <w:ilvl w:val="1"/>
          <w:numId w:val="17"/>
        </w:numPr>
        <w:spacing w:lineRule="auto" w:line="276" w:before="120" w:after="120"/>
        <w:ind w:left="454" w:right="0" w:hanging="540"/>
        <w:jc w:val="both"/>
        <w:rPr>
          <w:rFonts w:cs="Arial"/>
          <w:color w:val="000000"/>
          <w:szCs w:val="20"/>
        </w:rPr>
      </w:pPr>
      <w:r>
        <w:rPr>
          <w:rFonts w:cs="Arial"/>
          <w:color w:val="000000"/>
          <w:szCs w:val="20"/>
        </w:rPr>
        <w:t>Integram este Edital, para todos os fins e efeitos, os seguintes anexos:</w:t>
      </w:r>
    </w:p>
    <w:p>
      <w:pPr>
        <w:pStyle w:val="Normal"/>
        <w:numPr>
          <w:ilvl w:val="0"/>
          <w:numId w:val="1"/>
        </w:numPr>
        <w:spacing w:lineRule="auto" w:line="276" w:before="120" w:after="120"/>
        <w:ind w:left="999" w:right="0" w:hanging="360"/>
        <w:jc w:val="both"/>
        <w:rPr>
          <w:rFonts w:cs="Arial"/>
          <w:color w:val="000000"/>
          <w:szCs w:val="20"/>
        </w:rPr>
      </w:pPr>
      <w:r>
        <w:rPr>
          <w:rFonts w:cs="Arial"/>
          <w:color w:val="000000"/>
          <w:szCs w:val="20"/>
        </w:rPr>
        <w:t>ANEXO I – Termo de Referência;</w:t>
      </w:r>
    </w:p>
    <w:p>
      <w:pPr>
        <w:pStyle w:val="Normal"/>
        <w:numPr>
          <w:ilvl w:val="0"/>
          <w:numId w:val="1"/>
        </w:numPr>
        <w:spacing w:lineRule="auto" w:line="276" w:before="120" w:after="120"/>
        <w:ind w:left="999" w:right="0" w:hanging="360"/>
        <w:jc w:val="both"/>
        <w:rPr>
          <w:rFonts w:cs="Arial"/>
          <w:color w:val="000000"/>
          <w:szCs w:val="20"/>
        </w:rPr>
      </w:pPr>
      <w:r>
        <w:rPr>
          <w:rFonts w:cs="Arial"/>
          <w:color w:val="000000"/>
          <w:szCs w:val="20"/>
        </w:rPr>
        <w:t>ANEXO II – Minuta de Termo de Contrato;</w:t>
      </w:r>
    </w:p>
    <w:p>
      <w:pPr>
        <w:pStyle w:val="Normal"/>
        <w:numPr>
          <w:ilvl w:val="0"/>
          <w:numId w:val="1"/>
        </w:numPr>
        <w:spacing w:lineRule="auto" w:line="276" w:before="120" w:after="120"/>
        <w:ind w:left="999" w:right="0" w:hanging="360"/>
        <w:jc w:val="both"/>
        <w:rPr>
          <w:rFonts w:cs="Arial"/>
          <w:color w:val="000000"/>
          <w:szCs w:val="20"/>
        </w:rPr>
      </w:pPr>
      <w:r>
        <w:rPr>
          <w:rFonts w:cs="Arial"/>
          <w:color w:val="000000"/>
          <w:szCs w:val="20"/>
        </w:rPr>
        <w:t>ANEXO III – Modelo de Carta Proposta;</w:t>
      </w:r>
    </w:p>
    <w:p>
      <w:pPr>
        <w:pStyle w:val="Normal"/>
        <w:spacing w:lineRule="auto" w:line="276" w:before="120" w:after="120"/>
        <w:ind w:left="142" w:right="0" w:hanging="0"/>
        <w:jc w:val="both"/>
        <w:rPr>
          <w:rFonts w:cs="Arial"/>
          <w:color w:val="000000"/>
          <w:szCs w:val="20"/>
        </w:rPr>
      </w:pPr>
      <w:r>
        <w:rPr>
          <w:rFonts w:cs="Arial"/>
          <w:color w:val="000000"/>
          <w:szCs w:val="20"/>
        </w:rPr>
      </w:r>
    </w:p>
    <w:p>
      <w:pPr>
        <w:pStyle w:val="Normal"/>
        <w:spacing w:lineRule="auto" w:line="276" w:before="120" w:after="120"/>
        <w:ind w:left="142" w:right="0" w:hanging="0"/>
        <w:jc w:val="both"/>
        <w:rPr>
          <w:rFonts w:cs="Arial"/>
          <w:color w:val="000000"/>
          <w:szCs w:val="20"/>
        </w:rPr>
      </w:pPr>
      <w:r>
        <w:rPr>
          <w:rFonts w:cs="Arial"/>
          <w:color w:val="000000"/>
          <w:szCs w:val="20"/>
        </w:rPr>
      </w:r>
    </w:p>
    <w:p>
      <w:pPr>
        <w:pStyle w:val="Normal"/>
        <w:spacing w:lineRule="auto" w:line="276" w:before="120" w:after="120"/>
        <w:ind w:left="142" w:right="0" w:hanging="0"/>
        <w:jc w:val="right"/>
        <w:rPr>
          <w:rFonts w:cs="Arial"/>
          <w:color w:val="000000"/>
          <w:szCs w:val="20"/>
        </w:rPr>
      </w:pPr>
      <w:r>
        <w:rPr>
          <w:rFonts w:cs="Arial"/>
          <w:color w:val="000000"/>
          <w:szCs w:val="20"/>
        </w:rPr>
        <w:t>Teófilo Otoni, 05 de outubro de 2018.</w:t>
      </w:r>
    </w:p>
    <w:p>
      <w:pPr>
        <w:pStyle w:val="Normal"/>
        <w:spacing w:lineRule="auto" w:line="276" w:before="120" w:after="120"/>
        <w:ind w:left="142" w:right="0" w:hanging="0"/>
        <w:jc w:val="right"/>
        <w:rPr>
          <w:rFonts w:cs="Arial"/>
          <w:color w:val="000000"/>
          <w:szCs w:val="20"/>
        </w:rPr>
      </w:pPr>
      <w:r>
        <w:rPr>
          <w:rFonts w:cs="Arial"/>
          <w:color w:val="000000"/>
          <w:szCs w:val="20"/>
        </w:rPr>
      </w:r>
    </w:p>
    <w:p>
      <w:pPr>
        <w:pStyle w:val="Normal"/>
        <w:spacing w:lineRule="auto" w:line="276" w:before="120" w:after="120"/>
        <w:ind w:left="142" w:right="0" w:hanging="0"/>
        <w:jc w:val="right"/>
        <w:rPr>
          <w:rFonts w:cs="Arial"/>
          <w:color w:val="000000"/>
          <w:szCs w:val="20"/>
        </w:rPr>
      </w:pPr>
      <w:r>
        <w:rPr>
          <w:rFonts w:cs="Arial"/>
          <w:color w:val="000000"/>
          <w:szCs w:val="20"/>
        </w:rPr>
      </w:r>
    </w:p>
    <w:p>
      <w:pPr>
        <w:pStyle w:val="Normal"/>
        <w:tabs>
          <w:tab w:val="left" w:pos="8888" w:leader="none"/>
        </w:tabs>
        <w:spacing w:before="6" w:after="6"/>
        <w:ind w:left="142" w:right="0" w:hanging="0"/>
        <w:jc w:val="center"/>
        <w:rPr>
          <w:rFonts w:cs="Arial"/>
          <w:b/>
          <w:bCs/>
          <w:color w:val="000000"/>
          <w:szCs w:val="20"/>
        </w:rPr>
      </w:pPr>
      <w:r>
        <w:rPr>
          <w:rFonts w:cs="Arial"/>
          <w:b/>
          <w:bCs/>
          <w:color w:val="000000"/>
          <w:szCs w:val="20"/>
        </w:rPr>
        <w:t>Renildo Lemos dos Santos</w:t>
      </w:r>
    </w:p>
    <w:p>
      <w:pPr>
        <w:pStyle w:val="Normal"/>
        <w:tabs>
          <w:tab w:val="left" w:pos="8888" w:leader="none"/>
        </w:tabs>
        <w:spacing w:before="6" w:after="6"/>
        <w:ind w:left="142" w:right="0" w:hanging="0"/>
        <w:jc w:val="center"/>
        <w:rPr>
          <w:rFonts w:cs="Arial"/>
          <w:color w:val="000000"/>
          <w:szCs w:val="20"/>
        </w:rPr>
      </w:pPr>
      <w:r>
        <w:rPr>
          <w:rFonts w:cs="Arial"/>
          <w:color w:val="000000"/>
          <w:szCs w:val="20"/>
        </w:rPr>
        <w:t>Diretor de Administração e Planejamento</w:t>
      </w:r>
    </w:p>
    <w:p>
      <w:pPr>
        <w:pStyle w:val="Normal"/>
        <w:tabs>
          <w:tab w:val="left" w:pos="8888" w:leader="none"/>
        </w:tabs>
        <w:spacing w:before="6" w:after="6"/>
        <w:ind w:left="142" w:right="0" w:hanging="0"/>
        <w:jc w:val="center"/>
        <w:rPr>
          <w:rFonts w:cs="Arial"/>
          <w:color w:val="000000"/>
          <w:szCs w:val="20"/>
        </w:rPr>
      </w:pPr>
      <w:bookmarkStart w:id="1" w:name="__DdeLink__1835_2815135549"/>
      <w:bookmarkEnd w:id="1"/>
      <w:r>
        <w:rPr>
          <w:rFonts w:cs="Arial"/>
          <w:color w:val="000000"/>
          <w:szCs w:val="20"/>
        </w:rPr>
        <w:t>UFVJM/Campus do Mucuri</w:t>
      </w:r>
    </w:p>
    <w:p>
      <w:pPr>
        <w:pStyle w:val="Normal"/>
        <w:spacing w:lineRule="auto" w:line="276" w:before="120" w:after="120"/>
        <w:ind w:left="142" w:right="0" w:hanging="0"/>
        <w:jc w:val="both"/>
        <w:rPr>
          <w:rFonts w:cs="Arial"/>
          <w:color w:val="000000"/>
          <w:szCs w:val="20"/>
        </w:rPr>
      </w:pPr>
      <w:r>
        <w:rPr>
          <w:rFonts w:cs="Arial"/>
          <w:color w:val="000000"/>
          <w:szCs w:val="20"/>
        </w:rPr>
      </w:r>
    </w:p>
    <w:p>
      <w:pPr>
        <w:pStyle w:val="Normal"/>
        <w:spacing w:lineRule="auto" w:line="276" w:before="120" w:after="120"/>
        <w:ind w:left="142" w:right="0" w:hanging="0"/>
        <w:jc w:val="both"/>
        <w:rPr>
          <w:rFonts w:cs="Arial"/>
          <w:color w:val="000000"/>
          <w:szCs w:val="20"/>
        </w:rPr>
      </w:pPr>
      <w:r>
        <w:rPr>
          <w:rFonts w:cs="Arial"/>
          <w:color w:val="000000"/>
          <w:szCs w:val="20"/>
        </w:rPr>
      </w:r>
    </w:p>
    <w:p>
      <w:pPr>
        <w:pStyle w:val="Normal"/>
        <w:tabs>
          <w:tab w:val="left" w:pos="8888" w:leader="none"/>
        </w:tabs>
        <w:spacing w:before="6" w:after="6"/>
        <w:ind w:left="142" w:right="0" w:hanging="0"/>
        <w:jc w:val="center"/>
        <w:rPr>
          <w:rFonts w:cs="Arial"/>
          <w:b/>
          <w:bCs/>
          <w:color w:val="000000"/>
          <w:szCs w:val="20"/>
        </w:rPr>
      </w:pPr>
      <w:r>
        <w:rPr>
          <w:rFonts w:cs="Arial"/>
          <w:b/>
          <w:bCs/>
          <w:color w:val="000000"/>
          <w:szCs w:val="20"/>
        </w:rPr>
        <w:t>Fernando Costa Archanjo</w:t>
      </w:r>
    </w:p>
    <w:p>
      <w:pPr>
        <w:pStyle w:val="Normal"/>
        <w:tabs>
          <w:tab w:val="left" w:pos="8888" w:leader="none"/>
        </w:tabs>
        <w:spacing w:before="6" w:after="6"/>
        <w:ind w:left="142" w:right="0" w:hanging="0"/>
        <w:jc w:val="center"/>
        <w:rPr>
          <w:rFonts w:cs="Arial"/>
          <w:color w:val="000000"/>
          <w:szCs w:val="20"/>
        </w:rPr>
      </w:pPr>
      <w:r>
        <w:rPr>
          <w:rFonts w:cs="Arial"/>
          <w:color w:val="000000"/>
          <w:szCs w:val="20"/>
        </w:rPr>
        <w:t>Pró-Reitor de Administração</w:t>
      </w:r>
    </w:p>
    <w:p>
      <w:pPr>
        <w:pStyle w:val="Normal"/>
        <w:tabs>
          <w:tab w:val="left" w:pos="8888" w:leader="none"/>
        </w:tabs>
        <w:spacing w:before="6" w:after="6"/>
        <w:ind w:left="142" w:right="0" w:hanging="0"/>
        <w:jc w:val="center"/>
        <w:rPr>
          <w:rFonts w:cs="Arial"/>
          <w:color w:val="000000"/>
          <w:szCs w:val="20"/>
        </w:rPr>
      </w:pPr>
      <w:r>
        <w:rPr>
          <w:rFonts w:cs="Arial"/>
          <w:color w:val="000000"/>
          <w:szCs w:val="20"/>
        </w:rPr>
        <w:t>UFVJM</w:t>
      </w:r>
    </w:p>
    <w:p>
      <w:pPr>
        <w:pStyle w:val="Normal"/>
        <w:pageBreakBefore/>
        <w:shd w:fill="FFFFFF" w:val="clear"/>
        <w:ind w:left="142" w:right="282" w:hanging="0"/>
        <w:jc w:val="center"/>
        <w:rPr>
          <w:rFonts w:cs="Times New Roman"/>
          <w:b/>
          <w:w w:val="105"/>
          <w:szCs w:val="20"/>
          <w:highlight w:val="yellow"/>
          <w:shd w:fill="FFFFFF" w:val="clear"/>
          <w:lang w:eastAsia="en-US"/>
        </w:rPr>
      </w:pPr>
      <w:r>
        <w:rPr>
          <w:rFonts w:cs="Times New Roman"/>
          <w:b/>
          <w:w w:val="105"/>
          <w:szCs w:val="20"/>
          <w:highlight w:val="yellow"/>
          <w:shd w:fill="FFFFFF" w:val="clear"/>
          <w:lang w:eastAsia="en-US"/>
        </w:rPr>
        <w:t>ANEXO I AO EDITAL PREGÃO 039/2018</w:t>
      </w:r>
    </w:p>
    <w:p>
      <w:pPr>
        <w:pStyle w:val="Normal"/>
        <w:numPr>
          <w:ilvl w:val="0"/>
          <w:numId w:val="1"/>
        </w:numPr>
        <w:ind w:left="142" w:right="282" w:hanging="360"/>
        <w:jc w:val="center"/>
        <w:rPr>
          <w:rFonts w:cs="Times New Roman"/>
          <w:w w:val="105"/>
          <w:szCs w:val="20"/>
          <w:lang w:eastAsia="en-US"/>
        </w:rPr>
      </w:pPr>
      <w:r>
        <w:rPr>
          <w:rFonts w:cs="Times New Roman"/>
          <w:w w:val="105"/>
          <w:szCs w:val="20"/>
          <w:lang w:eastAsia="en-US"/>
        </w:rPr>
      </w:r>
    </w:p>
    <w:p>
      <w:pPr>
        <w:pStyle w:val="Normal"/>
        <w:shd w:fill="FFFFFF" w:val="clear"/>
        <w:ind w:left="142" w:right="282" w:hanging="0"/>
        <w:jc w:val="center"/>
        <w:rPr>
          <w:rFonts w:cs="Times New Roman"/>
          <w:b/>
          <w:w w:val="105"/>
          <w:szCs w:val="20"/>
          <w:lang w:eastAsia="en-US"/>
        </w:rPr>
      </w:pPr>
      <w:r>
        <w:rPr>
          <w:rFonts w:cs="Times New Roman"/>
          <w:b/>
          <w:w w:val="105"/>
          <w:szCs w:val="20"/>
          <w:lang w:eastAsia="en-US"/>
        </w:rPr>
        <w:t>TERMO DE REFERÊNCIA</w:t>
      </w:r>
    </w:p>
    <w:p>
      <w:pPr>
        <w:pStyle w:val="Normal"/>
        <w:ind w:left="142" w:right="0" w:hanging="0"/>
        <w:rPr>
          <w:rFonts w:cs="Times New Roman"/>
          <w:szCs w:val="20"/>
          <w:lang w:eastAsia="en-US"/>
        </w:rPr>
      </w:pPr>
      <w:r>
        <w:rPr>
          <w:rFonts w:cs="Times New Roman"/>
          <w:szCs w:val="20"/>
          <w:lang w:eastAsia="en-US"/>
        </w:rPr>
      </w:r>
    </w:p>
    <w:p>
      <w:pPr>
        <w:pStyle w:val="Normal"/>
        <w:spacing w:before="9" w:after="0"/>
        <w:ind w:left="142" w:right="0" w:hanging="0"/>
        <w:rPr>
          <w:rFonts w:cs="Times New Roman"/>
          <w:szCs w:val="20"/>
          <w:lang w:eastAsia="en-US"/>
        </w:rPr>
      </w:pPr>
      <w:r>
        <w:rPr>
          <w:rFonts w:cs="Times New Roman"/>
          <w:szCs w:val="20"/>
          <w:lang w:eastAsia="en-US"/>
        </w:rPr>
      </w:r>
    </w:p>
    <w:p>
      <w:pPr>
        <w:pStyle w:val="Normal"/>
        <w:ind w:left="142" w:right="282" w:hanging="0"/>
        <w:jc w:val="center"/>
        <w:outlineLvl w:val="0"/>
        <w:rPr>
          <w:rFonts w:cs="Times New Roman"/>
          <w:b/>
          <w:bCs/>
          <w:szCs w:val="20"/>
          <w:lang w:eastAsia="en-US"/>
        </w:rPr>
      </w:pPr>
      <w:r>
        <w:rPr>
          <w:rFonts w:cs="Times New Roman"/>
          <w:b/>
          <w:bCs/>
          <w:szCs w:val="20"/>
          <w:lang w:eastAsia="en-US"/>
        </w:rPr>
        <w:t>CONTRATAÇÃO DE SERVIÇOS</w:t>
      </w:r>
    </w:p>
    <w:p>
      <w:pPr>
        <w:pStyle w:val="Normal"/>
        <w:ind w:left="3520" w:right="3577" w:hanging="0"/>
        <w:jc w:val="center"/>
        <w:outlineLvl w:val="0"/>
        <w:rPr>
          <w:rFonts w:cs="Times New Roman"/>
          <w:b/>
          <w:bCs/>
          <w:szCs w:val="20"/>
          <w:lang w:eastAsia="en-US"/>
        </w:rPr>
      </w:pPr>
      <w:r>
        <w:rPr>
          <w:rFonts w:cs="Times New Roman"/>
          <w:b/>
          <w:bCs/>
          <w:szCs w:val="20"/>
          <w:lang w:eastAsia="en-US"/>
        </w:rPr>
      </w:r>
    </w:p>
    <w:p>
      <w:pPr>
        <w:pStyle w:val="Normal"/>
        <w:spacing w:before="157" w:after="0"/>
        <w:ind w:left="142" w:right="282" w:hanging="0"/>
        <w:jc w:val="center"/>
        <w:rPr>
          <w:rFonts w:cs="Times New Roman"/>
          <w:b/>
          <w:szCs w:val="20"/>
          <w:lang w:eastAsia="en-US"/>
        </w:rPr>
      </w:pPr>
      <w:r>
        <w:rPr>
          <w:rFonts w:cs="Times New Roman"/>
          <w:b/>
          <w:szCs w:val="20"/>
          <w:lang w:eastAsia="en-US"/>
        </w:rPr>
        <w:t>OFERECIMENTO DE CURSO DE LÍNGUA ESTRANGEIRA</w:t>
      </w:r>
    </w:p>
    <w:p>
      <w:pPr>
        <w:pStyle w:val="Normal"/>
        <w:ind w:left="142" w:right="0" w:hanging="0"/>
        <w:rPr>
          <w:rFonts w:cs="Times New Roman"/>
          <w:szCs w:val="20"/>
          <w:lang w:eastAsia="en-US"/>
        </w:rPr>
      </w:pPr>
      <w:r>
        <w:rPr>
          <w:rFonts w:cs="Times New Roman"/>
          <w:szCs w:val="20"/>
          <w:lang w:eastAsia="en-US"/>
        </w:rPr>
      </w:r>
    </w:p>
    <w:p>
      <w:pPr>
        <w:pStyle w:val="Normal"/>
        <w:spacing w:before="2" w:after="0"/>
        <w:ind w:left="142" w:right="0" w:hanging="0"/>
        <w:rPr>
          <w:rFonts w:cs="Times New Roman"/>
          <w:szCs w:val="20"/>
          <w:lang w:eastAsia="en-US"/>
        </w:rPr>
      </w:pPr>
      <w:r>
        <w:rPr>
          <w:rFonts w:cs="Times New Roman"/>
          <w:szCs w:val="20"/>
          <w:lang w:eastAsia="en-US"/>
        </w:rPr>
      </w:r>
    </w:p>
    <w:p>
      <w:pPr>
        <w:pStyle w:val="Normal"/>
        <w:numPr>
          <w:ilvl w:val="0"/>
          <w:numId w:val="16"/>
        </w:numPr>
        <w:tabs>
          <w:tab w:val="left" w:pos="261" w:leader="none"/>
        </w:tabs>
        <w:spacing w:before="120" w:after="120"/>
        <w:ind w:left="510" w:right="0" w:hanging="360"/>
        <w:jc w:val="both"/>
        <w:outlineLvl w:val="0"/>
        <w:rPr>
          <w:rFonts w:cs="Times New Roman"/>
          <w:b/>
          <w:bCs/>
          <w:szCs w:val="20"/>
          <w:lang w:eastAsia="en-US"/>
        </w:rPr>
      </w:pPr>
      <w:r>
        <w:rPr>
          <w:rFonts w:cs="Times New Roman"/>
          <w:b/>
          <w:bCs/>
          <w:szCs w:val="20"/>
          <w:lang w:eastAsia="en-US"/>
        </w:rPr>
        <w:t>DO OBJETO</w:t>
      </w:r>
    </w:p>
    <w:p>
      <w:pPr>
        <w:pStyle w:val="Normal"/>
        <w:numPr>
          <w:ilvl w:val="1"/>
          <w:numId w:val="15"/>
        </w:numPr>
        <w:tabs>
          <w:tab w:val="left" w:pos="381" w:leader="none"/>
        </w:tabs>
        <w:spacing w:before="120" w:after="120"/>
        <w:ind w:left="0" w:right="363" w:hanging="281"/>
        <w:jc w:val="both"/>
        <w:rPr>
          <w:rFonts w:cs="Times New Roman"/>
          <w:szCs w:val="20"/>
          <w:lang w:eastAsia="en-US"/>
        </w:rPr>
      </w:pPr>
      <w:r>
        <w:rPr>
          <w:rFonts w:cs="Times New Roman"/>
          <w:szCs w:val="20"/>
          <w:lang w:eastAsia="en-US"/>
        </w:rPr>
        <w:t>Contratação de empresa especializada para ministrar Curso de Língua Inglesa – Instrumental, na modalidade presencial, a ser oferecido a 30 servidores da Universidade Federal dos Vales do Jequitinhonha e Mucuri – UFVJM, no Campus do Mucuri em Teófilo Otoni, conforme condições e especificações estabelecidas neste Termo de</w:t>
      </w:r>
      <w:r>
        <w:rPr>
          <w:rFonts w:cs="Times New Roman"/>
          <w:spacing w:val="5"/>
          <w:szCs w:val="20"/>
          <w:lang w:eastAsia="en-US"/>
        </w:rPr>
        <w:t xml:space="preserve"> </w:t>
      </w:r>
      <w:r>
        <w:rPr>
          <w:rFonts w:cs="Times New Roman"/>
          <w:szCs w:val="20"/>
          <w:lang w:eastAsia="en-US"/>
        </w:rPr>
        <w:t>Referência.</w:t>
      </w:r>
    </w:p>
    <w:tbl>
      <w:tblPr>
        <w:jc w:val="left"/>
        <w:tblInd w:w="2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6" w:type="dxa"/>
          <w:bottom w:w="55" w:type="dxa"/>
          <w:right w:w="55" w:type="dxa"/>
        </w:tblCellMar>
      </w:tblPr>
      <w:tblGrid>
        <w:gridCol w:w="666"/>
        <w:gridCol w:w="1733"/>
        <w:gridCol w:w="1459"/>
        <w:gridCol w:w="1107"/>
        <w:gridCol w:w="763"/>
        <w:gridCol w:w="850"/>
        <w:gridCol w:w="1723"/>
        <w:gridCol w:w="1462"/>
      </w:tblGrid>
      <w:tr>
        <w:trPr>
          <w:trHeight w:val="513" w:hRule="atLeast"/>
          <w:cantSplit w:val="false"/>
        </w:trPr>
        <w:tc>
          <w:tcPr>
            <w:tcW w:w="666"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b/>
                <w:szCs w:val="20"/>
                <w:lang w:val="en-US" w:eastAsia="en-US"/>
              </w:rPr>
            </w:pPr>
            <w:r>
              <w:rPr>
                <w:rFonts w:eastAsia="Calibri" w:cs="Century gothic"/>
                <w:b/>
                <w:szCs w:val="20"/>
                <w:lang w:val="en-US" w:eastAsia="en-US"/>
              </w:rPr>
              <w:t>Item</w:t>
            </w:r>
          </w:p>
        </w:tc>
        <w:tc>
          <w:tcPr>
            <w:tcW w:w="173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b/>
                <w:szCs w:val="20"/>
                <w:lang w:val="en-US" w:eastAsia="en-US"/>
              </w:rPr>
            </w:pPr>
            <w:r>
              <w:rPr>
                <w:rFonts w:eastAsia="Calibri" w:cs="Century gothic"/>
                <w:b/>
                <w:szCs w:val="20"/>
                <w:lang w:val="en-US" w:eastAsia="en-US"/>
              </w:rPr>
              <w:t>Descrição</w:t>
            </w:r>
          </w:p>
        </w:tc>
        <w:tc>
          <w:tcPr>
            <w:tcW w:w="14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502" w:right="0" w:hanging="0"/>
              <w:rPr>
                <w:rFonts w:eastAsia="Calibri" w:cs="Century gothic"/>
                <w:b/>
                <w:szCs w:val="20"/>
                <w:lang w:val="en-US" w:eastAsia="en-US"/>
              </w:rPr>
            </w:pPr>
            <w:r>
              <w:rPr>
                <w:rFonts w:eastAsia="Calibri" w:cs="Century gothic"/>
                <w:b/>
                <w:szCs w:val="20"/>
                <w:lang w:val="en-US" w:eastAsia="en-US"/>
              </w:rPr>
              <w:t>Campus</w:t>
            </w:r>
          </w:p>
        </w:tc>
        <w:tc>
          <w:tcPr>
            <w:tcW w:w="110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b/>
                <w:szCs w:val="20"/>
                <w:lang w:val="en-US" w:eastAsia="en-US"/>
              </w:rPr>
            </w:pPr>
            <w:r>
              <w:rPr>
                <w:rFonts w:eastAsia="Calibri" w:cs="Century gothic"/>
                <w:b/>
                <w:szCs w:val="20"/>
                <w:lang w:val="en-US" w:eastAsia="en-US"/>
              </w:rPr>
              <w:t>CH Semanal</w:t>
            </w:r>
          </w:p>
        </w:tc>
        <w:tc>
          <w:tcPr>
            <w:tcW w:w="76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b/>
                <w:szCs w:val="20"/>
                <w:lang w:val="en-US" w:eastAsia="en-US"/>
              </w:rPr>
            </w:pPr>
            <w:r>
              <w:rPr>
                <w:rFonts w:eastAsia="Calibri" w:cs="Century gothic"/>
                <w:b/>
                <w:szCs w:val="20"/>
                <w:lang w:val="en-US" w:eastAsia="en-US"/>
              </w:rPr>
              <w:t>CH Total</w:t>
            </w:r>
          </w:p>
        </w:tc>
        <w:tc>
          <w:tcPr>
            <w:tcW w:w="85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b/>
                <w:szCs w:val="20"/>
                <w:lang w:val="en-US" w:eastAsia="en-US"/>
              </w:rPr>
            </w:pPr>
            <w:r>
              <w:rPr>
                <w:rFonts w:eastAsia="Calibri" w:cs="Century gothic"/>
                <w:b/>
                <w:szCs w:val="20"/>
                <w:lang w:val="en-US" w:eastAsia="en-US"/>
              </w:rPr>
              <w:t>Nº de vagas</w:t>
            </w:r>
          </w:p>
        </w:tc>
        <w:tc>
          <w:tcPr>
            <w:tcW w:w="172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b/>
                <w:szCs w:val="20"/>
                <w:lang w:eastAsia="en-US"/>
              </w:rPr>
            </w:pPr>
            <w:r>
              <w:rPr>
                <w:rFonts w:eastAsia="Calibri" w:cs="Century gothic"/>
                <w:b/>
                <w:szCs w:val="20"/>
                <w:lang w:eastAsia="en-US"/>
              </w:rPr>
              <w:t>Valor por hora/aula incluindo material didático</w:t>
            </w:r>
          </w:p>
        </w:tc>
        <w:tc>
          <w:tcPr>
            <w:tcW w:w="146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6" w:type="dxa"/>
            </w:tcMar>
          </w:tcPr>
          <w:p>
            <w:pPr>
              <w:pStyle w:val="Normal"/>
              <w:spacing w:before="120" w:after="120"/>
              <w:ind w:left="142" w:right="0" w:hanging="0"/>
              <w:jc w:val="center"/>
              <w:rPr>
                <w:rFonts w:eastAsia="Calibri" w:cs="Century gothic"/>
                <w:b/>
                <w:szCs w:val="20"/>
                <w:lang w:eastAsia="en-US"/>
              </w:rPr>
            </w:pPr>
            <w:r>
              <w:rPr>
                <w:rFonts w:eastAsia="Calibri" w:cs="Century gothic"/>
                <w:b/>
                <w:szCs w:val="20"/>
                <w:lang w:eastAsia="en-US"/>
              </w:rPr>
            </w:r>
          </w:p>
          <w:p>
            <w:pPr>
              <w:pStyle w:val="Normal"/>
              <w:spacing w:before="120" w:after="120"/>
              <w:ind w:left="142" w:right="0" w:hanging="0"/>
              <w:jc w:val="center"/>
              <w:rPr>
                <w:rFonts w:eastAsia="Calibri" w:cs="Century gothic"/>
                <w:b/>
                <w:szCs w:val="20"/>
                <w:lang w:val="en-US" w:eastAsia="en-US"/>
              </w:rPr>
            </w:pPr>
            <w:r>
              <w:rPr>
                <w:rFonts w:eastAsia="Calibri" w:cs="Century gothic"/>
                <w:b/>
                <w:szCs w:val="20"/>
                <w:lang w:val="en-US" w:eastAsia="en-US"/>
              </w:rPr>
              <w:t>Valor total</w:t>
            </w:r>
          </w:p>
        </w:tc>
      </w:tr>
      <w:tr>
        <w:trPr>
          <w:cantSplit w:val="false"/>
        </w:trPr>
        <w:tc>
          <w:tcPr>
            <w:tcW w:w="666"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b/>
                <w:szCs w:val="20"/>
                <w:lang w:val="en-US" w:eastAsia="en-US"/>
              </w:rPr>
            </w:pPr>
            <w:r>
              <w:rPr>
                <w:rFonts w:eastAsia="Calibri" w:cs="Century gothic"/>
                <w:b/>
                <w:szCs w:val="20"/>
                <w:lang w:val="en-US" w:eastAsia="en-US"/>
              </w:rPr>
              <w:t>01</w:t>
            </w:r>
          </w:p>
        </w:tc>
        <w:tc>
          <w:tcPr>
            <w:tcW w:w="173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szCs w:val="20"/>
                <w:lang w:eastAsia="en-US"/>
              </w:rPr>
            </w:pPr>
            <w:r>
              <w:rPr>
                <w:rFonts w:eastAsia="Calibri" w:cs="Century gothic"/>
                <w:szCs w:val="20"/>
                <w:lang w:eastAsia="en-US"/>
              </w:rPr>
              <w:t>Curso de Língua Inglesa Presencial – Instrumental (podendo ser dividido em até 2 turmas).</w:t>
            </w:r>
          </w:p>
        </w:tc>
        <w:tc>
          <w:tcPr>
            <w:tcW w:w="14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502" w:right="0" w:hanging="0"/>
              <w:rPr>
                <w:rFonts w:eastAsia="Calibri" w:cs="Century gothic"/>
                <w:szCs w:val="20"/>
                <w:lang w:eastAsia="en-US"/>
              </w:rPr>
            </w:pPr>
            <w:r>
              <w:rPr>
                <w:rFonts w:eastAsia="Calibri" w:cs="Century gothic"/>
                <w:szCs w:val="20"/>
                <w:lang w:eastAsia="en-US"/>
              </w:rPr>
            </w:r>
          </w:p>
          <w:p>
            <w:pPr>
              <w:pStyle w:val="Normal"/>
              <w:spacing w:before="120" w:after="120"/>
              <w:ind w:left="142" w:right="0" w:hanging="0"/>
              <w:jc w:val="center"/>
              <w:rPr>
                <w:rFonts w:eastAsia="Calibri" w:cs="Century gothic"/>
                <w:szCs w:val="20"/>
                <w:lang w:val="en-US" w:eastAsia="en-US"/>
              </w:rPr>
            </w:pPr>
            <w:r>
              <w:rPr>
                <w:rFonts w:eastAsia="Calibri" w:cs="Century gothic"/>
                <w:szCs w:val="20"/>
                <w:lang w:val="en-US" w:eastAsia="en-US"/>
              </w:rPr>
              <w:t>Teófilo Otoni</w:t>
            </w:r>
          </w:p>
        </w:tc>
        <w:tc>
          <w:tcPr>
            <w:tcW w:w="110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szCs w:val="20"/>
                <w:lang w:val="en-US" w:eastAsia="en-US"/>
              </w:rPr>
            </w:pPr>
            <w:r>
              <w:rPr>
                <w:rFonts w:eastAsia="Calibri" w:cs="Century gothic"/>
                <w:szCs w:val="20"/>
                <w:lang w:val="en-US" w:eastAsia="en-US"/>
              </w:rPr>
            </w:r>
          </w:p>
          <w:p>
            <w:pPr>
              <w:pStyle w:val="Normal"/>
              <w:spacing w:before="120" w:after="120"/>
              <w:ind w:left="142" w:right="0" w:hanging="0"/>
              <w:jc w:val="center"/>
              <w:rPr>
                <w:rFonts w:eastAsia="Calibri" w:cs="Century gothic"/>
                <w:szCs w:val="20"/>
                <w:lang w:val="en-US" w:eastAsia="en-US"/>
              </w:rPr>
            </w:pPr>
            <w:r>
              <w:rPr>
                <w:rFonts w:eastAsia="Calibri" w:cs="Century gothic"/>
                <w:szCs w:val="20"/>
                <w:lang w:val="en-US" w:eastAsia="en-US"/>
              </w:rPr>
              <w:t>3 horas</w:t>
            </w:r>
          </w:p>
        </w:tc>
        <w:tc>
          <w:tcPr>
            <w:tcW w:w="76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szCs w:val="20"/>
                <w:lang w:val="en-US" w:eastAsia="en-US"/>
              </w:rPr>
            </w:pPr>
            <w:r>
              <w:rPr>
                <w:rFonts w:eastAsia="Calibri" w:cs="Century gothic"/>
                <w:szCs w:val="20"/>
                <w:lang w:val="en-US" w:eastAsia="en-US"/>
              </w:rPr>
            </w:r>
          </w:p>
          <w:p>
            <w:pPr>
              <w:pStyle w:val="Normal"/>
              <w:spacing w:before="120" w:after="120"/>
              <w:ind w:left="142" w:right="0" w:hanging="0"/>
              <w:jc w:val="center"/>
              <w:rPr>
                <w:rFonts w:eastAsia="Calibri" w:cs="Century gothic"/>
                <w:szCs w:val="20"/>
                <w:lang w:val="en-US" w:eastAsia="en-US"/>
              </w:rPr>
            </w:pPr>
            <w:r>
              <w:rPr>
                <w:rFonts w:eastAsia="Calibri" w:cs="Century gothic"/>
                <w:szCs w:val="20"/>
                <w:lang w:val="en-US" w:eastAsia="en-US"/>
              </w:rPr>
              <w:t>50 horas</w:t>
            </w:r>
          </w:p>
        </w:tc>
        <w:tc>
          <w:tcPr>
            <w:tcW w:w="85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142" w:right="0" w:hanging="0"/>
              <w:jc w:val="center"/>
              <w:rPr>
                <w:rFonts w:eastAsia="Calibri" w:cs="Century gothic"/>
                <w:szCs w:val="20"/>
                <w:lang w:val="en-US" w:eastAsia="en-US"/>
              </w:rPr>
            </w:pPr>
            <w:r>
              <w:rPr>
                <w:rFonts w:eastAsia="Calibri" w:cs="Century gothic"/>
                <w:szCs w:val="20"/>
                <w:lang w:val="en-US" w:eastAsia="en-US"/>
              </w:rPr>
            </w:r>
          </w:p>
          <w:p>
            <w:pPr>
              <w:pStyle w:val="Normal"/>
              <w:spacing w:before="120" w:after="120"/>
              <w:ind w:left="502" w:right="0" w:hanging="0"/>
              <w:rPr>
                <w:rFonts w:eastAsia="Calibri" w:cs="Century gothic"/>
                <w:szCs w:val="20"/>
                <w:lang w:val="en-US" w:eastAsia="en-US"/>
              </w:rPr>
            </w:pPr>
            <w:r>
              <w:rPr>
                <w:rFonts w:eastAsia="Calibri" w:cs="Century gothic"/>
                <w:szCs w:val="20"/>
                <w:lang w:val="en-US" w:eastAsia="en-US"/>
              </w:rPr>
              <w:t>30</w:t>
            </w:r>
          </w:p>
        </w:tc>
        <w:tc>
          <w:tcPr>
            <w:tcW w:w="172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6" w:type="dxa"/>
            </w:tcMar>
          </w:tcPr>
          <w:p>
            <w:pPr>
              <w:pStyle w:val="Normal"/>
              <w:spacing w:before="120" w:after="120"/>
              <w:ind w:left="502" w:right="0" w:hanging="0"/>
              <w:rPr>
                <w:rFonts w:eastAsia="Calibri" w:cs="Century gothic"/>
                <w:szCs w:val="20"/>
                <w:lang w:val="en-US" w:eastAsia="en-US"/>
              </w:rPr>
            </w:pPr>
            <w:r>
              <w:rPr>
                <w:rFonts w:eastAsia="Calibri" w:cs="Century gothic"/>
                <w:szCs w:val="20"/>
                <w:lang w:val="en-US" w:eastAsia="en-US"/>
              </w:rPr>
              <w:t>$243,50</w:t>
            </w:r>
          </w:p>
        </w:tc>
        <w:tc>
          <w:tcPr>
            <w:tcW w:w="146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6" w:type="dxa"/>
            </w:tcMar>
          </w:tcPr>
          <w:p>
            <w:pPr>
              <w:pStyle w:val="Normal"/>
              <w:spacing w:before="120" w:after="120"/>
              <w:ind w:left="142" w:right="0" w:hanging="0"/>
              <w:jc w:val="center"/>
              <w:rPr>
                <w:rFonts w:eastAsia="Calibri" w:cs="Century gothic"/>
                <w:szCs w:val="20"/>
                <w:lang w:val="en-US" w:eastAsia="en-US"/>
              </w:rPr>
            </w:pPr>
            <w:r>
              <w:rPr>
                <w:rFonts w:eastAsia="Calibri" w:cs="Century gothic"/>
                <w:szCs w:val="20"/>
                <w:lang w:val="en-US" w:eastAsia="en-US"/>
              </w:rPr>
            </w:r>
          </w:p>
          <w:p>
            <w:pPr>
              <w:pStyle w:val="Normal"/>
              <w:spacing w:before="120" w:after="120"/>
              <w:ind w:left="142" w:right="0" w:hanging="0"/>
              <w:jc w:val="center"/>
              <w:rPr>
                <w:rFonts w:eastAsia="Calibri" w:cs="Century gothic"/>
                <w:szCs w:val="20"/>
                <w:lang w:val="en-US" w:eastAsia="en-US"/>
              </w:rPr>
            </w:pPr>
            <w:r>
              <w:rPr>
                <w:rFonts w:eastAsia="Calibri" w:cs="Century gothic"/>
                <w:szCs w:val="20"/>
                <w:lang w:val="en-US" w:eastAsia="en-US"/>
              </w:rPr>
              <w:t>R$12.175,00</w:t>
            </w:r>
          </w:p>
        </w:tc>
      </w:tr>
    </w:tbl>
    <w:p>
      <w:pPr>
        <w:pStyle w:val="Normal"/>
        <w:numPr>
          <w:ilvl w:val="1"/>
          <w:numId w:val="15"/>
        </w:numPr>
        <w:tabs>
          <w:tab w:val="left" w:pos="372" w:leader="none"/>
        </w:tabs>
        <w:spacing w:before="120" w:after="120"/>
        <w:ind w:left="0" w:right="231" w:hanging="281"/>
        <w:jc w:val="both"/>
        <w:rPr>
          <w:rFonts w:cs="Times New Roman"/>
          <w:szCs w:val="20"/>
          <w:lang w:eastAsia="en-US"/>
        </w:rPr>
      </w:pPr>
      <w:r>
        <w:rPr>
          <w:rFonts w:cs="Times New Roman"/>
          <w:szCs w:val="20"/>
          <w:lang w:eastAsia="en-US"/>
        </w:rPr>
        <w:t>Cada turma terá no mínimo 10 (dez) e no máximo 20 (vinte) alunos, salvo exceções devidamente justificadas.</w:t>
      </w:r>
    </w:p>
    <w:p>
      <w:pPr>
        <w:pStyle w:val="Normal"/>
        <w:numPr>
          <w:ilvl w:val="0"/>
          <w:numId w:val="15"/>
        </w:numPr>
        <w:tabs>
          <w:tab w:val="left" w:pos="261" w:leader="none"/>
        </w:tabs>
        <w:spacing w:before="120" w:after="120"/>
        <w:ind w:left="0" w:right="0" w:hanging="161"/>
        <w:jc w:val="both"/>
        <w:outlineLvl w:val="0"/>
        <w:rPr>
          <w:rFonts w:cs="Times New Roman"/>
          <w:b/>
          <w:bCs/>
          <w:szCs w:val="20"/>
          <w:lang w:eastAsia="en-US"/>
        </w:rPr>
      </w:pPr>
      <w:r>
        <w:rPr>
          <w:rFonts w:cs="Times New Roman"/>
          <w:b/>
          <w:bCs/>
          <w:szCs w:val="20"/>
          <w:lang w:eastAsia="en-US"/>
        </w:rPr>
        <w:t>DA JUSTIFICATIVA E OBJETIVO DA CONTRATAÇÃO</w:t>
      </w:r>
    </w:p>
    <w:p>
      <w:pPr>
        <w:pStyle w:val="Normal"/>
        <w:numPr>
          <w:ilvl w:val="0"/>
          <w:numId w:val="1"/>
        </w:numPr>
        <w:spacing w:before="120" w:after="120"/>
        <w:ind w:left="502" w:right="157" w:hanging="360"/>
        <w:jc w:val="both"/>
        <w:rPr>
          <w:rFonts w:cs="Times New Roman"/>
          <w:szCs w:val="20"/>
          <w:lang w:eastAsia="en-US"/>
        </w:rPr>
      </w:pPr>
      <w:r>
        <w:rPr>
          <w:rFonts w:cs="Times New Roman"/>
          <w:szCs w:val="20"/>
          <w:lang w:eastAsia="en-US"/>
        </w:rPr>
        <w:t>2.1 Considerando o Decreto n° 5.707, de 23 de fevereiro de 2006, que instituiu a Política e as Diretrizes para o Desenvolvimento de Pessoal da Administração Pública Federal, Autárquica e Fundacional, que regulamentou os dispositivos da Lei n° 8.112, de 11 de dezembro de 1990, ao previsto na Lei n.º 11.091/2005, ao Programa de Capacitação dos Servidores Técnico-administrativos em Educação da UFVJM, bem como, as reivindicações dos servidores.</w:t>
      </w:r>
    </w:p>
    <w:p>
      <w:pPr>
        <w:pStyle w:val="Normal"/>
        <w:numPr>
          <w:ilvl w:val="1"/>
          <w:numId w:val="14"/>
        </w:numPr>
        <w:tabs>
          <w:tab w:val="left" w:pos="381" w:leader="none"/>
        </w:tabs>
        <w:spacing w:before="120" w:after="120"/>
        <w:ind w:left="0" w:right="140" w:hanging="281"/>
        <w:jc w:val="both"/>
        <w:rPr>
          <w:rFonts w:cs="Times New Roman"/>
          <w:szCs w:val="20"/>
          <w:lang w:eastAsia="en-US"/>
        </w:rPr>
      </w:pPr>
      <w:r>
        <w:rPr>
          <w:rFonts w:cs="Times New Roman"/>
          <w:szCs w:val="20"/>
          <w:lang w:eastAsia="en-US"/>
        </w:rPr>
        <w:t>A importância do estudo de idioma inglês transcende ao mero conhecimento de uma língua estrangeira. Por ser um curso de capacitação compatível com todos os ambientes organizacionais, poderá atender um número maior de servidores.</w:t>
      </w:r>
    </w:p>
    <w:p>
      <w:pPr>
        <w:pStyle w:val="Normal"/>
        <w:numPr>
          <w:ilvl w:val="0"/>
          <w:numId w:val="15"/>
        </w:numPr>
        <w:tabs>
          <w:tab w:val="left" w:pos="261" w:leader="none"/>
        </w:tabs>
        <w:spacing w:before="120" w:after="120"/>
        <w:ind w:left="0" w:right="0" w:hanging="161"/>
        <w:jc w:val="both"/>
        <w:outlineLvl w:val="0"/>
        <w:rPr>
          <w:rFonts w:cs="Times New Roman"/>
          <w:b/>
          <w:bCs/>
          <w:szCs w:val="20"/>
          <w:lang w:eastAsia="en-US"/>
        </w:rPr>
      </w:pPr>
      <w:r>
        <w:rPr>
          <w:rFonts w:cs="Times New Roman"/>
          <w:b/>
          <w:bCs/>
          <w:szCs w:val="20"/>
          <w:lang w:eastAsia="en-US"/>
        </w:rPr>
        <w:t>DOS CURSOS OFERTADOS PELAS ESCOLAS DO GOVERNO</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Destaca-se que uma das diretrizes estabelecidas no Decreto n° 5.707 de 23 de fevereiro de 2006 que institui a Política e Diretrizes para o Desenvolvimento de Pessoal da Administração Pública Federal Direta, Autárquica e Fundacional é a priorização dos cursos ofertados pelas Escolas do Governo:</w:t>
      </w:r>
    </w:p>
    <w:p>
      <w:pPr>
        <w:pStyle w:val="Normal"/>
        <w:numPr>
          <w:ilvl w:val="0"/>
          <w:numId w:val="1"/>
        </w:numPr>
        <w:spacing w:before="120" w:after="120"/>
        <w:jc w:val="both"/>
        <w:rPr>
          <w:rFonts w:cs="Times New Roman"/>
          <w:w w:val="105"/>
          <w:szCs w:val="20"/>
          <w:lang w:eastAsia="en-US"/>
        </w:rPr>
      </w:pPr>
      <w:r>
        <w:rPr>
          <w:rFonts w:cs="Times New Roman"/>
          <w:w w:val="105"/>
          <w:szCs w:val="20"/>
          <w:lang w:eastAsia="en-US"/>
        </w:rPr>
        <w:t>"Art. 3º São diretrizes da Política Nacional de Desenvolvimento de Pessoal:</w:t>
      </w:r>
    </w:p>
    <w:p>
      <w:pPr>
        <w:pStyle w:val="Normal"/>
        <w:numPr>
          <w:ilvl w:val="0"/>
          <w:numId w:val="1"/>
        </w:numPr>
        <w:spacing w:before="120" w:after="120"/>
        <w:jc w:val="both"/>
        <w:rPr>
          <w:rFonts w:cs="Times New Roman"/>
          <w:w w:val="105"/>
          <w:szCs w:val="20"/>
          <w:lang w:eastAsia="en-US"/>
        </w:rPr>
      </w:pPr>
      <w:r>
        <w:rPr>
          <w:rFonts w:cs="Times New Roman"/>
          <w:w w:val="105"/>
          <w:szCs w:val="20"/>
          <w:lang w:eastAsia="en-US"/>
        </w:rPr>
        <w:t>XIII - priorizar, no caso de eventos externos de aprendizagem, os cursos ofertados pelas escolas de governo, favorecendo a articulação entre elas e visando à construção de sistema de escolas de governo da União, a ser coordenado pela Escola Nacional de Administração Pública- ENAP."</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Apesar da referida priorização, é importante ressaltar que tanto a Escola Nacional de Administração Pública - ENAP quanto a Escola Superior de Administração Fazendária - ESAF não oferecem cursos similares ao proposto pela capacitação em tela.</w:t>
      </w:r>
    </w:p>
    <w:p>
      <w:pPr>
        <w:pStyle w:val="Normal"/>
        <w:numPr>
          <w:ilvl w:val="0"/>
          <w:numId w:val="15"/>
        </w:numPr>
        <w:tabs>
          <w:tab w:val="left" w:pos="261" w:leader="none"/>
        </w:tabs>
        <w:spacing w:before="120" w:after="120"/>
        <w:ind w:left="0" w:right="0" w:hanging="161"/>
        <w:jc w:val="both"/>
        <w:outlineLvl w:val="0"/>
        <w:rPr>
          <w:rFonts w:cs="Times New Roman"/>
          <w:b/>
          <w:bCs/>
          <w:szCs w:val="20"/>
          <w:lang w:eastAsia="en-US"/>
        </w:rPr>
      </w:pPr>
      <w:r>
        <w:rPr>
          <w:rFonts w:cs="Times New Roman"/>
          <w:b/>
          <w:bCs/>
          <w:szCs w:val="20"/>
          <w:lang w:eastAsia="en-US"/>
        </w:rPr>
        <w:t>DA CLASSIFICAÇÃO DOS SERVIÇOS</w:t>
      </w:r>
    </w:p>
    <w:p>
      <w:pPr>
        <w:pStyle w:val="Normal"/>
        <w:numPr>
          <w:ilvl w:val="1"/>
          <w:numId w:val="15"/>
        </w:numPr>
        <w:tabs>
          <w:tab w:val="left" w:pos="388" w:leader="none"/>
        </w:tabs>
        <w:spacing w:before="120" w:after="120"/>
        <w:ind w:left="0" w:right="0" w:hanging="281"/>
        <w:jc w:val="both"/>
        <w:rPr>
          <w:rFonts w:cs="Times New Roman"/>
          <w:szCs w:val="20"/>
          <w:lang w:eastAsia="en-US"/>
        </w:rPr>
      </w:pPr>
      <w:r>
        <w:rPr>
          <w:rFonts w:cs="Times New Roman"/>
          <w:szCs w:val="20"/>
          <w:lang w:eastAsia="en-US"/>
        </w:rPr>
        <w:t>A natureza do objeto a ser contratado é comum, nos termos do parágrafo único, do art. 1°, da Lei 10.520, de 2002, c/c art. 4º do Decreto nº 5.450/2005. Desta feita, a modalidade licitatória adequada para a contratação do referido objeto é o Pregão Eletrônico.</w:t>
      </w:r>
    </w:p>
    <w:p>
      <w:pPr>
        <w:pStyle w:val="Normal"/>
        <w:numPr>
          <w:ilvl w:val="1"/>
          <w:numId w:val="15"/>
        </w:numPr>
        <w:tabs>
          <w:tab w:val="left" w:pos="382" w:leader="none"/>
        </w:tabs>
        <w:spacing w:before="120" w:after="120"/>
        <w:ind w:left="0" w:right="0" w:hanging="281"/>
        <w:jc w:val="both"/>
        <w:rPr>
          <w:rFonts w:cs="Times New Roman"/>
          <w:szCs w:val="20"/>
          <w:lang w:eastAsia="en-US"/>
        </w:rPr>
      </w:pPr>
      <w:r>
        <w:rPr>
          <w:rFonts w:cs="Times New Roman"/>
          <w:szCs w:val="20"/>
          <w:lang w:eastAsia="en-US"/>
        </w:rPr>
        <w:t>Os serviços a serem contratados enquadram-se nos pressupostos do Decreto n° 2.271, de 1997, constituindo-se em atividades materiais acessórias, instrumentais ou complementares à área de competência legal do órgão licitante, não inerentes às categorias funcionais abrangidas por seu respectivo plano de cargos.</w:t>
      </w:r>
    </w:p>
    <w:p>
      <w:pPr>
        <w:pStyle w:val="Normal"/>
        <w:numPr>
          <w:ilvl w:val="1"/>
          <w:numId w:val="15"/>
        </w:numPr>
        <w:tabs>
          <w:tab w:val="left" w:pos="397" w:leader="none"/>
        </w:tabs>
        <w:spacing w:before="120" w:after="120"/>
        <w:ind w:left="0" w:right="0" w:hanging="281"/>
        <w:jc w:val="both"/>
        <w:rPr>
          <w:rFonts w:cs="Times New Roman"/>
          <w:szCs w:val="20"/>
          <w:lang w:eastAsia="en-US"/>
        </w:rPr>
      </w:pPr>
      <w:r>
        <w:rPr>
          <w:rFonts w:cs="Times New Roman"/>
          <w:szCs w:val="20"/>
          <w:lang w:eastAsia="en-US"/>
        </w:rPr>
        <w:t>A prestação dos serviços não gera vínculo empregatício entre os empregados da Contratada e a Administração, vedando-se qualquer relação entre estes que caracterize pessoalidade e subordinação direta.</w:t>
      </w:r>
    </w:p>
    <w:p>
      <w:pPr>
        <w:pStyle w:val="Normal"/>
        <w:numPr>
          <w:ilvl w:val="0"/>
          <w:numId w:val="15"/>
        </w:numPr>
        <w:tabs>
          <w:tab w:val="left" w:pos="261" w:leader="none"/>
        </w:tabs>
        <w:spacing w:before="120" w:after="120"/>
        <w:ind w:left="0" w:right="0" w:hanging="161"/>
        <w:jc w:val="both"/>
        <w:outlineLvl w:val="0"/>
        <w:rPr>
          <w:rFonts w:cs="Times New Roman"/>
          <w:b/>
          <w:bCs/>
          <w:szCs w:val="20"/>
          <w:lang w:eastAsia="en-US"/>
        </w:rPr>
      </w:pPr>
      <w:r>
        <w:rPr>
          <w:rFonts w:cs="Times New Roman"/>
          <w:b/>
          <w:bCs/>
          <w:szCs w:val="20"/>
          <w:lang w:eastAsia="en-US"/>
        </w:rPr>
        <w:t>FORMA DE PRESTAÇÃO DOS SERVIÇOS</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Os serviços serão executados conforme discriminado abaixo:</w:t>
      </w:r>
    </w:p>
    <w:p>
      <w:pPr>
        <w:pStyle w:val="Normal"/>
        <w:numPr>
          <w:ilvl w:val="0"/>
          <w:numId w:val="1"/>
        </w:numPr>
        <w:spacing w:before="120" w:after="120"/>
        <w:jc w:val="both"/>
        <w:rPr>
          <w:rFonts w:cs="Century gothic"/>
          <w:b/>
          <w:szCs w:val="20"/>
          <w:lang w:eastAsia="en-US"/>
        </w:rPr>
      </w:pPr>
      <w:r>
        <w:rPr>
          <w:rFonts w:cs="Times New Roman"/>
          <w:szCs w:val="20"/>
          <w:lang w:eastAsia="en-US"/>
        </w:rPr>
        <w:t xml:space="preserve">5.1.1 </w:t>
        <w:pict>
          <v:rect id="shape_0" fillcolor="black" stroked="f" style="position:absolute;margin-left:45pt;margin-top:3.85pt;width:2.8pt;height:2.8pt;mso-position-horizontal-relative:page">
            <v:wrap v:type="none"/>
            <v:fill type="solid" color2="white" detectmouseclick="t"/>
            <v:stroke color="#3465a4" joinstyle="round" endcap="flat"/>
          </v:rect>
        </w:pict>
      </w:r>
      <w:r>
        <w:rPr>
          <w:rFonts w:cs="Century gothic"/>
          <w:b/>
          <w:szCs w:val="20"/>
          <w:lang w:eastAsia="en-US"/>
        </w:rPr>
        <w:t>CURSO DE INGLÊS INSTRUMENTAL, CONTEÚDO PROGRAMÁTICO MÍNIMO:</w:t>
      </w:r>
    </w:p>
    <w:p>
      <w:pPr>
        <w:pStyle w:val="Normal"/>
        <w:numPr>
          <w:ilvl w:val="0"/>
          <w:numId w:val="1"/>
        </w:numPr>
        <w:spacing w:before="120" w:after="120"/>
        <w:jc w:val="both"/>
        <w:rPr>
          <w:rFonts w:cs="Arial"/>
          <w:szCs w:val="20"/>
          <w:lang w:eastAsia="en-US"/>
        </w:rPr>
      </w:pPr>
      <w:r>
        <w:rPr>
          <w:rFonts w:cs="Arial"/>
          <w:szCs w:val="20"/>
          <w:lang w:eastAsia="en-US"/>
        </w:rPr>
        <w:t>_ Introdução</w:t>
      </w:r>
    </w:p>
    <w:p>
      <w:pPr>
        <w:pStyle w:val="Normal"/>
        <w:numPr>
          <w:ilvl w:val="0"/>
          <w:numId w:val="1"/>
        </w:numPr>
        <w:spacing w:before="120" w:after="120"/>
        <w:jc w:val="both"/>
        <w:rPr>
          <w:rFonts w:cs="Arial"/>
          <w:szCs w:val="20"/>
          <w:lang w:eastAsia="en-US"/>
        </w:rPr>
      </w:pPr>
      <w:r>
        <w:rPr>
          <w:rFonts w:cs="Arial"/>
          <w:szCs w:val="20"/>
          <w:lang w:eastAsia="en-US"/>
        </w:rPr>
        <w:t>_ Compreensão de texto</w:t>
      </w:r>
    </w:p>
    <w:p>
      <w:pPr>
        <w:pStyle w:val="Normal"/>
        <w:numPr>
          <w:ilvl w:val="0"/>
          <w:numId w:val="1"/>
        </w:numPr>
        <w:spacing w:before="120" w:after="120"/>
        <w:jc w:val="both"/>
        <w:rPr>
          <w:rFonts w:cs="Arial"/>
          <w:szCs w:val="20"/>
          <w:lang w:eastAsia="en-US"/>
        </w:rPr>
      </w:pPr>
      <w:r>
        <w:rPr>
          <w:rFonts w:cs="Arial"/>
          <w:szCs w:val="20"/>
          <w:lang w:eastAsia="en-US"/>
        </w:rPr>
        <w:t>_ Utilização da leitura</w:t>
      </w:r>
    </w:p>
    <w:p>
      <w:pPr>
        <w:pStyle w:val="Normal"/>
        <w:numPr>
          <w:ilvl w:val="0"/>
          <w:numId w:val="1"/>
        </w:numPr>
        <w:spacing w:before="120" w:after="120"/>
        <w:jc w:val="both"/>
        <w:rPr>
          <w:rFonts w:cs="Arial"/>
          <w:szCs w:val="20"/>
          <w:lang w:eastAsia="en-US"/>
        </w:rPr>
      </w:pPr>
      <w:r>
        <w:rPr>
          <w:rFonts w:cs="Arial"/>
          <w:szCs w:val="20"/>
          <w:lang w:eastAsia="en-US"/>
        </w:rPr>
        <w:t>_ Tipos de textos</w:t>
      </w:r>
    </w:p>
    <w:p>
      <w:pPr>
        <w:pStyle w:val="Normal"/>
        <w:numPr>
          <w:ilvl w:val="0"/>
          <w:numId w:val="1"/>
        </w:numPr>
        <w:spacing w:before="120" w:after="120"/>
        <w:jc w:val="both"/>
        <w:rPr>
          <w:rFonts w:cs="Arial"/>
          <w:szCs w:val="20"/>
          <w:lang w:eastAsia="en-US"/>
        </w:rPr>
      </w:pPr>
      <w:r>
        <w:rPr>
          <w:rFonts w:cs="Arial"/>
          <w:szCs w:val="20"/>
          <w:lang w:eastAsia="en-US"/>
        </w:rPr>
        <w:t>_ Tipos de textos – Gêneros textuais</w:t>
      </w:r>
    </w:p>
    <w:p>
      <w:pPr>
        <w:pStyle w:val="Normal"/>
        <w:numPr>
          <w:ilvl w:val="0"/>
          <w:numId w:val="1"/>
        </w:numPr>
        <w:spacing w:before="120" w:after="120"/>
        <w:jc w:val="both"/>
        <w:rPr>
          <w:rFonts w:cs="Arial"/>
          <w:szCs w:val="20"/>
          <w:lang w:eastAsia="en-US"/>
        </w:rPr>
      </w:pPr>
      <w:r>
        <w:rPr>
          <w:rFonts w:cs="Arial"/>
          <w:szCs w:val="20"/>
          <w:lang w:eastAsia="en-US"/>
        </w:rPr>
        <w:t>_ Marcadores discursivos</w:t>
      </w:r>
    </w:p>
    <w:p>
      <w:pPr>
        <w:pStyle w:val="Normal"/>
        <w:numPr>
          <w:ilvl w:val="0"/>
          <w:numId w:val="1"/>
        </w:numPr>
        <w:spacing w:before="120" w:after="120"/>
        <w:jc w:val="both"/>
        <w:rPr>
          <w:rFonts w:cs="Arial"/>
          <w:szCs w:val="20"/>
          <w:lang w:eastAsia="en-US"/>
        </w:rPr>
      </w:pPr>
      <w:r>
        <w:rPr>
          <w:rFonts w:cs="Arial"/>
          <w:szCs w:val="20"/>
          <w:lang w:eastAsia="en-US"/>
        </w:rPr>
        <w:t>_ Afixos – Prefixos e sufixos</w:t>
      </w:r>
    </w:p>
    <w:p>
      <w:pPr>
        <w:pStyle w:val="Normal"/>
        <w:numPr>
          <w:ilvl w:val="0"/>
          <w:numId w:val="1"/>
        </w:numPr>
        <w:spacing w:before="120" w:after="120"/>
        <w:jc w:val="both"/>
        <w:rPr>
          <w:rFonts w:cs="Arial"/>
          <w:szCs w:val="20"/>
          <w:lang w:eastAsia="en-US"/>
        </w:rPr>
      </w:pPr>
      <w:r>
        <w:rPr>
          <w:rFonts w:cs="Arial"/>
          <w:szCs w:val="20"/>
          <w:lang w:eastAsia="en-US"/>
        </w:rPr>
        <w:t>_ Estratégias de Leitura</w:t>
      </w:r>
    </w:p>
    <w:p>
      <w:pPr>
        <w:pStyle w:val="Normal"/>
        <w:numPr>
          <w:ilvl w:val="0"/>
          <w:numId w:val="1"/>
        </w:numPr>
        <w:spacing w:before="120" w:after="120"/>
        <w:jc w:val="both"/>
        <w:rPr>
          <w:rFonts w:cs="Arial"/>
          <w:szCs w:val="20"/>
          <w:lang w:eastAsia="en-US"/>
        </w:rPr>
      </w:pPr>
      <w:r>
        <w:rPr>
          <w:rFonts w:cs="Arial"/>
          <w:szCs w:val="20"/>
          <w:lang w:eastAsia="en-US"/>
        </w:rPr>
        <w:t>_ Compreensão geral e compreensão de idéias principais.</w:t>
      </w:r>
    </w:p>
    <w:p>
      <w:pPr>
        <w:pStyle w:val="Normal"/>
        <w:numPr>
          <w:ilvl w:val="0"/>
          <w:numId w:val="1"/>
        </w:numPr>
        <w:spacing w:before="120" w:after="120"/>
        <w:jc w:val="both"/>
        <w:rPr>
          <w:rFonts w:cs="Arial"/>
          <w:szCs w:val="20"/>
          <w:lang w:eastAsia="en-US"/>
        </w:rPr>
      </w:pPr>
      <w:r>
        <w:rPr>
          <w:rFonts w:cs="Arial"/>
          <w:szCs w:val="20"/>
          <w:lang w:eastAsia="en-US"/>
        </w:rPr>
        <w:t>_ Identificação de informação verbal e não – verbal dos textos</w:t>
      </w:r>
    </w:p>
    <w:p>
      <w:pPr>
        <w:pStyle w:val="Normal"/>
        <w:numPr>
          <w:ilvl w:val="0"/>
          <w:numId w:val="1"/>
        </w:numPr>
        <w:spacing w:before="120" w:after="120"/>
        <w:jc w:val="both"/>
        <w:rPr>
          <w:rFonts w:cs="Arial"/>
          <w:szCs w:val="20"/>
          <w:lang w:eastAsia="en-US"/>
        </w:rPr>
      </w:pPr>
      <w:r>
        <w:rPr>
          <w:rFonts w:cs="Arial"/>
          <w:szCs w:val="20"/>
          <w:lang w:eastAsia="en-US"/>
        </w:rPr>
        <w:t>_ Present continous / questions</w:t>
      </w:r>
    </w:p>
    <w:p>
      <w:pPr>
        <w:pStyle w:val="Normal"/>
        <w:numPr>
          <w:ilvl w:val="0"/>
          <w:numId w:val="1"/>
        </w:numPr>
        <w:spacing w:before="120" w:after="120"/>
        <w:jc w:val="both"/>
        <w:rPr>
          <w:rFonts w:cs="Arial"/>
          <w:szCs w:val="20"/>
          <w:lang w:eastAsia="en-US"/>
        </w:rPr>
      </w:pPr>
      <w:r>
        <w:rPr>
          <w:rFonts w:cs="Arial"/>
          <w:szCs w:val="20"/>
          <w:lang w:eastAsia="en-US"/>
        </w:rPr>
        <w:t>_ Present Simple / Afirmative, negative e questions</w:t>
      </w:r>
    </w:p>
    <w:p>
      <w:pPr>
        <w:pStyle w:val="Normal"/>
        <w:numPr>
          <w:ilvl w:val="0"/>
          <w:numId w:val="1"/>
        </w:numPr>
        <w:spacing w:before="120" w:after="120"/>
        <w:jc w:val="both"/>
        <w:rPr>
          <w:rFonts w:cs="Arial"/>
          <w:szCs w:val="20"/>
          <w:lang w:eastAsia="en-US"/>
        </w:rPr>
      </w:pPr>
      <w:r>
        <w:rPr>
          <w:rFonts w:cs="Arial"/>
          <w:szCs w:val="20"/>
          <w:lang w:eastAsia="en-US"/>
        </w:rPr>
        <w:t xml:space="preserve">_ Present continous e simple </w:t>
      </w:r>
    </w:p>
    <w:p>
      <w:pPr>
        <w:pStyle w:val="Normal"/>
        <w:numPr>
          <w:ilvl w:val="0"/>
          <w:numId w:val="1"/>
        </w:numPr>
        <w:spacing w:before="120" w:after="120"/>
        <w:jc w:val="both"/>
        <w:rPr>
          <w:rFonts w:cs="Arial"/>
          <w:szCs w:val="20"/>
          <w:lang w:eastAsia="en-US"/>
        </w:rPr>
      </w:pPr>
      <w:r>
        <w:rPr>
          <w:rFonts w:cs="Arial"/>
          <w:szCs w:val="20"/>
          <w:lang w:eastAsia="en-US"/>
        </w:rPr>
        <w:t>_ Irregular Verbs</w:t>
      </w:r>
    </w:p>
    <w:p>
      <w:pPr>
        <w:pStyle w:val="Normal"/>
        <w:numPr>
          <w:ilvl w:val="0"/>
          <w:numId w:val="1"/>
        </w:numPr>
        <w:spacing w:before="120" w:after="120"/>
        <w:jc w:val="both"/>
        <w:rPr>
          <w:rFonts w:cs="Arial"/>
          <w:szCs w:val="20"/>
          <w:lang w:eastAsia="en-US"/>
        </w:rPr>
      </w:pPr>
      <w:r>
        <w:rPr>
          <w:rFonts w:cs="Arial"/>
          <w:szCs w:val="20"/>
          <w:lang w:eastAsia="en-US"/>
        </w:rPr>
        <w:t>_ If clauses</w:t>
      </w:r>
    </w:p>
    <w:p>
      <w:pPr>
        <w:pStyle w:val="Normal"/>
        <w:numPr>
          <w:ilvl w:val="0"/>
          <w:numId w:val="1"/>
        </w:numPr>
        <w:spacing w:before="120" w:after="120"/>
        <w:jc w:val="both"/>
        <w:rPr>
          <w:rFonts w:cs="Arial"/>
          <w:szCs w:val="20"/>
          <w:lang w:eastAsia="en-US"/>
        </w:rPr>
      </w:pPr>
      <w:r>
        <w:rPr>
          <w:rFonts w:cs="Arial"/>
          <w:szCs w:val="20"/>
          <w:lang w:eastAsia="en-US"/>
        </w:rPr>
        <w:t>_ Adjectives/ adverbs/ prepositions / nouns/ pronouns/ articles/ vocabulary</w:t>
      </w:r>
    </w:p>
    <w:p>
      <w:pPr>
        <w:pStyle w:val="Normal"/>
        <w:numPr>
          <w:ilvl w:val="0"/>
          <w:numId w:val="1"/>
        </w:numPr>
        <w:spacing w:before="120" w:after="120"/>
        <w:jc w:val="both"/>
        <w:rPr>
          <w:rFonts w:cs="Arial"/>
          <w:szCs w:val="20"/>
          <w:lang w:eastAsia="en-US"/>
        </w:rPr>
      </w:pPr>
      <w:r>
        <w:rPr>
          <w:rFonts w:cs="Arial"/>
          <w:szCs w:val="20"/>
          <w:lang w:eastAsia="en-US"/>
        </w:rPr>
        <w:t>_ Informação não- verbal</w:t>
      </w:r>
    </w:p>
    <w:p>
      <w:pPr>
        <w:pStyle w:val="Normal"/>
        <w:numPr>
          <w:ilvl w:val="0"/>
          <w:numId w:val="1"/>
        </w:numPr>
        <w:spacing w:before="120" w:after="120"/>
        <w:jc w:val="both"/>
        <w:rPr>
          <w:rFonts w:cs="Arial"/>
          <w:szCs w:val="20"/>
          <w:lang w:eastAsia="en-US"/>
        </w:rPr>
      </w:pPr>
      <w:r>
        <w:rPr>
          <w:rFonts w:cs="Arial"/>
          <w:szCs w:val="20"/>
          <w:lang w:eastAsia="en-US"/>
        </w:rPr>
        <w:t>_ Inferencia contextual</w:t>
      </w:r>
    </w:p>
    <w:p>
      <w:pPr>
        <w:pStyle w:val="Normal"/>
        <w:numPr>
          <w:ilvl w:val="0"/>
          <w:numId w:val="1"/>
        </w:numPr>
        <w:spacing w:before="120" w:after="120"/>
        <w:jc w:val="both"/>
        <w:rPr>
          <w:rFonts w:cs="Arial"/>
          <w:szCs w:val="20"/>
          <w:lang w:eastAsia="en-US"/>
        </w:rPr>
      </w:pPr>
      <w:r>
        <w:rPr>
          <w:rFonts w:cs="Arial"/>
          <w:szCs w:val="20"/>
          <w:lang w:eastAsia="en-US"/>
        </w:rPr>
        <w:t>_ Scaming</w:t>
      </w:r>
    </w:p>
    <w:p>
      <w:pPr>
        <w:pStyle w:val="Normal"/>
        <w:numPr>
          <w:ilvl w:val="0"/>
          <w:numId w:val="1"/>
        </w:numPr>
        <w:spacing w:before="120" w:after="120"/>
        <w:jc w:val="both"/>
        <w:rPr>
          <w:rFonts w:cs="Arial"/>
          <w:szCs w:val="20"/>
          <w:lang w:eastAsia="en-US"/>
        </w:rPr>
      </w:pPr>
      <w:r>
        <w:rPr>
          <w:rFonts w:cs="Arial"/>
          <w:szCs w:val="20"/>
          <w:lang w:eastAsia="en-US"/>
        </w:rPr>
        <w:t>_ Roteiro de leitura</w:t>
      </w:r>
    </w:p>
    <w:p>
      <w:pPr>
        <w:pStyle w:val="Normal"/>
        <w:numPr>
          <w:ilvl w:val="0"/>
          <w:numId w:val="1"/>
        </w:numPr>
        <w:spacing w:before="120" w:after="120"/>
        <w:jc w:val="both"/>
        <w:rPr>
          <w:rFonts w:cs="Arial"/>
          <w:szCs w:val="20"/>
          <w:lang w:eastAsia="en-US"/>
        </w:rPr>
      </w:pPr>
      <w:r>
        <w:rPr>
          <w:rFonts w:cs="Arial"/>
          <w:szCs w:val="20"/>
          <w:lang w:eastAsia="en-US"/>
        </w:rPr>
        <w:t>_ Análise e textos, traduções e exercícios.</w:t>
      </w:r>
    </w:p>
    <w:p>
      <w:pPr>
        <w:pStyle w:val="Normal"/>
        <w:numPr>
          <w:ilvl w:val="2"/>
          <w:numId w:val="15"/>
        </w:numPr>
        <w:tabs>
          <w:tab w:val="left" w:pos="501" w:leader="none"/>
        </w:tabs>
        <w:spacing w:before="120" w:after="120"/>
        <w:ind w:left="0" w:right="0" w:hanging="401"/>
        <w:jc w:val="both"/>
        <w:rPr>
          <w:rFonts w:cs="Times New Roman"/>
          <w:b/>
          <w:szCs w:val="20"/>
          <w:lang w:eastAsia="en-US"/>
        </w:rPr>
      </w:pPr>
      <w:r>
        <w:rPr>
          <w:rFonts w:cs="Times New Roman"/>
          <w:b/>
          <w:szCs w:val="20"/>
          <w:lang w:eastAsia="en-US"/>
        </w:rPr>
        <w:t xml:space="preserve"> </w:t>
      </w:r>
      <w:r>
        <w:rPr>
          <w:rFonts w:cs="Times New Roman"/>
          <w:b/>
          <w:szCs w:val="20"/>
          <w:lang w:eastAsia="en-US"/>
        </w:rPr>
        <w:t>DA CARGA HORÁRIA</w:t>
      </w:r>
    </w:p>
    <w:p>
      <w:pPr>
        <w:pStyle w:val="Normal"/>
        <w:numPr>
          <w:ilvl w:val="3"/>
          <w:numId w:val="15"/>
        </w:numPr>
        <w:tabs>
          <w:tab w:val="left" w:pos="621" w:leader="none"/>
        </w:tabs>
        <w:spacing w:before="120" w:after="120"/>
        <w:ind w:left="0" w:right="0" w:hanging="521"/>
        <w:jc w:val="both"/>
        <w:rPr>
          <w:rFonts w:cs="Times New Roman"/>
          <w:szCs w:val="20"/>
          <w:lang w:eastAsia="en-US"/>
        </w:rPr>
      </w:pPr>
      <w:r>
        <w:rPr>
          <w:rFonts w:cs="Times New Roman"/>
          <w:szCs w:val="20"/>
          <w:lang w:eastAsia="en-US"/>
        </w:rPr>
        <w:t xml:space="preserve"> </w:t>
      </w:r>
      <w:r>
        <w:rPr>
          <w:rFonts w:cs="Times New Roman"/>
          <w:szCs w:val="20"/>
          <w:lang w:eastAsia="en-US"/>
        </w:rPr>
        <w:t xml:space="preserve">Por se tratar de um curso de aprendizado continuado, a contratação do curso poderá ser estendida pelos exercícios financeiros subsequentes. </w:t>
      </w:r>
    </w:p>
    <w:p>
      <w:pPr>
        <w:pStyle w:val="Normal"/>
        <w:numPr>
          <w:ilvl w:val="3"/>
          <w:numId w:val="15"/>
        </w:numPr>
        <w:tabs>
          <w:tab w:val="left" w:pos="612" w:leader="none"/>
        </w:tabs>
        <w:spacing w:before="120" w:after="120"/>
        <w:ind w:left="0" w:right="0" w:hanging="521"/>
        <w:jc w:val="both"/>
        <w:rPr>
          <w:rFonts w:cs="Times New Roman"/>
          <w:szCs w:val="20"/>
          <w:lang w:eastAsia="en-US"/>
        </w:rPr>
      </w:pPr>
      <w:r>
        <w:rPr>
          <w:rFonts w:cs="Times New Roman"/>
          <w:szCs w:val="20"/>
          <w:lang w:eastAsia="en-US"/>
        </w:rPr>
        <w:t xml:space="preserve"> </w:t>
      </w:r>
      <w:r>
        <w:rPr>
          <w:rFonts w:cs="Times New Roman"/>
          <w:szCs w:val="20"/>
          <w:lang w:eastAsia="en-US"/>
        </w:rPr>
        <w:t>A carga horária do curso será de 50 horas/aula.</w:t>
      </w:r>
    </w:p>
    <w:p>
      <w:pPr>
        <w:pStyle w:val="Normal"/>
        <w:numPr>
          <w:ilvl w:val="3"/>
          <w:numId w:val="15"/>
        </w:numPr>
        <w:tabs>
          <w:tab w:val="left" w:pos="621" w:leader="none"/>
        </w:tabs>
        <w:spacing w:before="120" w:after="120"/>
        <w:ind w:left="0" w:right="0" w:hanging="521"/>
        <w:jc w:val="both"/>
        <w:rPr>
          <w:rFonts w:cs="Times New Roman"/>
          <w:szCs w:val="20"/>
          <w:lang w:eastAsia="en-US"/>
        </w:rPr>
      </w:pPr>
      <w:r>
        <w:rPr>
          <w:rFonts w:cs="Times New Roman"/>
          <w:szCs w:val="20"/>
          <w:lang w:eastAsia="en-US"/>
        </w:rPr>
        <w:t xml:space="preserve"> </w:t>
      </w:r>
      <w:r>
        <w:rPr>
          <w:rFonts w:cs="Times New Roman"/>
          <w:szCs w:val="20"/>
          <w:lang w:eastAsia="en-US"/>
        </w:rPr>
        <w:t>Por semana haverá 2 (duas) aulas com duração mínima de 1:30 (uma hora e trinta minutos) cada aula.</w:t>
      </w:r>
    </w:p>
    <w:p>
      <w:pPr>
        <w:pStyle w:val="Normal"/>
        <w:numPr>
          <w:ilvl w:val="3"/>
          <w:numId w:val="15"/>
        </w:numPr>
        <w:tabs>
          <w:tab w:val="left" w:pos="612" w:leader="none"/>
        </w:tabs>
        <w:spacing w:before="120" w:after="120"/>
        <w:ind w:left="0" w:right="0" w:hanging="521"/>
        <w:jc w:val="both"/>
        <w:rPr>
          <w:rFonts w:cs="Times New Roman"/>
          <w:szCs w:val="20"/>
          <w:lang w:eastAsia="en-US"/>
        </w:rPr>
      </w:pPr>
      <w:r>
        <w:rPr>
          <w:rFonts w:cs="Times New Roman"/>
          <w:szCs w:val="20"/>
          <w:lang w:eastAsia="en-US"/>
        </w:rPr>
        <w:t xml:space="preserve"> </w:t>
      </w:r>
      <w:r>
        <w:rPr>
          <w:rFonts w:cs="Times New Roman"/>
          <w:szCs w:val="20"/>
          <w:lang w:eastAsia="en-US"/>
        </w:rPr>
        <w:t>A Contratada deverá disponibilizar opções para a reposição de aulas aos alunos que não puderam comparecer ao horário regular em virtude de convocações de serviço ou motivos de força maior, desde que devidamente justificados.</w:t>
      </w:r>
    </w:p>
    <w:p>
      <w:pPr>
        <w:pStyle w:val="Normal"/>
        <w:numPr>
          <w:ilvl w:val="2"/>
          <w:numId w:val="13"/>
        </w:numPr>
        <w:tabs>
          <w:tab w:val="left" w:pos="501" w:leader="none"/>
        </w:tabs>
        <w:spacing w:before="120" w:after="120"/>
        <w:ind w:left="0" w:right="0" w:hanging="401"/>
        <w:jc w:val="both"/>
        <w:rPr>
          <w:rFonts w:cs="Times New Roman"/>
          <w:szCs w:val="20"/>
          <w:lang w:eastAsia="en-US"/>
        </w:rPr>
      </w:pPr>
      <w:r>
        <w:rPr>
          <w:rFonts w:cs="Times New Roman"/>
          <w:szCs w:val="20"/>
          <w:lang w:eastAsia="en-US"/>
        </w:rPr>
        <w:t xml:space="preserve"> </w:t>
      </w:r>
      <w:r>
        <w:rPr>
          <w:rFonts w:cs="Times New Roman"/>
          <w:szCs w:val="20"/>
          <w:lang w:eastAsia="en-US"/>
        </w:rPr>
        <w:t>DO TESTE DE NIVELAMENTO</w:t>
      </w:r>
    </w:p>
    <w:p>
      <w:pPr>
        <w:pStyle w:val="Normal"/>
        <w:numPr>
          <w:ilvl w:val="3"/>
          <w:numId w:val="13"/>
        </w:numPr>
        <w:tabs>
          <w:tab w:val="left" w:pos="612" w:leader="none"/>
        </w:tabs>
        <w:spacing w:before="120" w:after="120"/>
        <w:ind w:left="0" w:right="0" w:hanging="512"/>
        <w:jc w:val="both"/>
        <w:rPr>
          <w:rFonts w:cs="Times New Roman"/>
          <w:szCs w:val="20"/>
          <w:lang w:eastAsia="en-US"/>
        </w:rPr>
      </w:pPr>
      <w:r>
        <w:rPr>
          <w:rFonts w:cs="Times New Roman"/>
          <w:szCs w:val="20"/>
          <w:lang w:eastAsia="en-US"/>
        </w:rPr>
        <w:t xml:space="preserve"> </w:t>
      </w:r>
      <w:r>
        <w:rPr>
          <w:rFonts w:cs="Times New Roman"/>
          <w:szCs w:val="20"/>
          <w:lang w:eastAsia="en-US"/>
        </w:rPr>
        <w:t>A Contratada realizará, em até 30 (trinta) dias após a assinatura do Contrato, teste de nivelamento para identificar qual o nível de conhecimento do idioma inglês dos servidores e selecionar os inscritos para participação no curso Instrumental.</w:t>
      </w:r>
    </w:p>
    <w:p>
      <w:pPr>
        <w:pStyle w:val="Normal"/>
        <w:numPr>
          <w:ilvl w:val="2"/>
          <w:numId w:val="12"/>
        </w:numPr>
        <w:tabs>
          <w:tab w:val="left" w:pos="501" w:leader="none"/>
        </w:tabs>
        <w:spacing w:before="120" w:after="120"/>
        <w:ind w:left="0" w:right="0" w:hanging="401"/>
        <w:jc w:val="both"/>
        <w:rPr>
          <w:rFonts w:cs="Times New Roman"/>
          <w:szCs w:val="20"/>
          <w:lang w:eastAsia="en-US"/>
        </w:rPr>
      </w:pPr>
      <w:r>
        <w:rPr>
          <w:rFonts w:cs="Times New Roman"/>
          <w:szCs w:val="20"/>
          <w:lang w:eastAsia="en-US"/>
        </w:rPr>
        <w:t xml:space="preserve"> </w:t>
      </w:r>
      <w:r>
        <w:rPr>
          <w:rFonts w:cs="Times New Roman"/>
          <w:szCs w:val="20"/>
          <w:lang w:eastAsia="en-US"/>
        </w:rPr>
        <w:t>DA CERTIFICAÇÃO</w:t>
      </w:r>
    </w:p>
    <w:p>
      <w:pPr>
        <w:pStyle w:val="Normal"/>
        <w:numPr>
          <w:ilvl w:val="3"/>
          <w:numId w:val="12"/>
        </w:numPr>
        <w:tabs>
          <w:tab w:val="left" w:pos="612" w:leader="none"/>
        </w:tabs>
        <w:spacing w:before="120" w:after="120"/>
        <w:ind w:left="0" w:right="0" w:hanging="512"/>
        <w:jc w:val="both"/>
        <w:rPr>
          <w:rFonts w:cs="Times New Roman"/>
          <w:szCs w:val="20"/>
          <w:lang w:eastAsia="en-US"/>
        </w:rPr>
      </w:pPr>
      <w:r>
        <w:rPr>
          <w:rFonts w:cs="Times New Roman"/>
          <w:szCs w:val="20"/>
          <w:lang w:eastAsia="en-US"/>
        </w:rPr>
        <w:t xml:space="preserve"> </w:t>
      </w:r>
      <w:r>
        <w:rPr>
          <w:rFonts w:cs="Times New Roman"/>
          <w:szCs w:val="20"/>
          <w:lang w:eastAsia="en-US"/>
        </w:rPr>
        <w:t>Ao final do curso, os participantes deverão receber Certificado de Conclusão.</w:t>
      </w:r>
    </w:p>
    <w:p>
      <w:pPr>
        <w:pStyle w:val="Normal"/>
        <w:numPr>
          <w:ilvl w:val="3"/>
          <w:numId w:val="12"/>
        </w:numPr>
        <w:tabs>
          <w:tab w:val="left" w:pos="621" w:leader="none"/>
        </w:tabs>
        <w:spacing w:before="120" w:after="120"/>
        <w:ind w:left="0" w:right="0" w:hanging="512"/>
        <w:jc w:val="both"/>
        <w:rPr>
          <w:rFonts w:cs="Times New Roman"/>
          <w:szCs w:val="20"/>
          <w:lang w:eastAsia="en-US"/>
        </w:rPr>
      </w:pPr>
      <w:r>
        <w:rPr>
          <w:rFonts w:cs="Times New Roman"/>
          <w:szCs w:val="20"/>
          <w:lang w:eastAsia="en-US"/>
        </w:rPr>
        <w:t xml:space="preserve"> </w:t>
      </w:r>
      <w:r>
        <w:rPr>
          <w:rFonts w:cs="Times New Roman"/>
          <w:szCs w:val="20"/>
          <w:lang w:eastAsia="en-US"/>
        </w:rPr>
        <w:t>Farão jus ao Certificado aqueles que obtiverem frequência mínima de 75% às aulas e que tenham cumprido as exigências de avaliação, a critério da Contratada.</w:t>
      </w:r>
    </w:p>
    <w:p>
      <w:pPr>
        <w:pStyle w:val="Normal"/>
        <w:numPr>
          <w:ilvl w:val="2"/>
          <w:numId w:val="11"/>
        </w:numPr>
        <w:tabs>
          <w:tab w:val="left" w:pos="501" w:leader="none"/>
        </w:tabs>
        <w:spacing w:before="120" w:after="120"/>
        <w:ind w:left="0" w:right="0" w:hanging="401"/>
        <w:jc w:val="both"/>
        <w:rPr>
          <w:rFonts w:cs="Times New Roman"/>
          <w:szCs w:val="20"/>
          <w:lang w:eastAsia="en-US"/>
        </w:rPr>
      </w:pPr>
      <w:r>
        <w:rPr>
          <w:rFonts w:cs="Times New Roman"/>
          <w:szCs w:val="20"/>
          <w:lang w:eastAsia="en-US"/>
        </w:rPr>
        <w:t xml:space="preserve"> </w:t>
      </w:r>
      <w:r>
        <w:rPr>
          <w:rFonts w:cs="Times New Roman"/>
          <w:szCs w:val="20"/>
          <w:lang w:eastAsia="en-US"/>
        </w:rPr>
        <w:t>DO MATERIAL DIDÁTICO E EQUIPAMENTOS NECESSÁRIOS PARA A PRESTAÇÃO DO</w:t>
      </w:r>
      <w:r>
        <w:rPr>
          <w:rFonts w:cs="Times New Roman"/>
          <w:spacing w:val="3"/>
          <w:szCs w:val="20"/>
          <w:lang w:eastAsia="en-US"/>
        </w:rPr>
        <w:t xml:space="preserve"> </w:t>
      </w:r>
      <w:r>
        <w:rPr>
          <w:rFonts w:cs="Times New Roman"/>
          <w:szCs w:val="20"/>
          <w:lang w:eastAsia="en-US"/>
        </w:rPr>
        <w:t>SERVIÇO</w:t>
      </w:r>
    </w:p>
    <w:p>
      <w:pPr>
        <w:pStyle w:val="Normal"/>
        <w:numPr>
          <w:ilvl w:val="3"/>
          <w:numId w:val="11"/>
        </w:numPr>
        <w:tabs>
          <w:tab w:val="left" w:pos="621" w:leader="none"/>
        </w:tabs>
        <w:spacing w:before="120" w:after="120"/>
        <w:ind w:left="0" w:right="0" w:hanging="521"/>
        <w:jc w:val="both"/>
        <w:rPr>
          <w:rFonts w:cs="Times New Roman"/>
          <w:szCs w:val="20"/>
          <w:lang w:eastAsia="en-US"/>
        </w:rPr>
      </w:pPr>
      <w:r>
        <w:rPr>
          <w:rFonts w:cs="Times New Roman"/>
          <w:szCs w:val="20"/>
          <w:lang w:eastAsia="en-US"/>
        </w:rPr>
        <w:t xml:space="preserve"> </w:t>
      </w:r>
      <w:r>
        <w:rPr>
          <w:rFonts w:cs="Times New Roman"/>
          <w:szCs w:val="20"/>
          <w:lang w:eastAsia="en-US"/>
        </w:rPr>
        <w:t>Deverá ser fornecido pela contratada a cada aluno/servidor o material didático necessário ao acompanhamento do curso. Também deverão ser fornecidos todos os instrumentos, equipamentos eletrônicos e/ou materiais necessários às avaliações e demais atividades pertinentes ao curso e necessárias ao bom desenvolvimento dele.</w:t>
      </w:r>
    </w:p>
    <w:p>
      <w:pPr>
        <w:pStyle w:val="Normal"/>
        <w:numPr>
          <w:ilvl w:val="3"/>
          <w:numId w:val="11"/>
        </w:numPr>
        <w:tabs>
          <w:tab w:val="left" w:pos="612" w:leader="none"/>
        </w:tabs>
        <w:spacing w:before="120" w:after="120"/>
        <w:ind w:left="0" w:right="0" w:hanging="521"/>
        <w:jc w:val="both"/>
        <w:rPr>
          <w:rFonts w:cs="Times New Roman"/>
          <w:szCs w:val="20"/>
          <w:lang w:eastAsia="en-US"/>
        </w:rPr>
      </w:pPr>
      <w:r>
        <w:rPr>
          <w:rFonts w:cs="Times New Roman"/>
          <w:szCs w:val="20"/>
          <w:lang w:eastAsia="en-US"/>
        </w:rPr>
        <w:t xml:space="preserve"> </w:t>
      </w:r>
      <w:r>
        <w:rPr>
          <w:rFonts w:cs="Times New Roman"/>
          <w:szCs w:val="20"/>
          <w:lang w:eastAsia="en-US"/>
        </w:rPr>
        <w:t>A UFVJM fornecerá apenas a estrutura física (salas, cadeiras, mesas e projetor) para a realização das aulas. Os demais recursos materiais e tecnológicos utilizados serão de responsabilidade da contratada.</w:t>
      </w:r>
    </w:p>
    <w:p>
      <w:pPr>
        <w:pStyle w:val="Normal"/>
        <w:numPr>
          <w:ilvl w:val="2"/>
          <w:numId w:val="10"/>
        </w:numPr>
        <w:tabs>
          <w:tab w:val="left" w:pos="501" w:leader="none"/>
        </w:tabs>
        <w:spacing w:before="120" w:after="120"/>
        <w:ind w:left="0" w:right="0" w:hanging="401"/>
        <w:jc w:val="both"/>
        <w:rPr>
          <w:rFonts w:cs="Times New Roman"/>
          <w:szCs w:val="20"/>
          <w:lang w:eastAsia="en-US"/>
        </w:rPr>
      </w:pPr>
      <w:r>
        <w:rPr>
          <w:rFonts w:cs="Times New Roman"/>
          <w:szCs w:val="20"/>
          <w:lang w:eastAsia="en-US"/>
        </w:rPr>
        <w:t xml:space="preserve"> </w:t>
      </w:r>
      <w:r>
        <w:rPr>
          <w:rFonts w:cs="Times New Roman"/>
          <w:szCs w:val="20"/>
          <w:lang w:eastAsia="en-US"/>
        </w:rPr>
        <w:t>DO LOCAL DE PRESTAÇÃO DO SERVIÇO</w:t>
      </w:r>
    </w:p>
    <w:p>
      <w:pPr>
        <w:pStyle w:val="Normal"/>
        <w:numPr>
          <w:ilvl w:val="3"/>
          <w:numId w:val="10"/>
        </w:numPr>
        <w:tabs>
          <w:tab w:val="left" w:pos="612" w:leader="none"/>
        </w:tabs>
        <w:spacing w:before="120" w:after="120"/>
        <w:ind w:left="0" w:right="0" w:hanging="512"/>
        <w:jc w:val="both"/>
        <w:rPr>
          <w:rFonts w:cs="Times New Roman"/>
          <w:szCs w:val="20"/>
          <w:lang w:eastAsia="en-US"/>
        </w:rPr>
      </w:pPr>
      <w:r>
        <w:rPr>
          <w:rFonts w:cs="Times New Roman"/>
          <w:szCs w:val="20"/>
          <w:lang w:eastAsia="en-US"/>
        </w:rPr>
        <w:t xml:space="preserve"> </w:t>
      </w:r>
      <w:r>
        <w:rPr>
          <w:rFonts w:cs="Times New Roman"/>
          <w:szCs w:val="20"/>
          <w:lang w:eastAsia="en-US"/>
        </w:rPr>
        <w:t>As aulas serão ministradas em salas disponibilizadas pela UFVJM, no seguinte endereço: Rua do Cruzeiro, n.º 01 – Jardim São Paulo – Teófilo Otoni/MG.</w:t>
      </w:r>
    </w:p>
    <w:p>
      <w:pPr>
        <w:pStyle w:val="Normal"/>
        <w:numPr>
          <w:ilvl w:val="2"/>
          <w:numId w:val="10"/>
        </w:numPr>
        <w:tabs>
          <w:tab w:val="left" w:pos="501" w:leader="none"/>
        </w:tabs>
        <w:spacing w:before="120" w:after="120"/>
        <w:ind w:left="0" w:right="0" w:hanging="401"/>
        <w:jc w:val="both"/>
        <w:rPr>
          <w:rFonts w:cs="Times New Roman"/>
          <w:szCs w:val="20"/>
          <w:lang w:eastAsia="en-US"/>
        </w:rPr>
      </w:pPr>
      <w:r>
        <w:rPr>
          <w:rFonts w:cs="Times New Roman"/>
          <w:szCs w:val="20"/>
          <w:lang w:eastAsia="en-US"/>
        </w:rPr>
        <w:t xml:space="preserve"> </w:t>
      </w:r>
      <w:r>
        <w:rPr>
          <w:rFonts w:cs="Times New Roman"/>
          <w:szCs w:val="20"/>
          <w:lang w:eastAsia="en-US"/>
        </w:rPr>
        <w:t>DA QUALIFICAÇÃO DO PROFESSOR</w:t>
      </w:r>
    </w:p>
    <w:p>
      <w:pPr>
        <w:pStyle w:val="Normal"/>
        <w:numPr>
          <w:ilvl w:val="3"/>
          <w:numId w:val="10"/>
        </w:numPr>
        <w:tabs>
          <w:tab w:val="left" w:pos="621" w:leader="none"/>
        </w:tabs>
        <w:spacing w:before="120" w:after="120"/>
        <w:ind w:left="0" w:right="0" w:hanging="512"/>
        <w:jc w:val="both"/>
        <w:rPr>
          <w:rFonts w:cs="Times New Roman"/>
          <w:szCs w:val="20"/>
          <w:lang w:eastAsia="en-US"/>
        </w:rPr>
      </w:pPr>
      <w:r>
        <w:rPr>
          <w:rFonts w:cs="Times New Roman"/>
          <w:szCs w:val="20"/>
          <w:lang w:eastAsia="en-US"/>
        </w:rPr>
        <w:t xml:space="preserve"> </w:t>
      </w:r>
      <w:r>
        <w:rPr>
          <w:rFonts w:cs="Times New Roman"/>
          <w:szCs w:val="20"/>
          <w:lang w:eastAsia="en-US"/>
        </w:rPr>
        <w:t xml:space="preserve">Em relação à qualificação do(os) professor(es) responsável(is) pela(as) turma(as) a ser(em) formada(as) durante a vigência desta contratação, não se exigirá a graduação em Licenciatura em Línguas, embora essa qualificação seja desejável. </w:t>
      </w:r>
    </w:p>
    <w:p>
      <w:pPr>
        <w:pStyle w:val="Normal"/>
        <w:numPr>
          <w:ilvl w:val="3"/>
          <w:numId w:val="10"/>
        </w:numPr>
        <w:tabs>
          <w:tab w:val="left" w:pos="612" w:leader="none"/>
        </w:tabs>
        <w:spacing w:before="120" w:after="120"/>
        <w:ind w:left="0" w:right="0" w:hanging="512"/>
        <w:jc w:val="both"/>
        <w:rPr>
          <w:rFonts w:cs="Times New Roman"/>
          <w:szCs w:val="20"/>
          <w:lang w:eastAsia="en-US"/>
        </w:rPr>
      </w:pPr>
      <w:r>
        <w:rPr>
          <w:rFonts w:cs="Times New Roman"/>
          <w:szCs w:val="20"/>
          <w:lang w:eastAsia="en-US"/>
        </w:rPr>
        <w:t xml:space="preserve"> </w:t>
      </w:r>
      <w:r>
        <w:rPr>
          <w:rFonts w:cs="Times New Roman"/>
          <w:szCs w:val="20"/>
          <w:lang w:eastAsia="en-US"/>
        </w:rPr>
        <w:t>A contratada deverá apresentar atestado de capacidade técnica do professor que ministrará o curso, comprovado por certificado de proficiência.</w:t>
      </w:r>
    </w:p>
    <w:p>
      <w:pPr>
        <w:pStyle w:val="Normal"/>
        <w:numPr>
          <w:ilvl w:val="0"/>
          <w:numId w:val="1"/>
        </w:numPr>
        <w:tabs>
          <w:tab w:val="left" w:pos="612" w:leader="none"/>
        </w:tabs>
        <w:spacing w:before="120" w:after="120"/>
        <w:jc w:val="both"/>
        <w:rPr>
          <w:rFonts w:cs="Times New Roman"/>
          <w:szCs w:val="20"/>
          <w:lang w:eastAsia="en-US"/>
        </w:rPr>
      </w:pPr>
      <w:r>
        <w:rPr>
          <w:rFonts w:cs="Times New Roman"/>
          <w:szCs w:val="20"/>
          <w:lang w:eastAsia="en-US"/>
        </w:rPr>
      </w:r>
    </w:p>
    <w:p>
      <w:pPr>
        <w:pStyle w:val="Normal"/>
        <w:numPr>
          <w:ilvl w:val="0"/>
          <w:numId w:val="15"/>
        </w:numPr>
        <w:tabs>
          <w:tab w:val="left" w:pos="301" w:leader="none"/>
        </w:tabs>
        <w:spacing w:before="120" w:after="120"/>
        <w:ind w:left="0" w:right="0" w:hanging="161"/>
        <w:jc w:val="both"/>
        <w:outlineLvl w:val="0"/>
        <w:rPr>
          <w:rFonts w:cs="Times New Roman"/>
          <w:b/>
          <w:bCs/>
          <w:szCs w:val="20"/>
          <w:lang w:eastAsia="en-US"/>
        </w:rPr>
      </w:pPr>
      <w:r>
        <w:rPr>
          <w:rFonts w:cs="Times New Roman"/>
          <w:b/>
          <w:bCs/>
          <w:szCs w:val="20"/>
          <w:lang w:eastAsia="en-US"/>
        </w:rPr>
        <w:t xml:space="preserve"> </w:t>
      </w:r>
      <w:r>
        <w:rPr>
          <w:rFonts w:cs="Times New Roman"/>
          <w:b/>
          <w:bCs/>
          <w:szCs w:val="20"/>
          <w:lang w:eastAsia="en-US"/>
        </w:rPr>
        <w:t>DA ACEITABILIDADE DA PROPOSTA</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Juntamente com a proposta comercial a ser enviada pelo licitante classificado em primeiro lugar, quando da ocorrência do Pregão Eletrônico, depois da fase de lances, a empresa participante do certame deverá enviar Plano de Ensino para a turma a ser criada – Instrumental, descrevendo, pelo menos, os seguintes tópicos:</w:t>
      </w:r>
    </w:p>
    <w:p>
      <w:pPr>
        <w:pStyle w:val="Normal"/>
        <w:numPr>
          <w:ilvl w:val="0"/>
          <w:numId w:val="9"/>
        </w:numPr>
        <w:tabs>
          <w:tab w:val="left" w:pos="265" w:leader="none"/>
        </w:tabs>
        <w:spacing w:before="120" w:after="120"/>
        <w:ind w:left="0" w:right="0" w:hanging="165"/>
        <w:jc w:val="both"/>
        <w:rPr>
          <w:rFonts w:cs="Times New Roman"/>
          <w:szCs w:val="20"/>
          <w:lang w:eastAsia="en-US"/>
        </w:rPr>
      </w:pPr>
      <w:r>
        <w:rPr>
          <w:rFonts w:cs="Times New Roman"/>
          <w:szCs w:val="20"/>
          <w:lang w:eastAsia="en-US"/>
        </w:rPr>
        <w:t>Objetivos da disciplina</w:t>
      </w:r>
    </w:p>
    <w:p>
      <w:pPr>
        <w:pStyle w:val="Normal"/>
        <w:numPr>
          <w:ilvl w:val="0"/>
          <w:numId w:val="9"/>
        </w:numPr>
        <w:tabs>
          <w:tab w:val="left" w:pos="274" w:leader="none"/>
        </w:tabs>
        <w:spacing w:before="120" w:after="120"/>
        <w:ind w:left="0" w:right="0" w:hanging="165"/>
        <w:jc w:val="both"/>
        <w:rPr>
          <w:rFonts w:cs="Times New Roman"/>
          <w:szCs w:val="20"/>
          <w:lang w:eastAsia="en-US"/>
        </w:rPr>
      </w:pPr>
      <w:r>
        <w:rPr>
          <w:rFonts w:cs="Times New Roman"/>
          <w:szCs w:val="20"/>
          <w:lang w:eastAsia="en-US"/>
        </w:rPr>
        <w:t>Conteúdo Programático</w:t>
      </w:r>
    </w:p>
    <w:p>
      <w:pPr>
        <w:pStyle w:val="Normal"/>
        <w:numPr>
          <w:ilvl w:val="0"/>
          <w:numId w:val="9"/>
        </w:numPr>
        <w:tabs>
          <w:tab w:val="left" w:pos="265" w:leader="none"/>
        </w:tabs>
        <w:spacing w:before="120" w:after="120"/>
        <w:ind w:left="0" w:right="0" w:hanging="165"/>
        <w:jc w:val="both"/>
        <w:rPr>
          <w:rFonts w:cs="Times New Roman"/>
          <w:szCs w:val="20"/>
          <w:lang w:eastAsia="en-US"/>
        </w:rPr>
      </w:pPr>
      <w:r>
        <w:rPr>
          <w:rFonts w:cs="Times New Roman"/>
          <w:szCs w:val="20"/>
          <w:lang w:eastAsia="en-US"/>
        </w:rPr>
        <w:t>Metodologia utilizada: Livros, programas de computador ou aplicativos utilizados nas aulas.</w:t>
      </w:r>
    </w:p>
    <w:p>
      <w:pPr>
        <w:pStyle w:val="Normal"/>
        <w:numPr>
          <w:ilvl w:val="0"/>
          <w:numId w:val="9"/>
        </w:numPr>
        <w:tabs>
          <w:tab w:val="left" w:pos="274" w:leader="none"/>
        </w:tabs>
        <w:spacing w:before="120" w:after="120"/>
        <w:ind w:left="0" w:right="0" w:hanging="165"/>
        <w:jc w:val="both"/>
        <w:rPr>
          <w:rFonts w:cs="Times New Roman"/>
          <w:szCs w:val="20"/>
          <w:lang w:eastAsia="en-US"/>
        </w:rPr>
      </w:pPr>
      <w:r>
        <w:rPr>
          <w:rFonts w:cs="Times New Roman"/>
          <w:szCs w:val="20"/>
          <w:lang w:eastAsia="en-US"/>
        </w:rPr>
        <w:t>Formas de avaliação dos alunos.</w:t>
      </w:r>
    </w:p>
    <w:p>
      <w:pPr>
        <w:pStyle w:val="Normal"/>
        <w:numPr>
          <w:ilvl w:val="0"/>
          <w:numId w:val="15"/>
        </w:numPr>
        <w:tabs>
          <w:tab w:val="left" w:pos="261" w:leader="none"/>
        </w:tabs>
        <w:spacing w:before="120" w:after="120"/>
        <w:ind w:left="0" w:right="0" w:hanging="161"/>
        <w:jc w:val="both"/>
        <w:outlineLvl w:val="0"/>
        <w:rPr>
          <w:rFonts w:cs="Times New Roman"/>
          <w:b/>
          <w:bCs/>
          <w:szCs w:val="20"/>
          <w:lang w:eastAsia="en-US"/>
        </w:rPr>
      </w:pPr>
      <w:r>
        <w:rPr>
          <w:rFonts w:cs="Times New Roman"/>
          <w:b/>
          <w:bCs/>
          <w:szCs w:val="20"/>
          <w:lang w:eastAsia="en-US"/>
        </w:rPr>
        <w:t xml:space="preserve"> </w:t>
      </w:r>
      <w:r>
        <w:rPr>
          <w:rFonts w:cs="Times New Roman"/>
          <w:b/>
          <w:bCs/>
          <w:szCs w:val="20"/>
          <w:lang w:eastAsia="en-US"/>
        </w:rPr>
        <w:t>MODELO DE GESTÃO DO CONTRATO E CRITÉRIOS DE MEDIÇÃO E PAGAMENTO</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Os atores que participarão da gestão do contrato serão os Fiscais (Titular e Suplente) do Contrato, por parte da CONTRATANTE, e o preposto indicado pela CONTRATADA para representá-la durante a execução do contrato, desde que aceito pela CONTRATANTE.</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Os mecanismos de comunicação formal entre a CONTRATANTE e a CONTRATADA devem ser por ofícios ou e-mails (em endereços oficiais previamente indicados pelas partes).</w:t>
      </w:r>
    </w:p>
    <w:p>
      <w:pPr>
        <w:pStyle w:val="Normal"/>
        <w:numPr>
          <w:ilvl w:val="1"/>
          <w:numId w:val="8"/>
        </w:numPr>
        <w:tabs>
          <w:tab w:val="left" w:pos="341" w:leader="none"/>
        </w:tabs>
        <w:spacing w:before="120" w:after="120"/>
        <w:ind w:left="0" w:right="0" w:hanging="241"/>
        <w:jc w:val="both"/>
        <w:rPr>
          <w:rFonts w:cs="Times New Roman"/>
          <w:szCs w:val="20"/>
          <w:lang w:eastAsia="en-US"/>
        </w:rPr>
      </w:pPr>
      <w:r>
        <w:rPr>
          <w:rFonts w:cs="Times New Roman"/>
          <w:szCs w:val="20"/>
          <w:lang w:eastAsia="en-US"/>
        </w:rPr>
        <w:t>O serviço a ser contratado terá sua execução aferida com base no relatório de realização das aulas e na frequência mensal dos servidores-alunos, apresentados pela CONTRATADA aos fiscais do</w:t>
      </w:r>
      <w:r>
        <w:rPr>
          <w:rFonts w:cs="Times New Roman"/>
          <w:spacing w:val="4"/>
          <w:szCs w:val="20"/>
          <w:lang w:eastAsia="en-US"/>
        </w:rPr>
        <w:t xml:space="preserve"> </w:t>
      </w:r>
      <w:r>
        <w:rPr>
          <w:rFonts w:cs="Times New Roman"/>
          <w:szCs w:val="20"/>
          <w:lang w:eastAsia="en-US"/>
        </w:rPr>
        <w:t>contrato.</w:t>
      </w:r>
    </w:p>
    <w:p>
      <w:pPr>
        <w:pStyle w:val="Normal"/>
        <w:numPr>
          <w:ilvl w:val="1"/>
          <w:numId w:val="8"/>
        </w:numPr>
        <w:tabs>
          <w:tab w:val="left" w:pos="341" w:leader="none"/>
        </w:tabs>
        <w:spacing w:before="120" w:after="120"/>
        <w:ind w:left="0" w:right="0" w:hanging="241"/>
        <w:jc w:val="both"/>
        <w:rPr>
          <w:rFonts w:cs="Times New Roman"/>
          <w:szCs w:val="20"/>
          <w:lang w:eastAsia="en-US"/>
        </w:rPr>
      </w:pPr>
      <w:r>
        <w:rPr>
          <w:rFonts w:cs="Times New Roman"/>
          <w:szCs w:val="20"/>
          <w:lang w:eastAsia="en-US"/>
        </w:rPr>
        <w:t>O pagamento será devido mediante ateste do fiscal (Titular ou Suplente) do contrato da efetiva prestação dos serviços, devendo ser executado, de forma proporcional ao valor total do contrato, nos meses em que houver programação para a ocorrência das aulas, sendo que o pagamento da última parcela somente será realizado após o recebimento definitivo do objeto.</w:t>
      </w:r>
    </w:p>
    <w:p>
      <w:pPr>
        <w:pStyle w:val="Normal"/>
        <w:numPr>
          <w:ilvl w:val="0"/>
          <w:numId w:val="15"/>
        </w:numPr>
        <w:tabs>
          <w:tab w:val="left" w:pos="261" w:leader="none"/>
        </w:tabs>
        <w:spacing w:before="120" w:after="120"/>
        <w:ind w:left="0" w:right="0" w:hanging="161"/>
        <w:jc w:val="both"/>
        <w:outlineLvl w:val="0"/>
        <w:rPr>
          <w:rFonts w:cs="Times New Roman"/>
          <w:b/>
          <w:bCs/>
          <w:szCs w:val="20"/>
          <w:lang w:eastAsia="en-US"/>
        </w:rPr>
      </w:pPr>
      <w:r>
        <w:rPr>
          <w:rFonts w:cs="Times New Roman"/>
          <w:b/>
          <w:bCs/>
          <w:szCs w:val="20"/>
          <w:lang w:eastAsia="en-US"/>
        </w:rPr>
        <w:t>DO INÍCIO DA EXECUÇÃO DOS SERVIÇOS</w:t>
      </w:r>
    </w:p>
    <w:p>
      <w:pPr>
        <w:pStyle w:val="Normal"/>
        <w:numPr>
          <w:ilvl w:val="0"/>
          <w:numId w:val="1"/>
        </w:numPr>
        <w:spacing w:before="120" w:after="120"/>
        <w:jc w:val="both"/>
        <w:rPr>
          <w:rFonts w:cs="Times New Roman"/>
          <w:szCs w:val="20"/>
          <w:lang w:eastAsia="en-US"/>
        </w:rPr>
      </w:pPr>
      <w:r>
        <w:rPr>
          <w:rFonts w:cs="Times New Roman"/>
          <w:szCs w:val="20"/>
          <w:lang w:eastAsia="en-US"/>
        </w:rPr>
        <w:t>8.1. A execução dos serviços deverá ser iniciada em até 30 (trinta) dias após a assinatura do contrato.</w:t>
      </w:r>
    </w:p>
    <w:p>
      <w:pPr>
        <w:pStyle w:val="Normal"/>
        <w:numPr>
          <w:ilvl w:val="0"/>
          <w:numId w:val="15"/>
        </w:numPr>
        <w:tabs>
          <w:tab w:val="left" w:pos="261" w:leader="none"/>
        </w:tabs>
        <w:spacing w:before="120" w:after="120"/>
        <w:ind w:left="0" w:right="0" w:hanging="161"/>
        <w:jc w:val="both"/>
        <w:outlineLvl w:val="0"/>
        <w:rPr>
          <w:rFonts w:cs="Times New Roman"/>
          <w:b/>
          <w:bCs/>
          <w:szCs w:val="20"/>
          <w:lang w:eastAsia="en-US"/>
        </w:rPr>
      </w:pPr>
      <w:r>
        <w:rPr>
          <w:rFonts w:cs="Times New Roman"/>
          <w:b/>
          <w:bCs/>
          <w:szCs w:val="20"/>
          <w:lang w:eastAsia="en-US"/>
        </w:rPr>
        <w:t>OBRIGAÇÕES DA CONTRATANTE</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Exigir o cumprimento de todas as obrigações assumidas pela Contratada, de acordo com as cláusulas contratuais e os termos de sua proposta;</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Notificar a Contratada por escrito da ocorrência de eventuais imperfeições no curso da execução dos serviços, fixando prazo para a sua correção;</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Pagar à Contratada o valor resultante da prestação do serviço, no prazo e condições estabelecidas no Edital e seus anexos;</w:t>
      </w:r>
    </w:p>
    <w:p>
      <w:pPr>
        <w:pStyle w:val="Normal"/>
        <w:numPr>
          <w:ilvl w:val="1"/>
          <w:numId w:val="15"/>
        </w:numPr>
        <w:tabs>
          <w:tab w:val="left" w:pos="38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Efetuar as retenções tributárias devidas sobre o valor da Nota Fiscal/Fatura fornecida pela contratada, em conformidade com o item 6, ANEXO XI, da IN nº 05/2017.</w:t>
      </w:r>
    </w:p>
    <w:p>
      <w:pPr>
        <w:pStyle w:val="Normal"/>
        <w:numPr>
          <w:ilvl w:val="0"/>
          <w:numId w:val="1"/>
        </w:numPr>
        <w:tabs>
          <w:tab w:val="left" w:pos="381" w:leader="none"/>
        </w:tabs>
        <w:spacing w:before="120" w:after="120"/>
        <w:jc w:val="both"/>
        <w:rPr>
          <w:rFonts w:cs="Times New Roman"/>
          <w:szCs w:val="20"/>
          <w:lang w:eastAsia="en-US"/>
        </w:rPr>
      </w:pPr>
      <w:r>
        <w:rPr>
          <w:rFonts w:cs="Times New Roman"/>
          <w:szCs w:val="20"/>
          <w:lang w:eastAsia="en-US"/>
        </w:rPr>
      </w:r>
    </w:p>
    <w:p>
      <w:pPr>
        <w:pStyle w:val="Normal"/>
        <w:numPr>
          <w:ilvl w:val="0"/>
          <w:numId w:val="15"/>
        </w:numPr>
        <w:tabs>
          <w:tab w:val="left" w:pos="341" w:leader="none"/>
        </w:tabs>
        <w:spacing w:before="120" w:after="120"/>
        <w:ind w:left="0" w:right="0" w:hanging="161"/>
        <w:jc w:val="both"/>
        <w:outlineLvl w:val="0"/>
        <w:rPr>
          <w:rFonts w:cs="Times New Roman"/>
          <w:b/>
          <w:bCs/>
          <w:szCs w:val="20"/>
          <w:lang w:eastAsia="en-US"/>
        </w:rPr>
      </w:pPr>
      <w:r>
        <w:rPr>
          <w:rFonts w:cs="Times New Roman"/>
          <w:b/>
          <w:bCs/>
          <w:szCs w:val="20"/>
          <w:lang w:eastAsia="en-US"/>
        </w:rPr>
        <w:t>OBRIGAÇÕES DA CONTRATADA</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quantidades especificadas neste Termo de Referência e em sua</w:t>
      </w:r>
      <w:r>
        <w:rPr>
          <w:rFonts w:cs="Times New Roman"/>
          <w:spacing w:val="3"/>
          <w:szCs w:val="20"/>
          <w:lang w:eastAsia="en-US"/>
        </w:rPr>
        <w:t xml:space="preserve"> </w:t>
      </w:r>
      <w:r>
        <w:rPr>
          <w:rFonts w:cs="Times New Roman"/>
          <w:szCs w:val="20"/>
          <w:lang w:eastAsia="en-US"/>
        </w:rPr>
        <w:t>proposta;</w:t>
      </w:r>
    </w:p>
    <w:p>
      <w:pPr>
        <w:pStyle w:val="Normal"/>
        <w:numPr>
          <w:ilvl w:val="0"/>
          <w:numId w:val="1"/>
        </w:numPr>
        <w:spacing w:before="120" w:after="120"/>
        <w:jc w:val="both"/>
        <w:rPr>
          <w:rFonts w:cs="Times New Roman"/>
          <w:szCs w:val="20"/>
          <w:lang w:eastAsia="en-US"/>
        </w:rPr>
      </w:pPr>
      <w:r>
        <w:rPr>
          <w:rFonts w:cs="Times New Roman"/>
          <w:szCs w:val="20"/>
          <w:lang w:eastAsia="en-US"/>
        </w:rPr>
        <w:t>10.2 Reparar, corrigir, remover ou substituir, às suas expensas, no total ou em parte, no prazo fixado pelo fiscal do contrato, os serviços efetuados em que se verificarem vícios, defeitos ou incorreções resultantes da execução ou dos materiais empregados;</w:t>
      </w:r>
    </w:p>
    <w:p>
      <w:pPr>
        <w:pStyle w:val="Normal"/>
        <w:numPr>
          <w:ilvl w:val="1"/>
          <w:numId w:val="7"/>
        </w:numPr>
        <w:tabs>
          <w:tab w:val="left" w:pos="46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w:t>
      </w:r>
    </w:p>
    <w:p>
      <w:pPr>
        <w:pStyle w:val="Normal"/>
        <w:numPr>
          <w:ilvl w:val="1"/>
          <w:numId w:val="7"/>
        </w:numPr>
        <w:tabs>
          <w:tab w:val="left" w:pos="46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Utilizar empregados habilitados e com conhecimentos básicos dos serviços a serem executados, em conformidade com as normas especificadas no item 5.1.7.</w:t>
      </w:r>
    </w:p>
    <w:p>
      <w:pPr>
        <w:pStyle w:val="Normal"/>
        <w:numPr>
          <w:ilvl w:val="1"/>
          <w:numId w:val="7"/>
        </w:numPr>
        <w:tabs>
          <w:tab w:val="left" w:pos="46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Apresentar os empregados devidamente identificados por meio de crachá;</w:t>
      </w:r>
    </w:p>
    <w:p>
      <w:pPr>
        <w:pStyle w:val="Normal"/>
        <w:numPr>
          <w:ilvl w:val="1"/>
          <w:numId w:val="7"/>
        </w:numPr>
        <w:tabs>
          <w:tab w:val="left" w:pos="46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Responsabilizar-se por todas as obrigações trabalhistas, sociais, previdenciárias, tributárias e as demais previstas em legislação específica, cuja inadimplência não transfere responsabilidade à Contratante;</w:t>
      </w:r>
    </w:p>
    <w:p>
      <w:pPr>
        <w:pStyle w:val="Normal"/>
        <w:numPr>
          <w:ilvl w:val="1"/>
          <w:numId w:val="7"/>
        </w:numPr>
        <w:tabs>
          <w:tab w:val="left" w:pos="46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Instruir seus empregados quanto à necessidade de acatar as normas internas da Administração;</w:t>
      </w:r>
    </w:p>
    <w:p>
      <w:pPr>
        <w:pStyle w:val="Normal"/>
        <w:numPr>
          <w:ilvl w:val="1"/>
          <w:numId w:val="7"/>
        </w:numPr>
        <w:tabs>
          <w:tab w:val="left" w:pos="46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pPr>
        <w:pStyle w:val="Normal"/>
        <w:numPr>
          <w:ilvl w:val="1"/>
          <w:numId w:val="7"/>
        </w:numPr>
        <w:tabs>
          <w:tab w:val="left" w:pos="46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Relatar à Contratante toda e qualquer irregularidade verificada no decorrer da prestação dos serviços;</w:t>
      </w:r>
    </w:p>
    <w:p>
      <w:pPr>
        <w:pStyle w:val="Normal"/>
        <w:numPr>
          <w:ilvl w:val="1"/>
          <w:numId w:val="7"/>
        </w:numPr>
        <w:tabs>
          <w:tab w:val="left" w:pos="54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numPr>
          <w:ilvl w:val="1"/>
          <w:numId w:val="7"/>
        </w:numPr>
        <w:tabs>
          <w:tab w:val="left" w:pos="535"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Manter durante toda a vigência do contrato, em compatibilidade com as obrigações assumidas, todas as condições de habilitação e qualificação exigidas na licitação;</w:t>
      </w:r>
    </w:p>
    <w:p>
      <w:pPr>
        <w:pStyle w:val="Normal"/>
        <w:numPr>
          <w:ilvl w:val="1"/>
          <w:numId w:val="7"/>
        </w:numPr>
        <w:tabs>
          <w:tab w:val="left" w:pos="54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Guardar sigilo sobre todas as informações obtidas em decorrência do cumprimento do contrato;</w:t>
      </w:r>
    </w:p>
    <w:p>
      <w:pPr>
        <w:pStyle w:val="Normal"/>
        <w:numPr>
          <w:ilvl w:val="1"/>
          <w:numId w:val="7"/>
        </w:numPr>
        <w:tabs>
          <w:tab w:val="left" w:pos="54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nº 8.666, de 1993.</w:t>
      </w:r>
    </w:p>
    <w:p>
      <w:pPr>
        <w:pStyle w:val="Normal"/>
        <w:numPr>
          <w:ilvl w:val="1"/>
          <w:numId w:val="7"/>
        </w:numPr>
        <w:tabs>
          <w:tab w:val="left" w:pos="54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Deter instalações, aparelhamento e pessoal técnico adequados e disponíveis para a realização do objeto da licitação.</w:t>
      </w:r>
    </w:p>
    <w:p>
      <w:pPr>
        <w:pStyle w:val="Normal"/>
        <w:numPr>
          <w:ilvl w:val="1"/>
          <w:numId w:val="7"/>
        </w:numPr>
        <w:tabs>
          <w:tab w:val="left" w:pos="532"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Atender com presteza às reclamações sobre a qualidade dos serviços executados, providenciando sua imediata correção, sem ônus para a</w:t>
      </w:r>
      <w:r>
        <w:rPr>
          <w:rFonts w:cs="Times New Roman"/>
          <w:spacing w:val="3"/>
          <w:szCs w:val="20"/>
          <w:lang w:eastAsia="en-US"/>
        </w:rPr>
        <w:t xml:space="preserve"> </w:t>
      </w:r>
      <w:r>
        <w:rPr>
          <w:rFonts w:cs="Times New Roman"/>
          <w:szCs w:val="20"/>
          <w:lang w:eastAsia="en-US"/>
        </w:rPr>
        <w:t>CONTRATANTE.</w:t>
      </w:r>
    </w:p>
    <w:p>
      <w:pPr>
        <w:pStyle w:val="Normal"/>
        <w:numPr>
          <w:ilvl w:val="1"/>
          <w:numId w:val="7"/>
        </w:numPr>
        <w:tabs>
          <w:tab w:val="left" w:pos="54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Acompanhar a frequência dos alunos e informar mensalmente ao fiscal do contrato.</w:t>
      </w:r>
    </w:p>
    <w:p>
      <w:pPr>
        <w:pStyle w:val="Normal"/>
        <w:numPr>
          <w:ilvl w:val="1"/>
          <w:numId w:val="7"/>
        </w:numPr>
        <w:tabs>
          <w:tab w:val="left" w:pos="54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Repor as aulas eventualmente não ministradas em data a ser combinada com a turma de alunos, dentro do mesmo mês, sob pena de glosa.</w:t>
      </w:r>
    </w:p>
    <w:p>
      <w:pPr>
        <w:pStyle w:val="Normal"/>
        <w:numPr>
          <w:ilvl w:val="0"/>
          <w:numId w:val="15"/>
        </w:numPr>
        <w:tabs>
          <w:tab w:val="left" w:pos="332" w:leader="none"/>
        </w:tabs>
        <w:spacing w:before="120" w:after="120"/>
        <w:ind w:left="0" w:right="0" w:hanging="161"/>
        <w:jc w:val="both"/>
        <w:outlineLvl w:val="0"/>
        <w:rPr>
          <w:rFonts w:cs="Times New Roman"/>
          <w:b/>
          <w:bCs/>
          <w:szCs w:val="20"/>
          <w:lang w:eastAsia="en-US"/>
        </w:rPr>
      </w:pPr>
      <w:r>
        <w:rPr>
          <w:rFonts w:cs="Times New Roman"/>
          <w:b/>
          <w:bCs/>
          <w:szCs w:val="20"/>
          <w:lang w:eastAsia="en-US"/>
        </w:rPr>
        <w:t>DA SUBCONTRATAÇÃO</w:t>
      </w:r>
    </w:p>
    <w:p>
      <w:pPr>
        <w:pStyle w:val="Normal"/>
        <w:numPr>
          <w:ilvl w:val="1"/>
          <w:numId w:val="15"/>
        </w:numPr>
        <w:tabs>
          <w:tab w:val="left" w:pos="455" w:leader="none"/>
        </w:tabs>
        <w:spacing w:before="120" w:after="120"/>
        <w:ind w:left="0" w:right="0" w:hanging="281"/>
        <w:jc w:val="both"/>
        <w:rPr>
          <w:rFonts w:cs="Times New Roman"/>
          <w:szCs w:val="20"/>
          <w:lang w:eastAsia="en-US"/>
        </w:rPr>
      </w:pPr>
      <w:r>
        <w:rPr>
          <w:rFonts w:cs="Times New Roman"/>
          <w:szCs w:val="20"/>
          <w:lang w:eastAsia="en-US"/>
        </w:rPr>
        <w:t>Não será admitida a subcontratação do objeto licitatório.</w:t>
      </w:r>
    </w:p>
    <w:p>
      <w:pPr>
        <w:pStyle w:val="Normal"/>
        <w:numPr>
          <w:ilvl w:val="0"/>
          <w:numId w:val="15"/>
        </w:numPr>
        <w:tabs>
          <w:tab w:val="left" w:pos="341" w:leader="none"/>
        </w:tabs>
        <w:spacing w:before="120" w:after="120"/>
        <w:ind w:left="0" w:right="0" w:hanging="161"/>
        <w:jc w:val="both"/>
        <w:outlineLvl w:val="0"/>
        <w:rPr>
          <w:rFonts w:cs="Times New Roman"/>
          <w:b/>
          <w:bCs/>
          <w:szCs w:val="20"/>
          <w:lang w:eastAsia="en-US"/>
        </w:rPr>
      </w:pPr>
      <w:r>
        <w:rPr>
          <w:rFonts w:cs="Times New Roman"/>
          <w:b/>
          <w:bCs/>
          <w:szCs w:val="20"/>
          <w:lang w:eastAsia="en-US"/>
        </w:rPr>
        <w:t>ALTERAÇÃO SUBJETIVA</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É admissível a fusão, cisão ou incorporação da contratada com/por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ormal"/>
        <w:numPr>
          <w:ilvl w:val="0"/>
          <w:numId w:val="15"/>
        </w:numPr>
        <w:tabs>
          <w:tab w:val="left" w:pos="341" w:leader="none"/>
        </w:tabs>
        <w:spacing w:before="120" w:after="120"/>
        <w:ind w:left="0" w:right="0" w:hanging="161"/>
        <w:jc w:val="both"/>
        <w:outlineLvl w:val="0"/>
        <w:rPr>
          <w:rFonts w:cs="Times New Roman"/>
          <w:b/>
          <w:bCs/>
          <w:szCs w:val="20"/>
          <w:lang w:eastAsia="en-US"/>
        </w:rPr>
      </w:pPr>
      <w:r>
        <w:rPr>
          <w:rFonts w:cs="Times New Roman"/>
          <w:b/>
          <w:bCs/>
          <w:szCs w:val="20"/>
          <w:lang w:eastAsia="en-US"/>
        </w:rPr>
        <w:t>CONTROLE E FISCALIZAÇÃO DA EXECUÇÃO</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 na forma dos arts. 67 e 73 da Lei nº 8.666, de 1993, e do art. 6º do Decreto nº 2.271, de 1997.</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A verificação da adequação da prestação do serviço deverá ser realizada com base nos critérios previstos neste Termo de</w:t>
      </w:r>
      <w:r>
        <w:rPr>
          <w:rFonts w:cs="Times New Roman"/>
          <w:spacing w:val="3"/>
          <w:szCs w:val="20"/>
          <w:lang w:eastAsia="en-US"/>
        </w:rPr>
        <w:t xml:space="preserve"> </w:t>
      </w:r>
      <w:r>
        <w:rPr>
          <w:rFonts w:cs="Times New Roman"/>
          <w:szCs w:val="20"/>
          <w:lang w:eastAsia="en-US"/>
        </w:rPr>
        <w:t>Referência.</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A execução dos contratos deverá ser acompanhada e fiscalizada por meio de instrumentos de controle, que compreendam a mensuração dos aspectos mencionados no art. 47 e no ANEXO V, item 2.6, i, ambos da IN nº 05/2017.</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Durante a execução do objeto, o fiscal deverá monitorar constantemente o nível de qualidade dos serviços para evitar a sua degeneração, devendo intervir para requerer à CONTRATADA a correção das faltas, falhas e irregularidades</w:t>
      </w:r>
      <w:r>
        <w:rPr>
          <w:rFonts w:cs="Times New Roman"/>
          <w:spacing w:val="4"/>
          <w:szCs w:val="20"/>
          <w:lang w:eastAsia="en-US"/>
        </w:rPr>
        <w:t xml:space="preserve"> </w:t>
      </w:r>
      <w:r>
        <w:rPr>
          <w:rFonts w:cs="Times New Roman"/>
          <w:szCs w:val="20"/>
          <w:lang w:eastAsia="en-US"/>
        </w:rPr>
        <w:t>constatadas.</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O fiscal deverá apresentar ao preposto da CONTRATADA a avaliação da execução do objeto ou, se for o caso, a avaliação de desempenho e qualidade da prestação dos serviços realizada.</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Em hipótese alguma, será admitido que a própria CONTRATADA materialize a avaliação de desempenho e qualidade da prestação dos serviços</w:t>
      </w:r>
      <w:r>
        <w:rPr>
          <w:rFonts w:cs="Times New Roman"/>
          <w:spacing w:val="9"/>
          <w:szCs w:val="20"/>
          <w:lang w:eastAsia="en-US"/>
        </w:rPr>
        <w:t xml:space="preserve"> </w:t>
      </w:r>
      <w:r>
        <w:rPr>
          <w:rFonts w:cs="Times New Roman"/>
          <w:szCs w:val="20"/>
          <w:lang w:eastAsia="en-US"/>
        </w:rPr>
        <w:t>realizada.</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A CONTRATADA poderá apresentar justificativa para a prestação do serviço com menor nível de conformidade, que poderá ser aceita pelo fiscal, desde que comprovada a excepcionalidade da ocorrência, resultante exclusivamente de fatores imprevisíveis e alheios ao controle do prestador.</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pPr>
        <w:pStyle w:val="Normal"/>
        <w:numPr>
          <w:ilvl w:val="1"/>
          <w:numId w:val="15"/>
        </w:numPr>
        <w:tabs>
          <w:tab w:val="left" w:pos="541" w:leader="none"/>
        </w:tabs>
        <w:spacing w:before="120" w:after="120"/>
        <w:ind w:left="0" w:right="0" w:hanging="281"/>
        <w:jc w:val="both"/>
        <w:rPr>
          <w:rFonts w:cs="Times New Roman"/>
          <w:szCs w:val="20"/>
          <w:lang w:eastAsia="en-US"/>
        </w:rPr>
      </w:pPr>
      <w:r>
        <w:rPr>
          <w:rFonts w:cs="Times New Roman"/>
          <w:szCs w:val="20"/>
          <w:lang w:eastAsia="en-US"/>
        </w:rPr>
        <w:t>O fiscal poderá realizar avaliação diária, semanal ou mensal, desde que o período escolhido seja suficiente para aferir o desempenho e qualidade da prestação dos serviços.</w:t>
      </w:r>
    </w:p>
    <w:p>
      <w:pPr>
        <w:pStyle w:val="Normal"/>
        <w:numPr>
          <w:ilvl w:val="1"/>
          <w:numId w:val="15"/>
        </w:numPr>
        <w:tabs>
          <w:tab w:val="left" w:pos="535"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O fiscal,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 65 da Lei nº 8.666, de 1993.</w:t>
      </w:r>
    </w:p>
    <w:p>
      <w:pPr>
        <w:pStyle w:val="Normal"/>
        <w:numPr>
          <w:ilvl w:val="1"/>
          <w:numId w:val="15"/>
        </w:numPr>
        <w:tabs>
          <w:tab w:val="left" w:pos="54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O descumprimento total ou parcial das demais obrigações e responsabilidades assumidas pela Contratada ensejará a aplicação de sanções administrativas, previstas neste Termo de Referência e na legislação vigente, podendo culminar em rescisão contratual, conforme disposto nos artigos 77 e 80 da Lei nº 8.666, de 1993.</w:t>
      </w:r>
    </w:p>
    <w:p>
      <w:pPr>
        <w:pStyle w:val="Normal"/>
        <w:numPr>
          <w:ilvl w:val="0"/>
          <w:numId w:val="15"/>
        </w:numPr>
        <w:tabs>
          <w:tab w:val="left" w:pos="341" w:leader="none"/>
        </w:tabs>
        <w:spacing w:before="120" w:after="120"/>
        <w:ind w:left="0" w:right="0" w:hanging="161"/>
        <w:jc w:val="both"/>
        <w:outlineLvl w:val="0"/>
        <w:rPr>
          <w:rFonts w:cs="Times New Roman"/>
          <w:b/>
          <w:bCs/>
          <w:szCs w:val="20"/>
          <w:lang w:eastAsia="en-US"/>
        </w:rPr>
      </w:pPr>
      <w:r>
        <w:rPr>
          <w:rFonts w:cs="Times New Roman"/>
          <w:b/>
          <w:bCs/>
          <w:szCs w:val="20"/>
          <w:lang w:eastAsia="en-US"/>
        </w:rPr>
        <w:t>DO RECEBIMENTO E ACEITAÇÃO DO OBJETO</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Os serviços serão recebidos pelo(a) responsável pelo acompanhamento e fiscalização do contrato, para efeito de posterior verificação de sua conformidade com as especificações constantes neste Termo de Referência e na proposta, devendo ser elaborado relatório circunstanciado, contendo o registro, a análise e a conclusão acerca das ocorrências na execução do contrato e demais documentos que julgarem necessários, devendo encaminhá-los ao gestor do contrato.</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 xml:space="preserve"> </w:t>
      </w:r>
      <w:r>
        <w:rPr>
          <w:rFonts w:cs="Times New Roman"/>
          <w:szCs w:val="20"/>
          <w:lang w:eastAsia="en-US"/>
        </w:rPr>
        <w:t>O gestor do contrato analisará os relatórios e toda documentação apresentada pela fiscalização e, caso haja irregularidades que impeçam a liquidação e o pagamento da despesa, indicará as cláusulas contratuais pertinentes, solicitando à CONTRATADA, por escrito, as respectivas</w:t>
      </w:r>
      <w:r>
        <w:rPr>
          <w:rFonts w:cs="Times New Roman"/>
          <w:spacing w:val="3"/>
          <w:szCs w:val="20"/>
          <w:lang w:eastAsia="en-US"/>
        </w:rPr>
        <w:t xml:space="preserve"> </w:t>
      </w:r>
      <w:r>
        <w:rPr>
          <w:rFonts w:cs="Times New Roman"/>
          <w:szCs w:val="20"/>
          <w:lang w:eastAsia="en-US"/>
        </w:rPr>
        <w:t>correções.</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O recebimento do objeto não exclui a responsabilidade da Contratada pelos prejuízos resultantes da incorreta execução do contrato.</w:t>
      </w:r>
    </w:p>
    <w:p>
      <w:pPr>
        <w:pStyle w:val="Normal"/>
        <w:numPr>
          <w:ilvl w:val="0"/>
          <w:numId w:val="15"/>
        </w:numPr>
        <w:tabs>
          <w:tab w:val="left" w:pos="341" w:leader="none"/>
        </w:tabs>
        <w:spacing w:before="120" w:after="120"/>
        <w:ind w:left="0" w:right="0" w:hanging="161"/>
        <w:jc w:val="both"/>
        <w:outlineLvl w:val="0"/>
        <w:rPr>
          <w:rFonts w:cs="Times New Roman"/>
          <w:b/>
          <w:bCs/>
          <w:szCs w:val="20"/>
          <w:lang w:eastAsia="en-US"/>
        </w:rPr>
      </w:pPr>
      <w:r>
        <w:rPr>
          <w:rFonts w:cs="Times New Roman"/>
          <w:b/>
          <w:bCs/>
          <w:szCs w:val="20"/>
          <w:lang w:eastAsia="en-US"/>
        </w:rPr>
        <w:t>DAS SANÇÕES ADMINISTRATIVAS</w:t>
      </w:r>
    </w:p>
    <w:p>
      <w:pPr>
        <w:pStyle w:val="Normal"/>
        <w:numPr>
          <w:ilvl w:val="1"/>
          <w:numId w:val="15"/>
        </w:numPr>
        <w:tabs>
          <w:tab w:val="left" w:pos="461" w:leader="none"/>
        </w:tabs>
        <w:spacing w:before="120" w:after="120"/>
        <w:ind w:left="0" w:right="0" w:hanging="281"/>
        <w:jc w:val="both"/>
        <w:rPr>
          <w:rFonts w:cs="Times New Roman"/>
          <w:szCs w:val="20"/>
          <w:lang w:eastAsia="en-US"/>
        </w:rPr>
      </w:pPr>
      <w:r>
        <w:rPr>
          <w:rFonts w:cs="Times New Roman"/>
          <w:szCs w:val="20"/>
          <w:lang w:eastAsia="en-US"/>
        </w:rPr>
        <w:t>Comete infração administrativa nos termos da Lei nº 8.666, de 1993 e da Lei nº 10.520, de 2002, a Contratada que:</w:t>
      </w:r>
    </w:p>
    <w:p>
      <w:pPr>
        <w:pStyle w:val="Normal"/>
        <w:numPr>
          <w:ilvl w:val="2"/>
          <w:numId w:val="6"/>
        </w:numPr>
        <w:tabs>
          <w:tab w:val="left" w:pos="581" w:leader="none"/>
        </w:tabs>
        <w:spacing w:before="120" w:after="120"/>
        <w:ind w:left="0" w:right="0" w:hanging="481"/>
        <w:jc w:val="both"/>
        <w:rPr>
          <w:rFonts w:cs="Times New Roman"/>
          <w:szCs w:val="20"/>
          <w:lang w:eastAsia="en-US"/>
        </w:rPr>
      </w:pPr>
      <w:r>
        <w:rPr>
          <w:rFonts w:cs="Times New Roman"/>
          <w:szCs w:val="20"/>
          <w:lang w:eastAsia="en-US"/>
        </w:rPr>
        <w:t xml:space="preserve"> </w:t>
      </w:r>
      <w:r>
        <w:rPr>
          <w:rFonts w:cs="Times New Roman"/>
          <w:szCs w:val="20"/>
          <w:lang w:eastAsia="en-US"/>
        </w:rPr>
        <w:t>Inexecutar total ou parcialmente qualquer das obrigações assumidas em decorrência da contratação;</w:t>
      </w:r>
    </w:p>
    <w:p>
      <w:pPr>
        <w:pStyle w:val="Normal"/>
        <w:numPr>
          <w:ilvl w:val="2"/>
          <w:numId w:val="6"/>
        </w:numPr>
        <w:tabs>
          <w:tab w:val="left" w:pos="581" w:leader="none"/>
        </w:tabs>
        <w:spacing w:before="120" w:after="120"/>
        <w:ind w:left="0" w:right="0" w:hanging="481"/>
        <w:jc w:val="both"/>
        <w:rPr>
          <w:rFonts w:cs="Times New Roman"/>
          <w:szCs w:val="20"/>
          <w:lang w:eastAsia="en-US"/>
        </w:rPr>
      </w:pPr>
      <w:r>
        <w:rPr>
          <w:rFonts w:cs="Times New Roman"/>
          <w:szCs w:val="20"/>
          <w:lang w:eastAsia="en-US"/>
        </w:rPr>
        <w:t xml:space="preserve"> </w:t>
      </w:r>
      <w:r>
        <w:rPr>
          <w:rFonts w:cs="Times New Roman"/>
          <w:szCs w:val="20"/>
          <w:lang w:eastAsia="en-US"/>
        </w:rPr>
        <w:t>Ensejar o retardamento da execução do objeto;</w:t>
      </w:r>
    </w:p>
    <w:p>
      <w:pPr>
        <w:pStyle w:val="Normal"/>
        <w:numPr>
          <w:ilvl w:val="2"/>
          <w:numId w:val="6"/>
        </w:numPr>
        <w:tabs>
          <w:tab w:val="left" w:pos="581" w:leader="none"/>
        </w:tabs>
        <w:spacing w:before="120" w:after="120"/>
        <w:ind w:left="0" w:right="0" w:hanging="481"/>
        <w:jc w:val="both"/>
        <w:rPr>
          <w:rFonts w:cs="Times New Roman"/>
          <w:szCs w:val="20"/>
          <w:lang w:eastAsia="en-US"/>
        </w:rPr>
      </w:pPr>
      <w:r>
        <w:rPr>
          <w:rFonts w:cs="Times New Roman"/>
          <w:szCs w:val="20"/>
          <w:lang w:eastAsia="en-US"/>
        </w:rPr>
        <w:t xml:space="preserve"> </w:t>
      </w:r>
      <w:r>
        <w:rPr>
          <w:rFonts w:cs="Times New Roman"/>
          <w:szCs w:val="20"/>
          <w:lang w:eastAsia="en-US"/>
        </w:rPr>
        <w:t>Falhar ou fraudar na execução do contrato;</w:t>
      </w:r>
    </w:p>
    <w:p>
      <w:pPr>
        <w:pStyle w:val="Normal"/>
        <w:numPr>
          <w:ilvl w:val="2"/>
          <w:numId w:val="6"/>
        </w:numPr>
        <w:tabs>
          <w:tab w:val="left" w:pos="581" w:leader="none"/>
        </w:tabs>
        <w:spacing w:before="120" w:after="120"/>
        <w:ind w:left="0" w:right="0" w:hanging="481"/>
        <w:jc w:val="both"/>
        <w:rPr>
          <w:rFonts w:cs="Times New Roman"/>
          <w:szCs w:val="20"/>
          <w:lang w:eastAsia="en-US"/>
        </w:rPr>
      </w:pPr>
      <w:r>
        <w:rPr>
          <w:rFonts w:cs="Times New Roman"/>
          <w:szCs w:val="20"/>
          <w:lang w:eastAsia="en-US"/>
        </w:rPr>
        <w:t xml:space="preserve"> </w:t>
      </w:r>
      <w:r>
        <w:rPr>
          <w:rFonts w:cs="Times New Roman"/>
          <w:szCs w:val="20"/>
          <w:lang w:eastAsia="en-US"/>
        </w:rPr>
        <w:t>Comportar-se de modo inidôneo; e</w:t>
      </w:r>
    </w:p>
    <w:p>
      <w:pPr>
        <w:pStyle w:val="Normal"/>
        <w:numPr>
          <w:ilvl w:val="2"/>
          <w:numId w:val="6"/>
        </w:numPr>
        <w:tabs>
          <w:tab w:val="left" w:pos="581" w:leader="none"/>
        </w:tabs>
        <w:spacing w:before="120" w:after="120"/>
        <w:ind w:left="0" w:right="0" w:hanging="481"/>
        <w:jc w:val="both"/>
        <w:rPr>
          <w:rFonts w:cs="Times New Roman"/>
          <w:szCs w:val="20"/>
          <w:lang w:eastAsia="en-US"/>
        </w:rPr>
      </w:pPr>
      <w:r>
        <w:rPr>
          <w:rFonts w:cs="Times New Roman"/>
          <w:szCs w:val="20"/>
          <w:lang w:eastAsia="en-US"/>
        </w:rPr>
        <w:t xml:space="preserve"> </w:t>
      </w:r>
      <w:r>
        <w:rPr>
          <w:rFonts w:cs="Times New Roman"/>
          <w:szCs w:val="20"/>
          <w:lang w:eastAsia="en-US"/>
        </w:rPr>
        <w:t>Cometer fraude fiscal.</w:t>
      </w:r>
    </w:p>
    <w:p>
      <w:pPr>
        <w:pStyle w:val="Normal"/>
        <w:numPr>
          <w:ilvl w:val="1"/>
          <w:numId w:val="5"/>
        </w:numPr>
        <w:tabs>
          <w:tab w:val="left" w:pos="46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Pela inexecução total ou parcial do objeto deste contrato, a Administração pode aplicar à CONTRATADA as seguintes</w:t>
      </w:r>
      <w:r>
        <w:rPr>
          <w:rFonts w:cs="Times New Roman"/>
          <w:spacing w:val="6"/>
          <w:szCs w:val="20"/>
          <w:lang w:eastAsia="en-US"/>
        </w:rPr>
        <w:t xml:space="preserve"> </w:t>
      </w:r>
      <w:r>
        <w:rPr>
          <w:rFonts w:cs="Times New Roman"/>
          <w:szCs w:val="20"/>
          <w:lang w:eastAsia="en-US"/>
        </w:rPr>
        <w:t>sanções:</w:t>
      </w:r>
    </w:p>
    <w:p>
      <w:pPr>
        <w:pStyle w:val="Normal"/>
        <w:numPr>
          <w:ilvl w:val="2"/>
          <w:numId w:val="5"/>
        </w:numPr>
        <w:tabs>
          <w:tab w:val="left" w:pos="572" w:leader="none"/>
        </w:tabs>
        <w:spacing w:before="120" w:after="120"/>
        <w:ind w:left="0" w:right="0" w:hanging="472"/>
        <w:jc w:val="both"/>
        <w:rPr>
          <w:rFonts w:cs="Times New Roman"/>
          <w:szCs w:val="20"/>
          <w:lang w:eastAsia="en-US"/>
        </w:rPr>
      </w:pPr>
      <w:r>
        <w:rPr>
          <w:rFonts w:cs="Times New Roman"/>
          <w:szCs w:val="20"/>
          <w:lang w:eastAsia="en-US"/>
        </w:rPr>
        <w:t>Advertência por escrito quando do não cumprimento de quaisquer das obrigações contratuais consideradas faltas leves, assim entendidas aquelas que não acarretam prejuízos significativos para o serviço contratado;</w:t>
      </w:r>
    </w:p>
    <w:p>
      <w:pPr>
        <w:pStyle w:val="Normal"/>
        <w:numPr>
          <w:ilvl w:val="2"/>
          <w:numId w:val="5"/>
        </w:numPr>
        <w:tabs>
          <w:tab w:val="left" w:pos="581" w:leader="none"/>
        </w:tabs>
        <w:spacing w:before="120" w:after="120"/>
        <w:ind w:left="0" w:right="0" w:hanging="472"/>
        <w:jc w:val="both"/>
        <w:rPr>
          <w:rFonts w:cs="Times New Roman"/>
          <w:szCs w:val="20"/>
          <w:lang w:eastAsia="en-US"/>
        </w:rPr>
      </w:pPr>
      <w:r>
        <w:rPr>
          <w:rFonts w:cs="Times New Roman"/>
          <w:szCs w:val="20"/>
          <w:lang w:eastAsia="en-US"/>
        </w:rPr>
        <w:t>Multa de:</w:t>
      </w:r>
    </w:p>
    <w:p>
      <w:pPr>
        <w:pStyle w:val="Normal"/>
        <w:numPr>
          <w:ilvl w:val="3"/>
          <w:numId w:val="5"/>
        </w:numPr>
        <w:tabs>
          <w:tab w:val="left" w:pos="701" w:leader="none"/>
        </w:tabs>
        <w:spacing w:before="120" w:after="120"/>
        <w:ind w:left="0" w:right="0" w:hanging="601"/>
        <w:jc w:val="both"/>
        <w:rPr>
          <w:rFonts w:cs="Times New Roman"/>
          <w:szCs w:val="20"/>
          <w:lang w:eastAsia="en-US"/>
        </w:rPr>
      </w:pPr>
      <w:r>
        <w:rPr>
          <w:rFonts w:cs="Times New Roman"/>
          <w:szCs w:val="20"/>
          <w:lang w:eastAsia="en-US"/>
        </w:rPr>
        <w:t>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 aceitação do objeto, de forma a configurar, nessa hipótese, inexecução total da obrigação assumida, sem prejuízo da rescisão unilateral da avença;</w:t>
      </w:r>
    </w:p>
    <w:p>
      <w:pPr>
        <w:pStyle w:val="Normal"/>
        <w:numPr>
          <w:ilvl w:val="3"/>
          <w:numId w:val="5"/>
        </w:numPr>
        <w:tabs>
          <w:tab w:val="left" w:pos="701" w:leader="none"/>
        </w:tabs>
        <w:spacing w:before="120" w:after="120"/>
        <w:ind w:left="0" w:right="0" w:hanging="601"/>
        <w:jc w:val="both"/>
        <w:rPr>
          <w:rFonts w:cs="Times New Roman"/>
          <w:szCs w:val="20"/>
          <w:lang w:eastAsia="en-US"/>
        </w:rPr>
      </w:pPr>
      <w:r>
        <w:rPr>
          <w:rFonts w:cs="Times New Roman"/>
          <w:szCs w:val="20"/>
          <w:lang w:eastAsia="en-US"/>
        </w:rPr>
        <w:t>0,1% (um décimo por cento) até 10% (dez por cento) sobre o valor adjudicado, em caso de atraso na execução do objeto, por período superior ao previsto no subitem anterior ou de inexecução parcial da obrigação assumida;</w:t>
      </w:r>
    </w:p>
    <w:p>
      <w:pPr>
        <w:pStyle w:val="Normal"/>
        <w:numPr>
          <w:ilvl w:val="3"/>
          <w:numId w:val="5"/>
        </w:numPr>
        <w:tabs>
          <w:tab w:val="left" w:pos="701" w:leader="none"/>
        </w:tabs>
        <w:spacing w:before="120" w:after="120"/>
        <w:ind w:left="0" w:right="0" w:hanging="601"/>
        <w:jc w:val="both"/>
        <w:rPr>
          <w:rFonts w:cs="Times New Roman"/>
          <w:szCs w:val="20"/>
          <w:lang w:eastAsia="en-US"/>
        </w:rPr>
      </w:pPr>
      <w:r>
        <w:rPr>
          <w:rFonts w:cs="Times New Roman"/>
          <w:szCs w:val="20"/>
          <w:lang w:eastAsia="en-US"/>
        </w:rPr>
        <w:t>0,1% (um décimo por cento) até 15% (quinze por cento) sobre o valor adjudicado, em caso de inexecução total da obrigação assumida;</w:t>
      </w:r>
    </w:p>
    <w:p>
      <w:pPr>
        <w:pStyle w:val="Normal"/>
        <w:numPr>
          <w:ilvl w:val="3"/>
          <w:numId w:val="5"/>
        </w:numPr>
        <w:tabs>
          <w:tab w:val="left" w:pos="701" w:leader="none"/>
        </w:tabs>
        <w:spacing w:before="120" w:after="120"/>
        <w:ind w:left="0" w:right="0" w:hanging="601"/>
        <w:jc w:val="both"/>
        <w:rPr>
          <w:rFonts w:cs="Times New Roman"/>
          <w:szCs w:val="20"/>
          <w:lang w:eastAsia="en-US"/>
        </w:rPr>
      </w:pPr>
      <w:r>
        <w:rPr>
          <w:rFonts w:cs="Times New Roman"/>
          <w:szCs w:val="20"/>
          <w:lang w:eastAsia="en-US"/>
        </w:rPr>
        <w:t>0,2% a 3,2% por dia sobre o valor mensal do contrato, conforme detalhamento constante das tabelas 1 e 2, abaixo; e</w:t>
      </w:r>
    </w:p>
    <w:p>
      <w:pPr>
        <w:pStyle w:val="Normal"/>
        <w:numPr>
          <w:ilvl w:val="3"/>
          <w:numId w:val="5"/>
        </w:numPr>
        <w:tabs>
          <w:tab w:val="left" w:pos="701" w:leader="none"/>
        </w:tabs>
        <w:spacing w:before="120" w:after="120"/>
        <w:ind w:left="0" w:right="0" w:hanging="601"/>
        <w:jc w:val="both"/>
        <w:rPr>
          <w:rFonts w:cs="Times New Roman"/>
          <w:szCs w:val="20"/>
          <w:lang w:eastAsia="en-US"/>
        </w:rPr>
      </w:pPr>
      <w:r>
        <w:rPr>
          <w:rFonts w:cs="Times New Roman"/>
          <w:szCs w:val="20"/>
          <w:lang w:eastAsia="en-US"/>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pPr>
        <w:pStyle w:val="Normal"/>
        <w:numPr>
          <w:ilvl w:val="3"/>
          <w:numId w:val="5"/>
        </w:numPr>
        <w:tabs>
          <w:tab w:val="left" w:pos="701" w:leader="none"/>
        </w:tabs>
        <w:spacing w:before="120" w:after="120"/>
        <w:ind w:left="0" w:right="0" w:hanging="601"/>
        <w:jc w:val="both"/>
        <w:rPr>
          <w:rFonts w:cs="Times New Roman"/>
          <w:szCs w:val="20"/>
          <w:lang w:eastAsia="en-US"/>
        </w:rPr>
      </w:pPr>
      <w:r>
        <w:rPr>
          <w:rFonts w:cs="Times New Roman"/>
          <w:szCs w:val="20"/>
          <w:lang w:eastAsia="en-US"/>
        </w:rPr>
        <w:t>As penalidades de multa decorrentes de fatos diversos serão consideradas independentes entre si.</w:t>
      </w:r>
    </w:p>
    <w:p>
      <w:pPr>
        <w:pStyle w:val="Normal"/>
        <w:numPr>
          <w:ilvl w:val="2"/>
          <w:numId w:val="4"/>
        </w:numPr>
        <w:tabs>
          <w:tab w:val="left" w:pos="581" w:leader="none"/>
        </w:tabs>
        <w:spacing w:before="120" w:after="120"/>
        <w:ind w:left="0" w:right="0" w:hanging="481"/>
        <w:jc w:val="both"/>
        <w:rPr>
          <w:rFonts w:cs="Times New Roman"/>
          <w:szCs w:val="20"/>
          <w:lang w:eastAsia="en-US"/>
        </w:rPr>
      </w:pPr>
      <w:r>
        <w:rPr>
          <w:rFonts w:cs="Times New Roman"/>
          <w:szCs w:val="20"/>
          <w:lang w:eastAsia="en-US"/>
        </w:rPr>
        <w:t>Suspensão de licitar e impedimento de contratar com o órgão, entidade ou unidade administrativa pela qual a Administração Pública opera e atua concretamente, pelo prazo de até dois anos.</w:t>
      </w:r>
    </w:p>
    <w:p>
      <w:pPr>
        <w:pStyle w:val="Normal"/>
        <w:numPr>
          <w:ilvl w:val="2"/>
          <w:numId w:val="4"/>
        </w:numPr>
        <w:tabs>
          <w:tab w:val="left" w:pos="581" w:leader="none"/>
        </w:tabs>
        <w:spacing w:before="120" w:after="120"/>
        <w:ind w:left="0" w:right="0" w:hanging="481"/>
        <w:jc w:val="both"/>
        <w:rPr>
          <w:rFonts w:cs="Times New Roman"/>
          <w:szCs w:val="20"/>
          <w:lang w:eastAsia="en-US"/>
        </w:rPr>
      </w:pPr>
      <w:r>
        <w:rPr>
          <w:rFonts w:cs="Times New Roman"/>
          <w:szCs w:val="20"/>
          <w:lang w:eastAsia="en-US"/>
        </w:rPr>
        <w:t>Sanção de impedimento de licitar e contratar com órgãos e entidades da União, com o consequente descredenciamento no SICAF pelo prazo de até cinco anos.</w:t>
      </w:r>
    </w:p>
    <w:p>
      <w:pPr>
        <w:pStyle w:val="Normal"/>
        <w:numPr>
          <w:ilvl w:val="2"/>
          <w:numId w:val="4"/>
        </w:numPr>
        <w:tabs>
          <w:tab w:val="left" w:pos="581" w:leader="none"/>
        </w:tabs>
        <w:spacing w:before="120" w:after="120"/>
        <w:ind w:left="0" w:right="0" w:hanging="481"/>
        <w:jc w:val="both"/>
        <w:rPr>
          <w:rFonts w:cs="Times New Roman"/>
          <w:szCs w:val="20"/>
          <w:lang w:eastAsia="en-US"/>
        </w:rPr>
      </w:pPr>
      <w:r>
        <w:rPr>
          <w:rFonts w:cs="Times New Roman"/>
          <w:szCs w:val="20"/>
          <w:lang w:eastAsia="en-U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Normal"/>
        <w:numPr>
          <w:ilvl w:val="1"/>
          <w:numId w:val="4"/>
        </w:numPr>
        <w:tabs>
          <w:tab w:val="left" w:pos="421" w:leader="none"/>
        </w:tabs>
        <w:spacing w:before="120" w:after="120"/>
        <w:ind w:left="0" w:right="0" w:hanging="481"/>
        <w:jc w:val="both"/>
        <w:rPr>
          <w:rFonts w:cs="Times New Roman"/>
          <w:szCs w:val="20"/>
          <w:lang w:eastAsia="en-US"/>
        </w:rPr>
      </w:pPr>
      <w:r>
        <w:rPr>
          <w:rFonts w:cs="Times New Roman"/>
          <w:szCs w:val="20"/>
          <w:lang w:eastAsia="en-US"/>
        </w:rPr>
        <w:t xml:space="preserve"> </w:t>
      </w:r>
      <w:r>
        <w:rPr>
          <w:rFonts w:cs="Times New Roman"/>
          <w:szCs w:val="20"/>
          <w:lang w:eastAsia="en-US"/>
        </w:rPr>
        <w:t>As sanções previstas nos subitens 18.2.1, 18.2.3, 18.2.4 e 18.2.5 poderão ser aplicadas à CONTRATADA juntamente com as de multa, descontando-a dos pagamentos a serem efetuados.</w:t>
      </w:r>
    </w:p>
    <w:p>
      <w:pPr>
        <w:pStyle w:val="Normal"/>
        <w:numPr>
          <w:ilvl w:val="1"/>
          <w:numId w:val="4"/>
        </w:numPr>
        <w:tabs>
          <w:tab w:val="left" w:pos="421" w:leader="none"/>
        </w:tabs>
        <w:spacing w:before="120" w:after="120"/>
        <w:jc w:val="both"/>
        <w:rPr>
          <w:rFonts w:cs="Times New Roman"/>
          <w:szCs w:val="20"/>
          <w:lang w:eastAsia="en-US"/>
        </w:rPr>
      </w:pPr>
      <w:r>
        <w:rPr>
          <w:rFonts w:cs="Times New Roman"/>
          <w:szCs w:val="20"/>
          <w:lang w:eastAsia="en-US"/>
        </w:rPr>
        <w:t xml:space="preserve"> </w:t>
      </w:r>
      <w:r>
        <w:rPr>
          <w:rFonts w:cs="Times New Roman"/>
          <w:szCs w:val="20"/>
          <w:lang w:eastAsia="en-US"/>
        </w:rPr>
        <w:t>Para efeito de aplicação de multas, às infrações são atribuídos graus, de acordo com as tabelas 1 e 2:</w:t>
      </w:r>
    </w:p>
    <w:p>
      <w:pPr>
        <w:pStyle w:val="Normal"/>
        <w:numPr>
          <w:ilvl w:val="0"/>
          <w:numId w:val="1"/>
        </w:numPr>
        <w:spacing w:before="120" w:after="120"/>
        <w:jc w:val="center"/>
        <w:rPr>
          <w:rFonts w:cs="Times New Roman"/>
          <w:szCs w:val="20"/>
          <w:lang w:eastAsia="en-US"/>
        </w:rPr>
      </w:pPr>
      <w:r>
        <w:rPr>
          <w:rFonts w:cs="Times New Roman"/>
          <w:szCs w:val="20"/>
          <w:lang w:eastAsia="en-US"/>
        </w:rPr>
        <w:t>Tabela 1</w:t>
      </w:r>
    </w:p>
    <w:tbl>
      <w:tblPr>
        <w:jc w:val="left"/>
        <w:tblInd w:w="19" w:type="dxa"/>
        <w:tblBorders>
          <w:top w:val="double" w:sz="2" w:space="0" w:color="2C2C2C"/>
          <w:left w:val="double" w:sz="2" w:space="0" w:color="2C2C2C"/>
          <w:bottom w:val="double" w:sz="2" w:space="0" w:color="2C2C2C"/>
          <w:insideH w:val="double" w:sz="2" w:space="0" w:color="2C2C2C"/>
          <w:right w:val="double" w:sz="2" w:space="0" w:color="2C2C2C"/>
          <w:insideV w:val="double" w:sz="2" w:space="0" w:color="2C2C2C"/>
        </w:tblBorders>
        <w:tblCellMar>
          <w:top w:w="0" w:type="dxa"/>
          <w:left w:w="-7" w:type="dxa"/>
          <w:bottom w:w="0" w:type="dxa"/>
          <w:right w:w="108" w:type="dxa"/>
        </w:tblCellMar>
      </w:tblPr>
      <w:tblGrid>
        <w:gridCol w:w="2400"/>
        <w:gridCol w:w="7031"/>
      </w:tblGrid>
      <w:tr>
        <w:trPr>
          <w:trHeight w:val="685" w:hRule="atLeast"/>
          <w:cantSplit w:val="false"/>
        </w:trPr>
        <w:tc>
          <w:tcPr>
            <w:tcW w:w="2400"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GRAU CORRESPONDÊNCIA</w:t>
            </w:r>
          </w:p>
        </w:tc>
        <w:tc>
          <w:tcPr>
            <w:tcW w:w="7031" w:type="dxa"/>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both"/>
              <w:rPr>
                <w:rFonts w:eastAsia="Calibri" w:cs="Calibri"/>
                <w:szCs w:val="20"/>
                <w:lang w:val="en-US" w:eastAsia="en-US"/>
              </w:rPr>
            </w:pPr>
            <w:r>
              <w:rPr>
                <w:rFonts w:eastAsia="Calibri" w:cs="Calibri"/>
                <w:szCs w:val="20"/>
                <w:lang w:val="en-US" w:eastAsia="en-US"/>
              </w:rPr>
            </w:r>
          </w:p>
          <w:p>
            <w:pPr>
              <w:pStyle w:val="Normal"/>
              <w:numPr>
                <w:ilvl w:val="0"/>
                <w:numId w:val="1"/>
              </w:numPr>
              <w:spacing w:before="120" w:after="120"/>
              <w:jc w:val="center"/>
              <w:rPr>
                <w:rFonts w:eastAsia="Calibri" w:cs="Calibri"/>
                <w:szCs w:val="20"/>
                <w:lang w:val="en-US" w:eastAsia="en-US"/>
              </w:rPr>
            </w:pPr>
            <w:r>
              <w:rPr>
                <w:rFonts w:eastAsia="Calibri" w:cs="Calibri"/>
                <w:szCs w:val="20"/>
                <w:lang w:val="en-US" w:eastAsia="en-US"/>
              </w:rPr>
              <w:t>CORRESPONDÊNCIA</w:t>
            </w:r>
          </w:p>
        </w:tc>
      </w:tr>
      <w:tr>
        <w:trPr>
          <w:trHeight w:val="505" w:hRule="atLeast"/>
          <w:cantSplit w:val="false"/>
        </w:trPr>
        <w:tc>
          <w:tcPr>
            <w:tcW w:w="2400"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1</w:t>
            </w:r>
          </w:p>
        </w:tc>
        <w:tc>
          <w:tcPr>
            <w:tcW w:w="7031" w:type="dxa"/>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eastAsia="en-US"/>
              </w:rPr>
            </w:pPr>
            <w:r>
              <w:rPr>
                <w:rFonts w:eastAsia="Calibri" w:cs="Times New Roman"/>
                <w:szCs w:val="20"/>
                <w:lang w:eastAsia="en-US"/>
              </w:rPr>
              <w:t>0,2% ao dia sobre o valor mensal do contrato</w:t>
            </w:r>
          </w:p>
        </w:tc>
      </w:tr>
      <w:tr>
        <w:trPr>
          <w:trHeight w:val="505" w:hRule="atLeast"/>
          <w:cantSplit w:val="false"/>
        </w:trPr>
        <w:tc>
          <w:tcPr>
            <w:tcW w:w="2400"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2</w:t>
            </w:r>
          </w:p>
        </w:tc>
        <w:tc>
          <w:tcPr>
            <w:tcW w:w="7031" w:type="dxa"/>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eastAsia="en-US"/>
              </w:rPr>
            </w:pPr>
            <w:r>
              <w:rPr>
                <w:rFonts w:eastAsia="Calibri" w:cs="Times New Roman"/>
                <w:szCs w:val="20"/>
                <w:lang w:eastAsia="en-US"/>
              </w:rPr>
              <w:t>0,4% ao dia sobre o valor mensal do contrato</w:t>
            </w:r>
          </w:p>
        </w:tc>
      </w:tr>
      <w:tr>
        <w:trPr>
          <w:trHeight w:val="505" w:hRule="atLeast"/>
          <w:cantSplit w:val="false"/>
        </w:trPr>
        <w:tc>
          <w:tcPr>
            <w:tcW w:w="2400"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3</w:t>
            </w:r>
          </w:p>
        </w:tc>
        <w:tc>
          <w:tcPr>
            <w:tcW w:w="7031" w:type="dxa"/>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eastAsia="en-US"/>
              </w:rPr>
            </w:pPr>
            <w:r>
              <w:rPr>
                <w:rFonts w:eastAsia="Calibri" w:cs="Times New Roman"/>
                <w:szCs w:val="20"/>
                <w:lang w:eastAsia="en-US"/>
              </w:rPr>
              <w:t>0,8% ao dia sobre o valor mensal do contrato</w:t>
            </w:r>
          </w:p>
        </w:tc>
      </w:tr>
      <w:tr>
        <w:trPr>
          <w:trHeight w:val="505" w:hRule="atLeast"/>
          <w:cantSplit w:val="false"/>
        </w:trPr>
        <w:tc>
          <w:tcPr>
            <w:tcW w:w="2400"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4</w:t>
            </w:r>
          </w:p>
        </w:tc>
        <w:tc>
          <w:tcPr>
            <w:tcW w:w="7031" w:type="dxa"/>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eastAsia="en-US"/>
              </w:rPr>
            </w:pPr>
            <w:r>
              <w:rPr>
                <w:rFonts w:eastAsia="Calibri" w:cs="Times New Roman"/>
                <w:szCs w:val="20"/>
                <w:lang w:eastAsia="en-US"/>
              </w:rPr>
              <w:t>1,6% ao dia sobre o valor mensal do contrato</w:t>
            </w:r>
          </w:p>
        </w:tc>
      </w:tr>
      <w:tr>
        <w:trPr>
          <w:trHeight w:val="472" w:hRule="atLeast"/>
          <w:cantSplit w:val="false"/>
        </w:trPr>
        <w:tc>
          <w:tcPr>
            <w:tcW w:w="2400"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5</w:t>
            </w:r>
          </w:p>
        </w:tc>
        <w:tc>
          <w:tcPr>
            <w:tcW w:w="7031" w:type="dxa"/>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eastAsia="en-US"/>
              </w:rPr>
            </w:pPr>
            <w:r>
              <w:rPr>
                <w:rFonts w:eastAsia="Calibri" w:cs="Times New Roman"/>
                <w:szCs w:val="20"/>
                <w:lang w:eastAsia="en-US"/>
              </w:rPr>
              <w:t>3,2% ao dia sobre o valor mensal do contrato</w:t>
            </w:r>
          </w:p>
        </w:tc>
      </w:tr>
    </w:tbl>
    <w:p>
      <w:pPr>
        <w:pStyle w:val="Normal"/>
        <w:numPr>
          <w:ilvl w:val="0"/>
          <w:numId w:val="1"/>
        </w:numPr>
        <w:spacing w:before="120" w:after="120"/>
        <w:jc w:val="center"/>
        <w:rPr>
          <w:rFonts w:cs="Times New Roman"/>
          <w:szCs w:val="20"/>
          <w:lang w:eastAsia="en-US"/>
        </w:rPr>
      </w:pPr>
      <w:r>
        <w:rPr>
          <w:rFonts w:cs="Times New Roman"/>
          <w:szCs w:val="20"/>
          <w:lang w:eastAsia="en-US"/>
        </w:rPr>
        <w:t>Tabela 2</w:t>
      </w:r>
    </w:p>
    <w:tbl>
      <w:tblPr>
        <w:jc w:val="left"/>
        <w:tblInd w:w="19" w:type="dxa"/>
        <w:tblBorders>
          <w:top w:val="double" w:sz="2" w:space="0" w:color="2C2C2C"/>
          <w:left w:val="double" w:sz="2" w:space="0" w:color="2C2C2C"/>
          <w:bottom w:val="double" w:sz="2" w:space="0" w:color="2C2C2C"/>
          <w:insideH w:val="double" w:sz="2" w:space="0" w:color="2C2C2C"/>
          <w:right w:val="double" w:sz="2" w:space="0" w:color="808080"/>
          <w:insideV w:val="double" w:sz="2" w:space="0" w:color="808080"/>
        </w:tblBorders>
        <w:tblCellMar>
          <w:top w:w="0" w:type="dxa"/>
          <w:left w:w="-7" w:type="dxa"/>
          <w:bottom w:w="0" w:type="dxa"/>
          <w:right w:w="108" w:type="dxa"/>
        </w:tblCellMar>
      </w:tblPr>
      <w:tblGrid>
        <w:gridCol w:w="621"/>
        <w:gridCol w:w="185"/>
        <w:gridCol w:w="7714"/>
        <w:gridCol w:w="1"/>
        <w:gridCol w:w="914"/>
      </w:tblGrid>
      <w:tr>
        <w:trPr>
          <w:trHeight w:val="505" w:hRule="atLeast"/>
          <w:cantSplit w:val="false"/>
        </w:trPr>
        <w:tc>
          <w:tcPr>
            <w:tcW w:w="8521" w:type="dxa"/>
            <w:gridSpan w:val="4"/>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INFRAÇÃO</w:t>
            </w:r>
          </w:p>
        </w:tc>
        <w:tc>
          <w:tcPr>
            <w:tcW w:w="914" w:type="dxa"/>
            <w:tcBorders>
              <w:top w:val="double" w:sz="2" w:space="0" w:color="2C2C2C"/>
              <w:left w:val="double" w:sz="2" w:space="0" w:color="808080"/>
              <w:bottom w:val="double" w:sz="2" w:space="0" w:color="2C2C2C"/>
              <w:insideH w:val="double" w:sz="2" w:space="0" w:color="2C2C2C"/>
              <w:right w:val="double" w:sz="2" w:space="0" w:color="808080"/>
              <w:insideV w:val="double" w:sz="2" w:space="0" w:color="808080"/>
            </w:tcBorders>
            <w:shd w:fill="FFFFFF" w:val="clear"/>
          </w:tcPr>
          <w:p>
            <w:pPr>
              <w:pStyle w:val="Normal"/>
              <w:numPr>
                <w:ilvl w:val="0"/>
                <w:numId w:val="1"/>
              </w:numPr>
              <w:rPr>
                <w:rFonts w:eastAsia="Calibri" w:cs="Calibri"/>
                <w:szCs w:val="22"/>
                <w:lang w:val="en-US" w:eastAsia="en-US"/>
              </w:rPr>
            </w:pPr>
            <w:r>
              <w:rPr>
                <w:rFonts w:eastAsia="Calibri" w:cs="Calibri"/>
                <w:szCs w:val="22"/>
                <w:lang w:val="en-US" w:eastAsia="en-US"/>
              </w:rPr>
            </w:r>
          </w:p>
        </w:tc>
      </w:tr>
      <w:tr>
        <w:trPr>
          <w:trHeight w:val="505" w:hRule="atLeast"/>
          <w:cantSplit w:val="false"/>
        </w:trPr>
        <w:tc>
          <w:tcPr>
            <w:tcW w:w="806"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ITEM</w:t>
            </w:r>
          </w:p>
        </w:tc>
        <w:tc>
          <w:tcPr>
            <w:tcW w:w="7714"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DESCRIÇÃO</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GRAU</w:t>
            </w:r>
          </w:p>
        </w:tc>
      </w:tr>
      <w:tr>
        <w:trPr>
          <w:trHeight w:val="505" w:hRule="atLeast"/>
          <w:cantSplit w:val="false"/>
        </w:trPr>
        <w:tc>
          <w:tcPr>
            <w:tcW w:w="806"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1</w:t>
            </w:r>
          </w:p>
        </w:tc>
        <w:tc>
          <w:tcPr>
            <w:tcW w:w="7714"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Permitir situação que crie a possibilidade de causar dano físico, lesão corporal ou consequências letais, por ocorrência;</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05</w:t>
            </w:r>
          </w:p>
        </w:tc>
      </w:tr>
      <w:tr>
        <w:trPr>
          <w:trHeight w:val="505" w:hRule="atLeast"/>
          <w:cantSplit w:val="false"/>
        </w:trPr>
        <w:tc>
          <w:tcPr>
            <w:tcW w:w="806"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2</w:t>
            </w:r>
          </w:p>
        </w:tc>
        <w:tc>
          <w:tcPr>
            <w:tcW w:w="7714"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Suspender ou interromper, salvo motivo de força maior ou caso fortuito, os serviços contratuais por dia e por unidade de atendimento;</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04</w:t>
            </w:r>
          </w:p>
        </w:tc>
      </w:tr>
      <w:tr>
        <w:trPr>
          <w:trHeight w:val="505" w:hRule="atLeast"/>
          <w:cantSplit w:val="false"/>
        </w:trPr>
        <w:tc>
          <w:tcPr>
            <w:tcW w:w="806"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3</w:t>
            </w:r>
          </w:p>
        </w:tc>
        <w:tc>
          <w:tcPr>
            <w:tcW w:w="7714"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Manter funcionário sem qualificação para executar os serviços contratados, por empregado e por dia;</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03</w:t>
            </w:r>
          </w:p>
        </w:tc>
      </w:tr>
      <w:tr>
        <w:trPr>
          <w:trHeight w:val="505" w:hRule="atLeast"/>
          <w:cantSplit w:val="false"/>
        </w:trPr>
        <w:tc>
          <w:tcPr>
            <w:tcW w:w="806"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4</w:t>
            </w:r>
          </w:p>
        </w:tc>
        <w:tc>
          <w:tcPr>
            <w:tcW w:w="7714"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Recusar-se a executar serviço determinado pela fiscalização, por serviço e por dia;</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02</w:t>
            </w:r>
          </w:p>
        </w:tc>
      </w:tr>
      <w:tr>
        <w:trPr>
          <w:trHeight w:val="505" w:hRule="atLeast"/>
          <w:cantSplit w:val="false"/>
        </w:trPr>
        <w:tc>
          <w:tcPr>
            <w:tcW w:w="8521" w:type="dxa"/>
            <w:gridSpan w:val="4"/>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eastAsia="en-US"/>
              </w:rPr>
            </w:pPr>
            <w:r>
              <w:rPr>
                <w:rFonts w:eastAsia="Calibri" w:cs="Times New Roman"/>
                <w:szCs w:val="20"/>
                <w:lang w:eastAsia="en-US"/>
              </w:rPr>
              <w:t>Para os itens a seguir, deixar de:</w:t>
            </w:r>
          </w:p>
        </w:tc>
        <w:tc>
          <w:tcPr>
            <w:tcW w:w="914" w:type="dxa"/>
            <w:tcBorders>
              <w:top w:val="double" w:sz="2" w:space="0" w:color="2C2C2C"/>
              <w:left w:val="double" w:sz="2" w:space="0" w:color="808080"/>
              <w:bottom w:val="double" w:sz="2" w:space="0" w:color="2C2C2C"/>
              <w:insideH w:val="double" w:sz="2" w:space="0" w:color="2C2C2C"/>
              <w:right w:val="double" w:sz="2" w:space="0" w:color="808080"/>
              <w:insideV w:val="double" w:sz="2" w:space="0" w:color="808080"/>
            </w:tcBorders>
            <w:shd w:fill="FFFFFF" w:val="clear"/>
          </w:tcPr>
          <w:p>
            <w:pPr>
              <w:pStyle w:val="Normal"/>
              <w:numPr>
                <w:ilvl w:val="0"/>
                <w:numId w:val="1"/>
              </w:numPr>
              <w:rPr>
                <w:rFonts w:eastAsia="Calibri" w:cs="Calibri"/>
                <w:szCs w:val="22"/>
                <w:lang w:eastAsia="en-US"/>
              </w:rPr>
            </w:pPr>
            <w:r>
              <w:rPr>
                <w:rFonts w:eastAsia="Calibri" w:cs="Calibri"/>
                <w:szCs w:val="22"/>
                <w:lang w:eastAsia="en-US"/>
              </w:rPr>
            </w:r>
          </w:p>
        </w:tc>
      </w:tr>
      <w:tr>
        <w:trPr>
          <w:trHeight w:val="505" w:hRule="atLeast"/>
          <w:cantSplit w:val="false"/>
        </w:trPr>
        <w:tc>
          <w:tcPr>
            <w:tcW w:w="621"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5</w:t>
            </w:r>
          </w:p>
        </w:tc>
        <w:tc>
          <w:tcPr>
            <w:tcW w:w="7899"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Cumprir determinação formal ou instrução complementar do órgão fiscalizador, por ocorrência;</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02</w:t>
            </w:r>
          </w:p>
        </w:tc>
      </w:tr>
      <w:tr>
        <w:trPr>
          <w:trHeight w:val="505" w:hRule="atLeast"/>
          <w:cantSplit w:val="false"/>
        </w:trPr>
        <w:tc>
          <w:tcPr>
            <w:tcW w:w="621"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6</w:t>
            </w:r>
          </w:p>
        </w:tc>
        <w:tc>
          <w:tcPr>
            <w:tcW w:w="7899"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Substituir empregado alocado que não atenda às necessidades do serviço, por funcionário e por dia;</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01</w:t>
            </w:r>
          </w:p>
        </w:tc>
      </w:tr>
      <w:tr>
        <w:trPr>
          <w:trHeight w:val="685" w:hRule="atLeast"/>
          <w:cantSplit w:val="false"/>
        </w:trPr>
        <w:tc>
          <w:tcPr>
            <w:tcW w:w="621"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Calibri"/>
                <w:szCs w:val="20"/>
                <w:lang w:val="en-US" w:eastAsia="en-US"/>
              </w:rPr>
            </w:pPr>
            <w:r>
              <w:rPr>
                <w:rFonts w:eastAsia="Calibri" w:cs="Calibri"/>
                <w:szCs w:val="20"/>
                <w:lang w:val="en-US" w:eastAsia="en-US"/>
              </w:rPr>
            </w:r>
          </w:p>
          <w:p>
            <w:pPr>
              <w:pStyle w:val="Normal"/>
              <w:numPr>
                <w:ilvl w:val="0"/>
                <w:numId w:val="1"/>
              </w:numPr>
              <w:spacing w:before="120" w:after="120"/>
              <w:jc w:val="center"/>
              <w:rPr>
                <w:rFonts w:eastAsia="Calibri" w:cs="Calibri"/>
                <w:szCs w:val="20"/>
                <w:lang w:val="en-US" w:eastAsia="en-US"/>
              </w:rPr>
            </w:pPr>
            <w:r>
              <w:rPr>
                <w:rFonts w:eastAsia="Calibri" w:cs="Calibri"/>
                <w:szCs w:val="20"/>
                <w:lang w:val="en-US" w:eastAsia="en-US"/>
              </w:rPr>
              <w:t>7</w:t>
            </w:r>
          </w:p>
        </w:tc>
        <w:tc>
          <w:tcPr>
            <w:tcW w:w="7899"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Cumprir quaisquer dos itens do Edital e seus Anexos não previstos nesta tabela de multas, após reincidência formalmente notificada pelo órgão fiscalizador, por item e por ocorrência;</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Calibri"/>
                <w:szCs w:val="20"/>
                <w:lang w:eastAsia="en-US"/>
              </w:rPr>
            </w:pPr>
            <w:r>
              <w:rPr>
                <w:rFonts w:eastAsia="Calibri" w:cs="Calibri"/>
                <w:szCs w:val="20"/>
                <w:lang w:eastAsia="en-US"/>
              </w:rPr>
            </w:r>
          </w:p>
          <w:p>
            <w:pPr>
              <w:pStyle w:val="Normal"/>
              <w:numPr>
                <w:ilvl w:val="0"/>
                <w:numId w:val="1"/>
              </w:numPr>
              <w:spacing w:before="120" w:after="120"/>
              <w:jc w:val="center"/>
              <w:rPr>
                <w:rFonts w:eastAsia="Calibri" w:cs="Calibri"/>
                <w:szCs w:val="20"/>
                <w:lang w:val="en-US" w:eastAsia="en-US"/>
              </w:rPr>
            </w:pPr>
            <w:r>
              <w:rPr>
                <w:rFonts w:eastAsia="Calibri" w:cs="Calibri"/>
                <w:szCs w:val="20"/>
                <w:lang w:val="en-US" w:eastAsia="en-US"/>
              </w:rPr>
              <w:t>03</w:t>
            </w:r>
          </w:p>
        </w:tc>
      </w:tr>
      <w:tr>
        <w:trPr>
          <w:trHeight w:val="505" w:hRule="atLeast"/>
          <w:cantSplit w:val="false"/>
        </w:trPr>
        <w:tc>
          <w:tcPr>
            <w:tcW w:w="621" w:type="dxa"/>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8</w:t>
            </w:r>
          </w:p>
        </w:tc>
        <w:tc>
          <w:tcPr>
            <w:tcW w:w="7899" w:type="dxa"/>
            <w:gridSpan w:val="2"/>
            <w:tcBorders>
              <w:top w:val="double" w:sz="2" w:space="0" w:color="2C2C2C"/>
              <w:left w:val="double" w:sz="2" w:space="0" w:color="2C2C2C"/>
              <w:bottom w:val="double" w:sz="2" w:space="0" w:color="2C2C2C"/>
              <w:insideH w:val="double" w:sz="2" w:space="0" w:color="2C2C2C"/>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Indicar e manter durante a execução do contrato os prepostos previstos no edital/contrato;</w:t>
            </w:r>
          </w:p>
        </w:tc>
        <w:tc>
          <w:tcPr>
            <w:tcW w:w="915" w:type="dxa"/>
            <w:gridSpan w:val="2"/>
            <w:tcBorders>
              <w:top w:val="double" w:sz="2" w:space="0" w:color="2C2C2C"/>
              <w:left w:val="double" w:sz="2" w:space="0" w:color="2C2C2C"/>
              <w:bottom w:val="double" w:sz="2" w:space="0" w:color="2C2C2C"/>
              <w:insideH w:val="double" w:sz="2" w:space="0" w:color="2C2C2C"/>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01</w:t>
            </w:r>
          </w:p>
        </w:tc>
      </w:tr>
      <w:tr>
        <w:trPr>
          <w:trHeight w:val="505" w:hRule="atLeast"/>
          <w:cantSplit w:val="false"/>
        </w:trPr>
        <w:tc>
          <w:tcPr>
            <w:tcW w:w="621" w:type="dxa"/>
            <w:tcBorders>
              <w:top w:val="double" w:sz="2" w:space="0" w:color="2C2C2C"/>
              <w:left w:val="double" w:sz="2" w:space="0" w:color="2C2C2C"/>
              <w:bottom w:val="double" w:sz="2" w:space="0" w:color="808080"/>
              <w:insideH w:val="double" w:sz="2" w:space="0" w:color="808080"/>
              <w:right w:val="double" w:sz="2" w:space="0" w:color="2C2C2C"/>
              <w:insideV w:val="double" w:sz="2" w:space="0" w:color="2C2C2C"/>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9</w:t>
            </w:r>
          </w:p>
        </w:tc>
        <w:tc>
          <w:tcPr>
            <w:tcW w:w="7899" w:type="dxa"/>
            <w:gridSpan w:val="2"/>
            <w:tcBorders>
              <w:top w:val="double" w:sz="2" w:space="0" w:color="2C2C2C"/>
              <w:left w:val="double" w:sz="2" w:space="0" w:color="2C2C2C"/>
              <w:bottom w:val="double" w:sz="2" w:space="0" w:color="808080"/>
              <w:insideH w:val="double" w:sz="2" w:space="0" w:color="808080"/>
              <w:right w:val="double" w:sz="2" w:space="0" w:color="2C2C2C"/>
              <w:insideV w:val="double" w:sz="2" w:space="0" w:color="2C2C2C"/>
            </w:tcBorders>
            <w:shd w:fill="FFFFFF" w:val="clear"/>
            <w:tcMar>
              <w:left w:w="-7" w:type="dxa"/>
            </w:tcMar>
          </w:tcPr>
          <w:p>
            <w:pPr>
              <w:pStyle w:val="Normal"/>
              <w:numPr>
                <w:ilvl w:val="0"/>
                <w:numId w:val="1"/>
              </w:numPr>
              <w:spacing w:before="120" w:after="120"/>
              <w:jc w:val="both"/>
              <w:rPr>
                <w:rFonts w:eastAsia="Calibri" w:cs="Times New Roman"/>
                <w:szCs w:val="20"/>
                <w:lang w:eastAsia="en-US"/>
              </w:rPr>
            </w:pPr>
            <w:r>
              <w:rPr>
                <w:rFonts w:eastAsia="Calibri" w:cs="Times New Roman"/>
                <w:szCs w:val="20"/>
                <w:lang w:eastAsia="en-US"/>
              </w:rPr>
              <w:t>Providenciar treinamento para seus funcionários conforme previsto na relação de obrigações da CONTRATADA</w:t>
            </w:r>
          </w:p>
        </w:tc>
        <w:tc>
          <w:tcPr>
            <w:tcW w:w="915" w:type="dxa"/>
            <w:gridSpan w:val="2"/>
            <w:tcBorders>
              <w:top w:val="double" w:sz="2" w:space="0" w:color="2C2C2C"/>
              <w:left w:val="double" w:sz="2" w:space="0" w:color="2C2C2C"/>
              <w:bottom w:val="double" w:sz="2" w:space="0" w:color="808080"/>
              <w:insideH w:val="double" w:sz="2" w:space="0" w:color="808080"/>
              <w:right w:val="double" w:sz="2" w:space="0" w:color="808080"/>
              <w:insideV w:val="double" w:sz="2" w:space="0" w:color="808080"/>
            </w:tcBorders>
            <w:shd w:fill="FFFFFF" w:val="clear"/>
            <w:tcMar>
              <w:left w:w="-7" w:type="dxa"/>
            </w:tcMar>
          </w:tcPr>
          <w:p>
            <w:pPr>
              <w:pStyle w:val="Normal"/>
              <w:numPr>
                <w:ilvl w:val="0"/>
                <w:numId w:val="1"/>
              </w:numPr>
              <w:spacing w:before="120" w:after="120"/>
              <w:jc w:val="center"/>
              <w:rPr>
                <w:rFonts w:eastAsia="Calibri" w:cs="Times New Roman"/>
                <w:szCs w:val="20"/>
                <w:lang w:val="en-US" w:eastAsia="en-US"/>
              </w:rPr>
            </w:pPr>
            <w:r>
              <w:rPr>
                <w:rFonts w:eastAsia="Calibri" w:cs="Times New Roman"/>
                <w:szCs w:val="20"/>
                <w:lang w:val="en-US" w:eastAsia="en-US"/>
              </w:rPr>
              <w:t>01</w:t>
            </w:r>
          </w:p>
        </w:tc>
      </w:tr>
    </w:tbl>
    <w:p>
      <w:pPr>
        <w:pStyle w:val="Normal"/>
        <w:numPr>
          <w:ilvl w:val="1"/>
          <w:numId w:val="3"/>
        </w:numPr>
        <w:tabs>
          <w:tab w:val="left" w:pos="461" w:leader="none"/>
        </w:tabs>
        <w:spacing w:before="120" w:after="120"/>
        <w:ind w:left="0" w:right="0" w:hanging="361"/>
        <w:jc w:val="both"/>
        <w:rPr>
          <w:rFonts w:cs="Times New Roman"/>
          <w:szCs w:val="20"/>
          <w:lang w:eastAsia="en-US"/>
        </w:rPr>
      </w:pPr>
      <w:r>
        <w:rPr>
          <w:rFonts w:cs="Times New Roman"/>
          <w:szCs w:val="20"/>
          <w:lang w:eastAsia="en-US"/>
        </w:rPr>
        <w:t>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numPr>
          <w:ilvl w:val="1"/>
          <w:numId w:val="3"/>
        </w:numPr>
        <w:tabs>
          <w:tab w:val="left" w:pos="461" w:leader="none"/>
        </w:tabs>
        <w:spacing w:before="120" w:after="120"/>
        <w:ind w:left="0" w:right="0" w:hanging="361"/>
        <w:jc w:val="both"/>
        <w:rPr>
          <w:rFonts w:cs="Times New Roman"/>
          <w:szCs w:val="20"/>
          <w:lang w:eastAsia="en-US"/>
        </w:rPr>
      </w:pPr>
      <w:r>
        <w:rPr>
          <w:rFonts w:cs="Times New Roman"/>
          <w:szCs w:val="20"/>
          <w:lang w:eastAsia="en-US"/>
        </w:rPr>
        <w:t>A autoridade competente, na aplicação das sanções, levará em consideração a gravidade da conduta do infrator, o caráter educativo da pena, bem como o dano causado à Administração, observado o princípio da proporcionalidade.</w:t>
      </w:r>
    </w:p>
    <w:p>
      <w:pPr>
        <w:pStyle w:val="Normal"/>
        <w:numPr>
          <w:ilvl w:val="1"/>
          <w:numId w:val="3"/>
        </w:numPr>
        <w:tabs>
          <w:tab w:val="left" w:pos="421" w:leader="none"/>
        </w:tabs>
        <w:spacing w:before="120" w:after="120"/>
        <w:ind w:left="0" w:right="0" w:hanging="361"/>
        <w:jc w:val="both"/>
        <w:rPr>
          <w:rFonts w:cs="Times New Roman"/>
          <w:szCs w:val="20"/>
          <w:lang w:eastAsia="en-US"/>
        </w:rPr>
      </w:pPr>
      <w:r>
        <w:rPr>
          <w:rFonts w:cs="Times New Roman"/>
          <w:szCs w:val="20"/>
          <w:lang w:eastAsia="en-US"/>
        </w:rPr>
        <w:t xml:space="preserve"> </w:t>
      </w:r>
      <w:r>
        <w:rPr>
          <w:rFonts w:cs="Times New Roman"/>
          <w:szCs w:val="20"/>
          <w:lang w:eastAsia="en-US"/>
        </w:rPr>
        <w:t>As penalidades serão obrigatoriamente registradas no SICAF.</w:t>
      </w:r>
    </w:p>
    <w:p>
      <w:pPr>
        <w:pStyle w:val="Normal"/>
        <w:numPr>
          <w:ilvl w:val="0"/>
          <w:numId w:val="1"/>
        </w:numPr>
        <w:tabs>
          <w:tab w:val="left" w:pos="421" w:leader="none"/>
        </w:tabs>
        <w:spacing w:before="120" w:after="120"/>
        <w:jc w:val="both"/>
        <w:rPr>
          <w:rFonts w:cs="Times New Roman"/>
          <w:szCs w:val="20"/>
          <w:lang w:eastAsia="en-US"/>
        </w:rPr>
      </w:pPr>
      <w:r>
        <w:rPr>
          <w:rFonts w:cs="Times New Roman"/>
          <w:szCs w:val="20"/>
          <w:lang w:eastAsia="en-US"/>
        </w:rPr>
      </w:r>
    </w:p>
    <w:p>
      <w:pPr>
        <w:pStyle w:val="Normal"/>
        <w:numPr>
          <w:ilvl w:val="0"/>
          <w:numId w:val="1"/>
        </w:numPr>
        <w:tabs>
          <w:tab w:val="left" w:pos="421" w:leader="none"/>
        </w:tabs>
        <w:spacing w:before="120" w:after="120"/>
        <w:jc w:val="both"/>
        <w:rPr>
          <w:rFonts w:cs="Times New Roman"/>
          <w:szCs w:val="20"/>
          <w:lang w:eastAsia="en-US"/>
        </w:rPr>
      </w:pPr>
      <w:r>
        <w:rPr>
          <w:rFonts w:cs="Times New Roman"/>
          <w:szCs w:val="20"/>
          <w:lang w:eastAsia="en-US"/>
        </w:rPr>
        <w:t>Teófilo Otoni, 17 de agosto de 2018.</w:t>
      </w:r>
    </w:p>
    <w:p>
      <w:pPr>
        <w:pStyle w:val="Normal"/>
        <w:numPr>
          <w:ilvl w:val="0"/>
          <w:numId w:val="1"/>
        </w:numPr>
        <w:tabs>
          <w:tab w:val="left" w:pos="421" w:leader="none"/>
        </w:tabs>
        <w:spacing w:before="120" w:after="120"/>
        <w:jc w:val="both"/>
        <w:rPr>
          <w:rFonts w:cs="Times New Roman"/>
          <w:szCs w:val="20"/>
          <w:lang w:eastAsia="en-US"/>
        </w:rPr>
      </w:pPr>
      <w:r>
        <w:rPr>
          <w:rFonts w:cs="Times New Roman"/>
          <w:szCs w:val="20"/>
          <w:lang w:eastAsia="en-US"/>
        </w:rPr>
      </w:r>
    </w:p>
    <w:p>
      <w:pPr>
        <w:pStyle w:val="Normal"/>
        <w:numPr>
          <w:ilvl w:val="0"/>
          <w:numId w:val="1"/>
        </w:numPr>
        <w:tabs>
          <w:tab w:val="left" w:pos="421" w:leader="none"/>
        </w:tabs>
        <w:spacing w:before="120" w:after="120"/>
        <w:jc w:val="both"/>
        <w:rPr>
          <w:rFonts w:cs="Times New Roman"/>
          <w:szCs w:val="20"/>
          <w:lang w:eastAsia="en-US"/>
        </w:rPr>
      </w:pPr>
      <w:r>
        <w:rPr>
          <w:rFonts w:cs="Times New Roman"/>
          <w:szCs w:val="20"/>
          <w:lang w:eastAsia="en-US"/>
        </w:rPr>
        <w:t>_________________________________</w:t>
      </w:r>
    </w:p>
    <w:p>
      <w:pPr>
        <w:pStyle w:val="Normal"/>
        <w:numPr>
          <w:ilvl w:val="0"/>
          <w:numId w:val="1"/>
        </w:numPr>
        <w:tabs>
          <w:tab w:val="left" w:pos="421" w:leader="none"/>
        </w:tabs>
        <w:spacing w:before="120" w:after="120"/>
        <w:jc w:val="both"/>
        <w:rPr>
          <w:rFonts w:cs="Times New Roman"/>
          <w:szCs w:val="20"/>
          <w:lang w:eastAsia="en-US"/>
        </w:rPr>
      </w:pPr>
      <w:r>
        <w:rPr>
          <w:rFonts w:cs="Times New Roman"/>
          <w:szCs w:val="20"/>
          <w:lang w:eastAsia="en-US"/>
        </w:rPr>
        <w:t>Patrícia Natali do Rosário Coutinho</w:t>
      </w:r>
    </w:p>
    <w:p>
      <w:pPr>
        <w:pStyle w:val="Normal"/>
        <w:numPr>
          <w:ilvl w:val="0"/>
          <w:numId w:val="1"/>
        </w:numPr>
        <w:tabs>
          <w:tab w:val="left" w:pos="421" w:leader="none"/>
        </w:tabs>
        <w:spacing w:before="120" w:after="120"/>
        <w:jc w:val="both"/>
        <w:rPr>
          <w:rFonts w:cs="Times New Roman"/>
          <w:szCs w:val="20"/>
          <w:lang w:eastAsia="en-US"/>
        </w:rPr>
      </w:pPr>
      <w:r>
        <w:rPr>
          <w:rFonts w:cs="Times New Roman"/>
          <w:szCs w:val="20"/>
          <w:lang w:eastAsia="en-US"/>
        </w:rPr>
        <w:t>Siape: 1566025</w:t>
      </w:r>
    </w:p>
    <w:p>
      <w:pPr>
        <w:pStyle w:val="Normal"/>
        <w:numPr>
          <w:ilvl w:val="0"/>
          <w:numId w:val="1"/>
        </w:numPr>
        <w:jc w:val="both"/>
        <w:rPr>
          <w:rFonts w:cs="Times New Roman"/>
          <w:szCs w:val="20"/>
          <w:lang w:eastAsia="en-US"/>
        </w:rPr>
      </w:pPr>
      <w:r>
        <w:rPr>
          <w:rFonts w:cs="Times New Roman"/>
          <w:szCs w:val="20"/>
          <w:lang w:eastAsia="en-US"/>
        </w:rPr>
      </w:r>
    </w:p>
    <w:p>
      <w:pPr>
        <w:pStyle w:val="Normal"/>
        <w:numPr>
          <w:ilvl w:val="0"/>
          <w:numId w:val="1"/>
        </w:numPr>
        <w:spacing w:before="11" w:after="0"/>
        <w:jc w:val="both"/>
        <w:rPr>
          <w:rFonts w:cs="Times New Roman"/>
          <w:szCs w:val="20"/>
          <w:lang w:eastAsia="en-US"/>
        </w:rPr>
      </w:pPr>
      <w:r>
        <w:rPr>
          <w:rFonts w:cs="Times New Roman"/>
          <w:szCs w:val="20"/>
          <w:lang w:eastAsia="en-US"/>
        </w:rPr>
      </w:r>
    </w:p>
    <w:p>
      <w:pPr>
        <w:pStyle w:val="Western"/>
        <w:spacing w:before="280" w:after="0"/>
        <w:jc w:val="center"/>
        <w:rPr/>
      </w:pPr>
      <w:r>
        <w:rPr/>
      </w:r>
    </w:p>
    <w:p>
      <w:pPr>
        <w:pStyle w:val="Western"/>
        <w:pageBreakBefore/>
        <w:numPr>
          <w:ilvl w:val="0"/>
          <w:numId w:val="1"/>
        </w:numPr>
        <w:spacing w:before="280" w:after="0"/>
        <w:jc w:val="center"/>
        <w:rPr>
          <w:rFonts w:cs="Arial" w:ascii="Arial" w:hAnsi="Arial"/>
          <w:b/>
          <w:sz w:val="20"/>
          <w:szCs w:val="20"/>
          <w:highlight w:val="yellow"/>
        </w:rPr>
      </w:pPr>
      <w:r>
        <w:rPr>
          <w:rFonts w:cs="Arial" w:ascii="Arial" w:hAnsi="Arial"/>
          <w:b/>
          <w:sz w:val="20"/>
          <w:szCs w:val="20"/>
          <w:highlight w:val="yellow"/>
        </w:rPr>
        <w:t>ANEXO II AO EDITAL PREGÃO 039/2018</w:t>
      </w:r>
    </w:p>
    <w:p>
      <w:pPr>
        <w:pStyle w:val="Western"/>
        <w:numPr>
          <w:ilvl w:val="0"/>
          <w:numId w:val="1"/>
        </w:numPr>
        <w:spacing w:before="280" w:after="0"/>
        <w:jc w:val="center"/>
        <w:rPr>
          <w:rFonts w:cs="Arial" w:ascii="Arial" w:hAnsi="Arial"/>
          <w:b/>
          <w:sz w:val="20"/>
          <w:szCs w:val="20"/>
        </w:rPr>
      </w:pPr>
      <w:r>
        <w:rPr>
          <w:rFonts w:cs="Arial" w:ascii="Arial" w:hAnsi="Arial"/>
          <w:b/>
          <w:sz w:val="20"/>
          <w:szCs w:val="20"/>
        </w:rPr>
        <w:t>MINUTA DE TERMO DE CONTRATO</w:t>
      </w:r>
    </w:p>
    <w:p>
      <w:pPr>
        <w:pStyle w:val="Western"/>
        <w:numPr>
          <w:ilvl w:val="0"/>
          <w:numId w:val="1"/>
        </w:numPr>
        <w:spacing w:before="280" w:after="0"/>
        <w:ind w:left="2835" w:right="0" w:hanging="360"/>
        <w:jc w:val="both"/>
        <w:rPr>
          <w:rFonts w:cs="Arial" w:ascii="Arial" w:hAnsi="Arial"/>
          <w:b/>
          <w:sz w:val="20"/>
          <w:szCs w:val="20"/>
        </w:rPr>
      </w:pPr>
      <w:r>
        <w:rPr>
          <w:rFonts w:cs="Arial" w:ascii="Arial" w:hAnsi="Arial"/>
          <w:b/>
          <w:sz w:val="20"/>
          <w:szCs w:val="20"/>
        </w:rPr>
        <w:t xml:space="preserve">TERMO DE CONTRATO DE PRESTAÇÃO DE SERVIÇOS Nº ......../.......,QUE FIRMAM ENTRE SI A UNIVERSIDADE FEDERAL DOS VALES DO JEQUITINHONHA E MUCURI E A EMPRESA XXXXX </w:t>
      </w:r>
    </w:p>
    <w:p>
      <w:pPr>
        <w:pStyle w:val="Western"/>
        <w:numPr>
          <w:ilvl w:val="0"/>
          <w:numId w:val="1"/>
        </w:numPr>
        <w:jc w:val="both"/>
        <w:rPr>
          <w:rFonts w:cs="Arial" w:ascii="Arial" w:hAnsi="Arial"/>
          <w:sz w:val="20"/>
          <w:szCs w:val="20"/>
        </w:rPr>
      </w:pPr>
      <w:r>
        <w:rPr>
          <w:rFonts w:cs="Arial" w:ascii="Arial" w:hAnsi="Arial"/>
          <w:sz w:val="20"/>
          <w:szCs w:val="20"/>
        </w:rPr>
        <w:t>A UNIVERSIDADE FEDERAL DOS VALES DO JEQUITINHONHA E MUCURI, CNPJ 16.888.315/0001-57, com endereço a Rodovia MGT 367/Km 583, nº 5000 – Alto da Jacuba, Diamantina/MG, representada por seu Reitor Prof. Gilciano Saraiva Nogueira, nomeado pela Portaria nº............., de ........ de ................20, publicada no DOU de ................, inscrito no CPF nº...................., portador da Carteira de Identidade nº....................., doravante denominada CONTRATANTE e a empresa, ................., estabelecida (endereço completo: rua n.º cidade, Estado e CEP) – CNPJ....................., neste ato denominada CONTRATADA e, representada por ...................., CPF nº......................., portador da Carteira de Identidade nº....................., tendo em vista o que consta no Processo nº............................. e em observância às disposições da Lei nº 8.666/93, da Lei 10.520/2002, Decreto 2.271/1997, Decreto 8.538/2015 e da Instrução Normativa SLTI/MPOG nº 05, de 26/05/2017 e suas alterações, resolvem celebrar o presente Termo de Contrato, decorrente do Pregão nº ...., mediante cláusulas e condições a seguir enunciadas:</w:t>
      </w:r>
    </w:p>
    <w:p>
      <w:pPr>
        <w:pStyle w:val="Western"/>
        <w:numPr>
          <w:ilvl w:val="0"/>
          <w:numId w:val="1"/>
        </w:numPr>
        <w:spacing w:before="280" w:after="0"/>
        <w:rPr>
          <w:rFonts w:cs="Arial" w:ascii="Arial" w:hAnsi="Arial"/>
          <w:sz w:val="20"/>
          <w:szCs w:val="20"/>
        </w:rPr>
      </w:pPr>
      <w:r>
        <w:rPr>
          <w:rFonts w:cs="Arial" w:ascii="Arial" w:hAnsi="Arial"/>
          <w:sz w:val="20"/>
          <w:szCs w:val="20"/>
        </w:rPr>
        <w:t>1. CLÁUSULA PRIMEIRA – OBJETO</w:t>
      </w:r>
    </w:p>
    <w:p>
      <w:pPr>
        <w:pStyle w:val="Western"/>
        <w:numPr>
          <w:ilvl w:val="0"/>
          <w:numId w:val="1"/>
        </w:numPr>
        <w:spacing w:before="280" w:after="0"/>
        <w:jc w:val="both"/>
        <w:rPr>
          <w:rFonts w:cs="Arial" w:ascii="Arial" w:hAnsi="Arial"/>
          <w:sz w:val="20"/>
          <w:szCs w:val="20"/>
        </w:rPr>
      </w:pPr>
      <w:r>
        <w:rPr>
          <w:rFonts w:cs="Arial" w:ascii="Arial" w:hAnsi="Arial"/>
          <w:sz w:val="20"/>
          <w:szCs w:val="20"/>
        </w:rPr>
        <w:t>1.1. O objeto do presente instrumento é a contratação empresa especializada para ministrar curso de língua inglesa – instrumental, na modalidade presencial, a ser oferecido a 30 servidores da Universidade federal dos Vales do Jequitinhonha e Mucuri em Teófilo Otoni (MG), carga horária: 50 horas, que será prestado nas condições estabelecidas no Termo de Referência, anexo I do Edital.</w:t>
      </w:r>
    </w:p>
    <w:p>
      <w:pPr>
        <w:pStyle w:val="Western"/>
        <w:numPr>
          <w:ilvl w:val="0"/>
          <w:numId w:val="1"/>
        </w:numPr>
        <w:spacing w:before="280" w:after="0"/>
        <w:jc w:val="both"/>
        <w:rPr>
          <w:rFonts w:cs="Arial" w:ascii="Arial" w:hAnsi="Arial"/>
          <w:sz w:val="20"/>
          <w:szCs w:val="20"/>
        </w:rPr>
      </w:pPr>
      <w:r>
        <w:rPr>
          <w:rFonts w:cs="Arial" w:ascii="Arial" w:hAnsi="Arial"/>
          <w:sz w:val="20"/>
          <w:szCs w:val="20"/>
        </w:rPr>
        <w:t>1.2. Este Termo de Contrato vincula-se ao Edital do Pregão, identificado no preâmbulo e à proposta vencedora, independentemente de transcrição.</w:t>
      </w:r>
    </w:p>
    <w:p>
      <w:pPr>
        <w:pStyle w:val="Western"/>
        <w:numPr>
          <w:ilvl w:val="0"/>
          <w:numId w:val="1"/>
        </w:numPr>
        <w:spacing w:before="280" w:after="0"/>
        <w:jc w:val="both"/>
        <w:rPr>
          <w:rFonts w:cs="Arial" w:ascii="Arial" w:hAnsi="Arial"/>
          <w:sz w:val="20"/>
          <w:szCs w:val="20"/>
        </w:rPr>
      </w:pPr>
      <w:r>
        <w:rPr>
          <w:rFonts w:cs="Arial" w:ascii="Arial" w:hAnsi="Arial"/>
          <w:sz w:val="20"/>
          <w:szCs w:val="20"/>
        </w:rPr>
        <w:t>2. CLÁUSULA SEGUNDA – VIGÊNCIA</w:t>
      </w:r>
    </w:p>
    <w:p>
      <w:pPr>
        <w:pStyle w:val="Western"/>
        <w:numPr>
          <w:ilvl w:val="0"/>
          <w:numId w:val="1"/>
        </w:numPr>
        <w:spacing w:before="280" w:after="0"/>
        <w:jc w:val="both"/>
        <w:rPr>
          <w:rFonts w:cs="Arial" w:ascii="Arial" w:hAnsi="Arial"/>
          <w:bCs/>
          <w:iCs/>
          <w:sz w:val="20"/>
          <w:szCs w:val="20"/>
        </w:rPr>
      </w:pPr>
      <w:r>
        <w:rPr>
          <w:rFonts w:cs="Arial" w:ascii="Arial" w:hAnsi="Arial"/>
          <w:sz w:val="20"/>
          <w:szCs w:val="20"/>
        </w:rPr>
        <w:t xml:space="preserve">2.1. </w:t>
      </w:r>
      <w:r>
        <w:rPr>
          <w:rFonts w:cs="Arial" w:ascii="Arial" w:hAnsi="Arial"/>
          <w:bCs/>
          <w:iCs/>
          <w:sz w:val="20"/>
          <w:szCs w:val="20"/>
        </w:rPr>
        <w:t xml:space="preserve">O prazo de vigência da contratação é de 10 (dez) meses contados a partir da assinatura do contrato, prorrogável na forma do art. 57, § 1°, da Lei n° 8.666/93 e o </w:t>
      </w:r>
      <w:r>
        <w:rPr>
          <w:rFonts w:cs="Arial" w:ascii="Arial" w:hAnsi="Arial"/>
          <w:bCs/>
          <w:iCs/>
          <w:sz w:val="20"/>
          <w:szCs w:val="20"/>
          <w:highlight w:val="yellow"/>
        </w:rPr>
        <w:t>prazo de execução dos serviços é de 180 (cento e oitenta) dias contados da emissão da ordem de serviços, prorrogável na forma do art</w:t>
      </w:r>
      <w:r>
        <w:rPr>
          <w:rFonts w:cs="Arial" w:ascii="Arial" w:hAnsi="Arial"/>
          <w:bCs/>
          <w:iCs/>
          <w:sz w:val="20"/>
          <w:szCs w:val="20"/>
        </w:rPr>
        <w:t>. 57, § 1°, da Lei n° 8.666/93.</w:t>
      </w:r>
    </w:p>
    <w:p>
      <w:pPr>
        <w:pStyle w:val="Western"/>
        <w:numPr>
          <w:ilvl w:val="0"/>
          <w:numId w:val="1"/>
        </w:numPr>
        <w:spacing w:before="280" w:after="0"/>
        <w:jc w:val="both"/>
        <w:rPr>
          <w:rFonts w:cs="Arial" w:ascii="Arial" w:hAnsi="Arial"/>
          <w:sz w:val="20"/>
          <w:szCs w:val="20"/>
        </w:rPr>
      </w:pPr>
      <w:r>
        <w:rPr>
          <w:rFonts w:cs="Arial" w:ascii="Arial" w:hAnsi="Arial"/>
          <w:sz w:val="20"/>
          <w:szCs w:val="20"/>
        </w:rPr>
        <w:t>2.2. A CONTRATADA não tem direito subjetivo à prorrogação contratual.</w:t>
      </w:r>
    </w:p>
    <w:p>
      <w:pPr>
        <w:pStyle w:val="Western"/>
        <w:numPr>
          <w:ilvl w:val="0"/>
          <w:numId w:val="1"/>
        </w:numPr>
        <w:spacing w:before="280" w:after="0"/>
        <w:jc w:val="both"/>
        <w:rPr>
          <w:rFonts w:cs="Arial" w:ascii="Arial" w:hAnsi="Arial"/>
          <w:sz w:val="20"/>
          <w:szCs w:val="20"/>
        </w:rPr>
      </w:pPr>
      <w:r>
        <w:rPr>
          <w:rFonts w:cs="Arial" w:ascii="Arial" w:hAnsi="Arial"/>
          <w:sz w:val="20"/>
          <w:szCs w:val="20"/>
        </w:rPr>
        <w:t>3. CLÁUSULA TERCEIRA – PREÇO</w:t>
      </w:r>
    </w:p>
    <w:p>
      <w:pPr>
        <w:pStyle w:val="Western"/>
        <w:numPr>
          <w:ilvl w:val="0"/>
          <w:numId w:val="1"/>
        </w:numPr>
        <w:spacing w:before="280" w:after="0"/>
        <w:jc w:val="both"/>
        <w:rPr>
          <w:rFonts w:cs="Arial" w:ascii="Arial" w:hAnsi="Arial"/>
          <w:sz w:val="20"/>
          <w:szCs w:val="20"/>
        </w:rPr>
      </w:pPr>
      <w:r>
        <w:rPr>
          <w:rFonts w:cs="Arial" w:ascii="Arial" w:hAnsi="Arial"/>
          <w:sz w:val="20"/>
          <w:szCs w:val="20"/>
        </w:rPr>
        <w:t>3.1 O valor total da contratação é de R$.......... (.....)</w:t>
      </w:r>
    </w:p>
    <w:p>
      <w:pPr>
        <w:pStyle w:val="Western"/>
        <w:numPr>
          <w:ilvl w:val="0"/>
          <w:numId w:val="1"/>
        </w:numPr>
        <w:spacing w:before="280" w:after="0"/>
        <w:jc w:val="both"/>
        <w:rPr>
          <w:rFonts w:cs="Arial" w:ascii="Arial" w:hAnsi="Arial"/>
          <w:sz w:val="20"/>
          <w:szCs w:val="20"/>
        </w:rPr>
      </w:pPr>
      <w:r>
        <w:rPr>
          <w:rFonts w:cs="Arial" w:ascii="Arial" w:hAnsi="Arial"/>
          <w:sz w:val="20"/>
          <w:szCs w:val="20"/>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Western"/>
        <w:numPr>
          <w:ilvl w:val="0"/>
          <w:numId w:val="1"/>
        </w:numPr>
        <w:spacing w:before="280" w:after="0"/>
        <w:jc w:val="both"/>
        <w:rPr>
          <w:rFonts w:cs="Arial" w:ascii="Arial" w:hAnsi="Arial"/>
          <w:sz w:val="20"/>
          <w:szCs w:val="20"/>
        </w:rPr>
      </w:pPr>
      <w:r>
        <w:rPr>
          <w:rFonts w:cs="Arial" w:ascii="Arial" w:hAnsi="Arial"/>
          <w:sz w:val="20"/>
          <w:szCs w:val="20"/>
        </w:rPr>
        <w:t>4. CLÁUSULA QUARTA – DOTAÇÃO ORÇAMENTÁRIA</w:t>
      </w:r>
    </w:p>
    <w:p>
      <w:pPr>
        <w:pStyle w:val="Western"/>
        <w:numPr>
          <w:ilvl w:val="0"/>
          <w:numId w:val="1"/>
        </w:numPr>
        <w:spacing w:before="280" w:after="0"/>
        <w:jc w:val="both"/>
        <w:rPr>
          <w:rFonts w:cs="Arial" w:ascii="Arial" w:hAnsi="Arial"/>
          <w:sz w:val="20"/>
          <w:szCs w:val="20"/>
        </w:rPr>
      </w:pPr>
      <w:r>
        <w:rPr>
          <w:rFonts w:cs="Arial" w:ascii="Arial" w:hAnsi="Arial"/>
          <w:sz w:val="20"/>
          <w:szCs w:val="20"/>
        </w:rPr>
        <w:t>4.1. As despesas decorrentes desta contratação estão programadas em dotação orçamentária própria, prevista no orçamento da União, para o exercício de 2018, na classificação abaixo:</w:t>
      </w:r>
    </w:p>
    <w:p>
      <w:pPr>
        <w:pStyle w:val="Western"/>
        <w:numPr>
          <w:ilvl w:val="0"/>
          <w:numId w:val="1"/>
        </w:numPr>
        <w:spacing w:before="280" w:after="0"/>
        <w:jc w:val="both"/>
        <w:rPr>
          <w:rFonts w:cs="Arial" w:ascii="Arial" w:hAnsi="Arial"/>
          <w:sz w:val="20"/>
          <w:szCs w:val="20"/>
          <w:highlight w:val="yellow"/>
        </w:rPr>
      </w:pPr>
      <w:r>
        <w:rPr>
          <w:rFonts w:cs="Arial" w:ascii="Arial" w:hAnsi="Arial"/>
          <w:sz w:val="20"/>
          <w:szCs w:val="20"/>
          <w:highlight w:val="yellow"/>
        </w:rPr>
        <w:t>Gestão/Unidade:</w:t>
      </w:r>
    </w:p>
    <w:p>
      <w:pPr>
        <w:pStyle w:val="Western"/>
        <w:numPr>
          <w:ilvl w:val="0"/>
          <w:numId w:val="1"/>
        </w:numPr>
        <w:spacing w:before="280" w:after="0"/>
        <w:jc w:val="both"/>
        <w:rPr>
          <w:rFonts w:cs="Arial" w:ascii="Arial" w:hAnsi="Arial"/>
          <w:sz w:val="20"/>
          <w:szCs w:val="20"/>
          <w:highlight w:val="yellow"/>
        </w:rPr>
      </w:pPr>
      <w:r>
        <w:rPr>
          <w:rFonts w:cs="Arial" w:ascii="Arial" w:hAnsi="Arial"/>
          <w:sz w:val="20"/>
          <w:szCs w:val="20"/>
          <w:highlight w:val="yellow"/>
        </w:rPr>
        <w:t>Fonte:</w:t>
      </w:r>
    </w:p>
    <w:p>
      <w:pPr>
        <w:pStyle w:val="Western"/>
        <w:numPr>
          <w:ilvl w:val="0"/>
          <w:numId w:val="1"/>
        </w:numPr>
        <w:spacing w:before="280" w:after="0"/>
        <w:jc w:val="both"/>
        <w:rPr>
          <w:rFonts w:cs="Arial" w:ascii="Arial" w:hAnsi="Arial"/>
          <w:sz w:val="20"/>
          <w:szCs w:val="20"/>
          <w:highlight w:val="yellow"/>
        </w:rPr>
      </w:pPr>
      <w:r>
        <w:rPr>
          <w:rFonts w:cs="Arial" w:ascii="Arial" w:hAnsi="Arial"/>
          <w:sz w:val="20"/>
          <w:szCs w:val="20"/>
          <w:highlight w:val="yellow"/>
        </w:rPr>
        <w:t>Programa de Trabalho:</w:t>
      </w:r>
    </w:p>
    <w:p>
      <w:pPr>
        <w:pStyle w:val="Western"/>
        <w:numPr>
          <w:ilvl w:val="0"/>
          <w:numId w:val="1"/>
        </w:numPr>
        <w:spacing w:before="280" w:after="0"/>
        <w:jc w:val="both"/>
        <w:rPr>
          <w:rFonts w:cs="Arial" w:ascii="Arial" w:hAnsi="Arial"/>
          <w:sz w:val="20"/>
          <w:szCs w:val="20"/>
          <w:highlight w:val="yellow"/>
        </w:rPr>
      </w:pPr>
      <w:r>
        <w:rPr>
          <w:rFonts w:cs="Arial" w:ascii="Arial" w:hAnsi="Arial"/>
          <w:sz w:val="20"/>
          <w:szCs w:val="20"/>
          <w:highlight w:val="yellow"/>
        </w:rPr>
        <w:t>Elemento de Despesa:</w:t>
      </w:r>
    </w:p>
    <w:p>
      <w:pPr>
        <w:pStyle w:val="Western"/>
        <w:numPr>
          <w:ilvl w:val="0"/>
          <w:numId w:val="1"/>
        </w:numPr>
        <w:spacing w:before="280" w:after="0"/>
        <w:jc w:val="both"/>
        <w:rPr>
          <w:rFonts w:cs="Arial" w:ascii="Arial" w:hAnsi="Arial"/>
          <w:sz w:val="20"/>
          <w:szCs w:val="20"/>
          <w:highlight w:val="yellow"/>
        </w:rPr>
      </w:pPr>
      <w:r>
        <w:rPr>
          <w:rFonts w:cs="Arial" w:ascii="Arial" w:hAnsi="Arial"/>
          <w:sz w:val="20"/>
          <w:szCs w:val="20"/>
          <w:highlight w:val="yellow"/>
        </w:rPr>
        <w:t>PI:</w:t>
      </w:r>
    </w:p>
    <w:p>
      <w:pPr>
        <w:pStyle w:val="Western"/>
        <w:numPr>
          <w:ilvl w:val="0"/>
          <w:numId w:val="1"/>
        </w:numPr>
        <w:spacing w:before="280" w:after="0"/>
        <w:jc w:val="both"/>
        <w:rPr>
          <w:rFonts w:cs="Arial" w:ascii="Arial" w:hAnsi="Arial"/>
          <w:sz w:val="20"/>
          <w:szCs w:val="20"/>
        </w:rPr>
      </w:pPr>
      <w:r>
        <w:rPr>
          <w:rFonts w:cs="Arial" w:ascii="Arial" w:hAnsi="Arial"/>
          <w:sz w:val="20"/>
          <w:szCs w:val="20"/>
        </w:rPr>
        <w:t>5. CLÁUSULA QUINTA – PAGAMENTO</w:t>
      </w:r>
    </w:p>
    <w:p>
      <w:pPr>
        <w:pStyle w:val="Western"/>
        <w:numPr>
          <w:ilvl w:val="0"/>
          <w:numId w:val="1"/>
        </w:numPr>
        <w:spacing w:before="280" w:after="0"/>
        <w:jc w:val="both"/>
        <w:rPr>
          <w:rFonts w:cs="Arial" w:ascii="Arial" w:hAnsi="Arial"/>
          <w:sz w:val="20"/>
          <w:szCs w:val="20"/>
        </w:rPr>
      </w:pPr>
      <w:r>
        <w:rPr>
          <w:rFonts w:cs="Arial" w:ascii="Arial" w:hAnsi="Arial"/>
          <w:sz w:val="20"/>
          <w:szCs w:val="20"/>
        </w:rPr>
        <w:t>5.1. O prazo para pagamento à CONTRATADA e demais condições a ele referentes encontram-se definidos no Item 17 do Edital e no Anexo XI da IN SEGES/MP nº 5/2017.</w:t>
      </w:r>
    </w:p>
    <w:p>
      <w:pPr>
        <w:pStyle w:val="Western"/>
        <w:numPr>
          <w:ilvl w:val="0"/>
          <w:numId w:val="1"/>
        </w:numPr>
        <w:spacing w:before="280" w:after="0"/>
        <w:jc w:val="both"/>
        <w:rPr>
          <w:rFonts w:cs="Arial" w:ascii="Arial" w:hAnsi="Arial"/>
          <w:sz w:val="20"/>
          <w:szCs w:val="20"/>
        </w:rPr>
      </w:pPr>
      <w:r>
        <w:rPr>
          <w:rFonts w:cs="Arial" w:ascii="Arial" w:hAnsi="Arial"/>
          <w:sz w:val="20"/>
          <w:szCs w:val="20"/>
        </w:rPr>
        <w:t>6. CLÁUSULA SEXTA – REAJUSTE</w:t>
      </w:r>
    </w:p>
    <w:p>
      <w:pPr>
        <w:pStyle w:val="Western"/>
        <w:numPr>
          <w:ilvl w:val="0"/>
          <w:numId w:val="1"/>
        </w:numPr>
        <w:spacing w:before="280" w:after="0"/>
        <w:jc w:val="both"/>
        <w:rPr>
          <w:rFonts w:cs="Arial" w:ascii="Arial" w:hAnsi="Arial"/>
          <w:sz w:val="20"/>
          <w:szCs w:val="20"/>
        </w:rPr>
      </w:pPr>
      <w:r>
        <w:rPr>
          <w:rFonts w:cs="Arial" w:ascii="Arial" w:hAnsi="Arial"/>
          <w:sz w:val="20"/>
          <w:szCs w:val="20"/>
        </w:rPr>
        <w:t>6.1. O preço é fixo e irreajustável.</w:t>
      </w:r>
    </w:p>
    <w:p>
      <w:pPr>
        <w:pStyle w:val="Western"/>
        <w:numPr>
          <w:ilvl w:val="0"/>
          <w:numId w:val="1"/>
        </w:numPr>
        <w:spacing w:before="280" w:after="0"/>
        <w:jc w:val="both"/>
        <w:rPr>
          <w:rFonts w:cs="Arial" w:ascii="Arial" w:hAnsi="Arial"/>
          <w:sz w:val="20"/>
          <w:szCs w:val="20"/>
        </w:rPr>
      </w:pPr>
      <w:r>
        <w:rPr>
          <w:rFonts w:cs="Arial" w:ascii="Arial" w:hAnsi="Arial"/>
          <w:sz w:val="20"/>
          <w:szCs w:val="20"/>
        </w:rPr>
        <w:t>7. CLÁUSULA SÉTIMA – REGIME DE EXECUÇÃO DOS SERVIÇOS E FISCALIZAÇÃO</w:t>
      </w:r>
    </w:p>
    <w:p>
      <w:pPr>
        <w:pStyle w:val="Western"/>
        <w:numPr>
          <w:ilvl w:val="0"/>
          <w:numId w:val="1"/>
        </w:numPr>
        <w:spacing w:before="280" w:after="0"/>
        <w:jc w:val="both"/>
        <w:rPr>
          <w:rFonts w:cs="Arial" w:ascii="Arial" w:hAnsi="Arial"/>
          <w:sz w:val="20"/>
          <w:szCs w:val="20"/>
        </w:rPr>
      </w:pPr>
      <w:r>
        <w:rPr>
          <w:rFonts w:cs="Arial" w:ascii="Arial" w:hAnsi="Arial"/>
          <w:sz w:val="20"/>
          <w:szCs w:val="20"/>
        </w:rPr>
        <w:t>7.1. O regime de execução dos serviços a serem executados pela CONTRATADA, os materiais que serão empregados e a fiscalização pela CONTRATANTE são aqueles previstos no Termo de Referência, anexo do Edital.</w:t>
      </w:r>
    </w:p>
    <w:p>
      <w:pPr>
        <w:pStyle w:val="Western"/>
        <w:numPr>
          <w:ilvl w:val="0"/>
          <w:numId w:val="1"/>
        </w:numPr>
        <w:spacing w:before="280" w:after="0"/>
        <w:jc w:val="both"/>
        <w:rPr>
          <w:rFonts w:cs="Arial" w:ascii="Arial" w:hAnsi="Arial"/>
          <w:sz w:val="20"/>
          <w:szCs w:val="20"/>
        </w:rPr>
      </w:pPr>
      <w:r>
        <w:rPr>
          <w:rFonts w:cs="Arial" w:ascii="Arial" w:hAnsi="Arial"/>
          <w:sz w:val="20"/>
          <w:szCs w:val="20"/>
        </w:rPr>
        <w:t>8. CLÁUSULA OITAVA – OBRIGAÇÕES DA CONTRATANTE E DA CONTRATADA</w:t>
      </w:r>
    </w:p>
    <w:p>
      <w:pPr>
        <w:pStyle w:val="Western"/>
        <w:numPr>
          <w:ilvl w:val="0"/>
          <w:numId w:val="1"/>
        </w:numPr>
        <w:spacing w:before="280" w:after="0"/>
        <w:jc w:val="both"/>
        <w:rPr>
          <w:rFonts w:cs="Arial" w:ascii="Arial" w:hAnsi="Arial"/>
          <w:sz w:val="20"/>
          <w:szCs w:val="20"/>
        </w:rPr>
      </w:pPr>
      <w:r>
        <w:rPr>
          <w:rFonts w:cs="Arial" w:ascii="Arial" w:hAnsi="Arial"/>
          <w:sz w:val="20"/>
          <w:szCs w:val="20"/>
        </w:rPr>
        <w:t>8.1. As obrigações da CONTRATANTE e da CONTRATADA são aquelas previstas no Termo de Referência, anexo do Edital.</w:t>
      </w:r>
    </w:p>
    <w:p>
      <w:pPr>
        <w:pStyle w:val="Western"/>
        <w:numPr>
          <w:ilvl w:val="0"/>
          <w:numId w:val="1"/>
        </w:numPr>
        <w:spacing w:before="280" w:after="0"/>
        <w:jc w:val="both"/>
        <w:rPr>
          <w:rFonts w:cs="Arial" w:ascii="Arial" w:hAnsi="Arial"/>
          <w:sz w:val="20"/>
          <w:szCs w:val="20"/>
        </w:rPr>
      </w:pPr>
      <w:r>
        <w:rPr>
          <w:rFonts w:cs="Arial" w:ascii="Arial" w:hAnsi="Arial"/>
          <w:sz w:val="20"/>
          <w:szCs w:val="20"/>
        </w:rPr>
        <w:t>9. CLÁUSULA NONA– SANÇÕES ADMINISTRATIVAS.</w:t>
      </w:r>
    </w:p>
    <w:p>
      <w:pPr>
        <w:pStyle w:val="Western"/>
        <w:numPr>
          <w:ilvl w:val="0"/>
          <w:numId w:val="1"/>
        </w:numPr>
        <w:spacing w:before="280" w:after="0"/>
        <w:jc w:val="both"/>
        <w:rPr>
          <w:rFonts w:cs="Arial" w:ascii="Arial" w:hAnsi="Arial"/>
          <w:sz w:val="20"/>
          <w:szCs w:val="20"/>
        </w:rPr>
      </w:pPr>
      <w:r>
        <w:rPr>
          <w:rFonts w:cs="Arial" w:ascii="Arial" w:hAnsi="Arial"/>
          <w:sz w:val="20"/>
          <w:szCs w:val="20"/>
        </w:rPr>
        <w:t>9.1. As sanções relacionadas à execução do contrato são aquelas previstas no Termo de Referência, anexo do Edital.</w:t>
      </w:r>
    </w:p>
    <w:p>
      <w:pPr>
        <w:pStyle w:val="Western"/>
        <w:numPr>
          <w:ilvl w:val="0"/>
          <w:numId w:val="1"/>
        </w:numPr>
        <w:spacing w:before="280" w:after="0"/>
        <w:jc w:val="both"/>
        <w:rPr>
          <w:rFonts w:cs="Arial" w:ascii="Arial" w:hAnsi="Arial"/>
          <w:sz w:val="20"/>
          <w:szCs w:val="20"/>
        </w:rPr>
      </w:pPr>
      <w:r>
        <w:rPr>
          <w:rFonts w:cs="Arial" w:ascii="Arial" w:hAnsi="Arial"/>
          <w:sz w:val="20"/>
          <w:szCs w:val="20"/>
        </w:rPr>
        <w:t>10. CLÁUSULA DÉCIMA – RESCISÃO</w:t>
      </w:r>
    </w:p>
    <w:p>
      <w:pPr>
        <w:pStyle w:val="Western"/>
        <w:numPr>
          <w:ilvl w:val="0"/>
          <w:numId w:val="1"/>
        </w:numPr>
        <w:spacing w:before="280" w:after="0"/>
        <w:jc w:val="both"/>
        <w:rPr>
          <w:rFonts w:cs="Arial" w:ascii="Arial" w:hAnsi="Arial"/>
          <w:sz w:val="20"/>
          <w:szCs w:val="20"/>
        </w:rPr>
      </w:pPr>
      <w:r>
        <w:rPr>
          <w:rFonts w:cs="Arial" w:ascii="Arial" w:hAnsi="Arial"/>
          <w:sz w:val="20"/>
          <w:szCs w:val="20"/>
        </w:rPr>
        <w:t>10.1. O presente Termo de Contrato poderá ser rescindido nas hipóteses previstas no art. 78 da Lei nº 8.666, de 1993, com as consequências indicadas no art. 80 da mesma Lei, sem prejuízo da aplicação das sanções previstas no Termo de Referência, anexo do Edital.</w:t>
      </w:r>
    </w:p>
    <w:p>
      <w:pPr>
        <w:pStyle w:val="Western"/>
        <w:numPr>
          <w:ilvl w:val="0"/>
          <w:numId w:val="1"/>
        </w:numPr>
        <w:spacing w:before="280" w:after="0"/>
        <w:jc w:val="both"/>
        <w:rPr>
          <w:rFonts w:cs="Arial" w:ascii="Arial" w:hAnsi="Arial"/>
          <w:sz w:val="20"/>
          <w:szCs w:val="20"/>
        </w:rPr>
      </w:pPr>
      <w:r>
        <w:rPr>
          <w:rFonts w:cs="Arial" w:ascii="Arial" w:hAnsi="Arial"/>
          <w:sz w:val="20"/>
          <w:szCs w:val="20"/>
        </w:rPr>
        <w:t>10.2. Os casos de rescisão contratual serão formalmente motivados, assegurando-se à CONTRATADA o direito à prévia e ampla defesa.</w:t>
      </w:r>
    </w:p>
    <w:p>
      <w:pPr>
        <w:pStyle w:val="Western"/>
        <w:numPr>
          <w:ilvl w:val="0"/>
          <w:numId w:val="1"/>
        </w:numPr>
        <w:spacing w:before="280" w:after="0"/>
        <w:jc w:val="both"/>
        <w:rPr>
          <w:rFonts w:cs="Arial" w:ascii="Arial" w:hAnsi="Arial"/>
          <w:sz w:val="20"/>
          <w:szCs w:val="20"/>
        </w:rPr>
      </w:pPr>
      <w:r>
        <w:rPr>
          <w:rFonts w:cs="Arial" w:ascii="Arial" w:hAnsi="Arial"/>
          <w:sz w:val="20"/>
          <w:szCs w:val="20"/>
        </w:rPr>
        <w:t>10.3. A CONTRATADA reconhece os direitos da CONTRATANTE em caso de rescisão administrativa prevista no art. 77 da Lei nº 8.666, de 1993.</w:t>
      </w:r>
    </w:p>
    <w:p>
      <w:pPr>
        <w:pStyle w:val="Western"/>
        <w:numPr>
          <w:ilvl w:val="0"/>
          <w:numId w:val="1"/>
        </w:numPr>
        <w:spacing w:before="280" w:after="0"/>
        <w:jc w:val="both"/>
        <w:rPr>
          <w:rFonts w:cs="Arial" w:ascii="Arial" w:hAnsi="Arial"/>
          <w:sz w:val="20"/>
          <w:szCs w:val="20"/>
        </w:rPr>
      </w:pPr>
      <w:r>
        <w:rPr>
          <w:rFonts w:cs="Arial" w:ascii="Arial" w:hAnsi="Arial"/>
          <w:sz w:val="20"/>
          <w:szCs w:val="20"/>
        </w:rPr>
        <w:t>10.4. O termo de rescisão, sempre que possível, será precedido:</w:t>
      </w:r>
    </w:p>
    <w:p>
      <w:pPr>
        <w:pStyle w:val="Western"/>
        <w:numPr>
          <w:ilvl w:val="0"/>
          <w:numId w:val="1"/>
        </w:numPr>
        <w:spacing w:before="280" w:after="0"/>
        <w:jc w:val="both"/>
        <w:rPr>
          <w:rFonts w:cs="Arial" w:ascii="Arial" w:hAnsi="Arial"/>
          <w:sz w:val="20"/>
          <w:szCs w:val="20"/>
        </w:rPr>
      </w:pPr>
      <w:r>
        <w:rPr>
          <w:rFonts w:cs="Arial" w:ascii="Arial" w:hAnsi="Arial"/>
          <w:sz w:val="20"/>
          <w:szCs w:val="20"/>
        </w:rPr>
        <w:t>10.4.1. Balanço dos eventos contratuais já cumpridos ou parcialmente cumpridos;</w:t>
      </w:r>
    </w:p>
    <w:p>
      <w:pPr>
        <w:pStyle w:val="Western"/>
        <w:numPr>
          <w:ilvl w:val="0"/>
          <w:numId w:val="1"/>
        </w:numPr>
        <w:spacing w:before="280" w:after="0"/>
        <w:jc w:val="both"/>
        <w:rPr>
          <w:rFonts w:cs="Arial" w:ascii="Arial" w:hAnsi="Arial"/>
          <w:sz w:val="20"/>
          <w:szCs w:val="20"/>
        </w:rPr>
      </w:pPr>
      <w:r>
        <w:rPr>
          <w:rFonts w:cs="Arial" w:ascii="Arial" w:hAnsi="Arial"/>
          <w:sz w:val="20"/>
          <w:szCs w:val="20"/>
        </w:rPr>
        <w:t>10.4.2. Relação dos pagamentos já efetuados e ainda devidos;</w:t>
      </w:r>
    </w:p>
    <w:p>
      <w:pPr>
        <w:pStyle w:val="Western"/>
        <w:numPr>
          <w:ilvl w:val="0"/>
          <w:numId w:val="1"/>
        </w:numPr>
        <w:spacing w:before="280" w:after="0"/>
        <w:jc w:val="both"/>
        <w:rPr>
          <w:rFonts w:cs="Arial" w:ascii="Arial" w:hAnsi="Arial"/>
          <w:sz w:val="20"/>
          <w:szCs w:val="20"/>
        </w:rPr>
      </w:pPr>
      <w:r>
        <w:rPr>
          <w:rFonts w:cs="Arial" w:ascii="Arial" w:hAnsi="Arial"/>
          <w:sz w:val="20"/>
          <w:szCs w:val="20"/>
        </w:rPr>
        <w:t>10.4.3. Indenizações e multas.</w:t>
      </w:r>
    </w:p>
    <w:p>
      <w:pPr>
        <w:pStyle w:val="Western"/>
        <w:numPr>
          <w:ilvl w:val="0"/>
          <w:numId w:val="1"/>
        </w:numPr>
        <w:spacing w:before="280" w:after="0"/>
        <w:jc w:val="both"/>
        <w:rPr>
          <w:rFonts w:cs="Arial" w:ascii="Arial" w:hAnsi="Arial"/>
          <w:sz w:val="20"/>
          <w:szCs w:val="20"/>
        </w:rPr>
      </w:pPr>
      <w:r>
        <w:rPr>
          <w:rFonts w:cs="Arial" w:ascii="Arial" w:hAnsi="Arial"/>
          <w:sz w:val="20"/>
          <w:szCs w:val="20"/>
        </w:rPr>
        <w:t>11. CLÁUSULA DÉCIMA PRIMEIRA – VEDAÇÕES</w:t>
      </w:r>
    </w:p>
    <w:p>
      <w:pPr>
        <w:pStyle w:val="Western"/>
        <w:numPr>
          <w:ilvl w:val="0"/>
          <w:numId w:val="1"/>
        </w:numPr>
        <w:spacing w:before="280" w:after="0"/>
        <w:jc w:val="both"/>
        <w:rPr>
          <w:rFonts w:cs="Arial" w:ascii="Arial" w:hAnsi="Arial"/>
          <w:sz w:val="20"/>
          <w:szCs w:val="20"/>
        </w:rPr>
      </w:pPr>
      <w:r>
        <w:rPr>
          <w:rFonts w:cs="Arial" w:ascii="Arial" w:hAnsi="Arial"/>
          <w:sz w:val="20"/>
          <w:szCs w:val="20"/>
        </w:rPr>
        <w:t>11.1. É vedado à CONTRATADA:</w:t>
      </w:r>
    </w:p>
    <w:p>
      <w:pPr>
        <w:pStyle w:val="Western"/>
        <w:numPr>
          <w:ilvl w:val="0"/>
          <w:numId w:val="1"/>
        </w:numPr>
        <w:spacing w:before="280" w:after="0"/>
        <w:jc w:val="both"/>
        <w:rPr>
          <w:rFonts w:cs="Arial" w:ascii="Arial" w:hAnsi="Arial"/>
          <w:sz w:val="20"/>
          <w:szCs w:val="20"/>
        </w:rPr>
      </w:pPr>
      <w:r>
        <w:rPr>
          <w:rFonts w:cs="Arial" w:ascii="Arial" w:hAnsi="Arial"/>
          <w:sz w:val="20"/>
          <w:szCs w:val="20"/>
        </w:rPr>
        <w:t>11.1.1. Caucionar ou utilizar este Termo de Contrato para qualquer operação financeira;</w:t>
      </w:r>
    </w:p>
    <w:p>
      <w:pPr>
        <w:pStyle w:val="Western"/>
        <w:numPr>
          <w:ilvl w:val="0"/>
          <w:numId w:val="1"/>
        </w:numPr>
        <w:spacing w:before="280" w:after="0"/>
        <w:jc w:val="both"/>
        <w:rPr>
          <w:rFonts w:cs="Arial" w:ascii="Arial" w:hAnsi="Arial"/>
          <w:sz w:val="20"/>
          <w:szCs w:val="20"/>
        </w:rPr>
      </w:pPr>
      <w:r>
        <w:rPr>
          <w:rFonts w:cs="Arial" w:ascii="Arial" w:hAnsi="Arial"/>
          <w:sz w:val="20"/>
          <w:szCs w:val="20"/>
        </w:rPr>
        <w:t>11.1.2. Interromper a execução dos serviços sob alegação de inadimplemento por parte da CONTRATANTE, salvo nos casos previstos em lei.</w:t>
      </w:r>
    </w:p>
    <w:p>
      <w:pPr>
        <w:pStyle w:val="Western"/>
        <w:numPr>
          <w:ilvl w:val="0"/>
          <w:numId w:val="1"/>
        </w:numPr>
        <w:spacing w:before="280" w:after="0"/>
        <w:jc w:val="both"/>
        <w:rPr>
          <w:rFonts w:cs="Arial" w:ascii="Arial" w:hAnsi="Arial"/>
          <w:sz w:val="20"/>
          <w:szCs w:val="20"/>
        </w:rPr>
      </w:pPr>
      <w:r>
        <w:rPr>
          <w:rFonts w:cs="Arial" w:ascii="Arial" w:hAnsi="Arial"/>
          <w:sz w:val="20"/>
          <w:szCs w:val="20"/>
        </w:rPr>
        <w:t>12. CLÁUSULA DÉCIMA SEGUNDA – ALTERAÇÕES</w:t>
      </w:r>
    </w:p>
    <w:p>
      <w:pPr>
        <w:pStyle w:val="Western"/>
        <w:numPr>
          <w:ilvl w:val="0"/>
          <w:numId w:val="1"/>
        </w:numPr>
        <w:spacing w:before="280" w:after="0"/>
        <w:jc w:val="both"/>
        <w:rPr>
          <w:rFonts w:cs="Arial" w:ascii="Arial" w:hAnsi="Arial"/>
          <w:sz w:val="20"/>
          <w:szCs w:val="20"/>
        </w:rPr>
      </w:pPr>
      <w:r>
        <w:rPr>
          <w:rFonts w:cs="Arial" w:ascii="Arial" w:hAnsi="Arial"/>
          <w:sz w:val="20"/>
          <w:szCs w:val="20"/>
        </w:rPr>
        <w:t>12.1. Eventuais alterações contratuais reger-se-ão pela disciplina do art. 65 da Lei nº 8.666, de 1993, bem como do ANEXO X da IN nº 05, de 2017.</w:t>
      </w:r>
    </w:p>
    <w:p>
      <w:pPr>
        <w:pStyle w:val="Western"/>
        <w:numPr>
          <w:ilvl w:val="0"/>
          <w:numId w:val="1"/>
        </w:numPr>
        <w:spacing w:before="280" w:after="0"/>
        <w:jc w:val="both"/>
        <w:rPr>
          <w:rFonts w:cs="Arial" w:ascii="Arial" w:hAnsi="Arial"/>
          <w:sz w:val="20"/>
          <w:szCs w:val="20"/>
        </w:rPr>
      </w:pPr>
      <w:r>
        <w:rPr>
          <w:rFonts w:cs="Arial" w:ascii="Arial" w:hAnsi="Arial"/>
          <w:sz w:val="20"/>
          <w:szCs w:val="20"/>
        </w:rPr>
        <w:t>13. CLÁUSULA DÉCIMA TERCEIRA– DOS CASOS OMISSOS</w:t>
      </w:r>
    </w:p>
    <w:p>
      <w:pPr>
        <w:pStyle w:val="Western"/>
        <w:numPr>
          <w:ilvl w:val="0"/>
          <w:numId w:val="1"/>
        </w:numPr>
        <w:spacing w:before="280" w:after="0"/>
        <w:jc w:val="both"/>
        <w:rPr>
          <w:rFonts w:cs="Arial" w:ascii="Arial" w:hAnsi="Arial"/>
          <w:sz w:val="20"/>
          <w:szCs w:val="20"/>
        </w:rPr>
      </w:pPr>
      <w:r>
        <w:rPr>
          <w:rFonts w:cs="Arial" w:ascii="Arial" w:hAnsi="Arial"/>
          <w:sz w:val="20"/>
          <w:szCs w:val="20"/>
        </w:rPr>
        <w:t>13.1. Os casos omissos serão decididos pela CONTRATANTE, segundo as disposições contidas na Lei nº 8.666, de 1993, na Lei nº 10.520, de 2002 e demais normas federais aplicáveis e, subsidiariamente, segundo as disposições contidas na Lei nº 8.078, de 1990 – Código de Defesa do Consumidor – e normas e princípios gerais dos contratos.</w:t>
      </w:r>
    </w:p>
    <w:p>
      <w:pPr>
        <w:pStyle w:val="Western"/>
        <w:numPr>
          <w:ilvl w:val="0"/>
          <w:numId w:val="1"/>
        </w:numPr>
        <w:spacing w:before="280" w:after="0"/>
        <w:jc w:val="both"/>
        <w:rPr>
          <w:rFonts w:cs="Arial" w:ascii="Arial" w:hAnsi="Arial"/>
          <w:sz w:val="20"/>
          <w:szCs w:val="20"/>
        </w:rPr>
      </w:pPr>
      <w:r>
        <w:rPr>
          <w:rFonts w:cs="Arial" w:ascii="Arial" w:hAnsi="Arial"/>
          <w:sz w:val="20"/>
          <w:szCs w:val="20"/>
        </w:rPr>
      </w:r>
    </w:p>
    <w:p>
      <w:pPr>
        <w:pStyle w:val="Western"/>
        <w:numPr>
          <w:ilvl w:val="0"/>
          <w:numId w:val="1"/>
        </w:numPr>
        <w:spacing w:before="280" w:after="0"/>
        <w:jc w:val="both"/>
        <w:rPr>
          <w:rFonts w:ascii="Arial" w:hAnsi="Arial"/>
          <w:sz w:val="20"/>
          <w:szCs w:val="20"/>
        </w:rPr>
      </w:pPr>
      <w:r>
        <w:rPr>
          <w:rFonts w:ascii="Arial" w:hAnsi="Arial"/>
          <w:sz w:val="20"/>
          <w:szCs w:val="20"/>
        </w:rPr>
      </w:r>
    </w:p>
    <w:p>
      <w:pPr>
        <w:pStyle w:val="Western"/>
        <w:numPr>
          <w:ilvl w:val="0"/>
          <w:numId w:val="1"/>
        </w:numPr>
        <w:spacing w:before="280" w:after="0"/>
        <w:jc w:val="both"/>
        <w:rPr>
          <w:rFonts w:cs="Arial" w:ascii="Arial" w:hAnsi="Arial"/>
          <w:sz w:val="20"/>
          <w:szCs w:val="20"/>
        </w:rPr>
      </w:pPr>
      <w:r>
        <w:rPr>
          <w:rFonts w:cs="Arial" w:ascii="Arial" w:hAnsi="Arial"/>
          <w:sz w:val="20"/>
          <w:szCs w:val="20"/>
        </w:rPr>
        <w:t>14. CLÁUSULA DÉCIMA QUARTA – PUBLICAÇÃO</w:t>
      </w:r>
    </w:p>
    <w:p>
      <w:pPr>
        <w:pStyle w:val="Western"/>
        <w:numPr>
          <w:ilvl w:val="0"/>
          <w:numId w:val="1"/>
        </w:numPr>
        <w:spacing w:before="280" w:after="0"/>
        <w:jc w:val="both"/>
        <w:rPr>
          <w:rFonts w:cs="Arial" w:ascii="Arial" w:hAnsi="Arial"/>
          <w:sz w:val="20"/>
          <w:szCs w:val="20"/>
        </w:rPr>
      </w:pPr>
      <w:r>
        <w:rPr>
          <w:rFonts w:cs="Arial" w:ascii="Arial" w:hAnsi="Arial"/>
          <w:sz w:val="20"/>
          <w:szCs w:val="20"/>
        </w:rPr>
        <w:t>14.1. Incumbirá à CONTRATANTE providenciar a publicação deste instrumento, por extrato, no Diário Oficial da União, no prazo previsto na Lei nº 8.666, de 1993.</w:t>
      </w:r>
    </w:p>
    <w:p>
      <w:pPr>
        <w:pStyle w:val="Western"/>
        <w:numPr>
          <w:ilvl w:val="0"/>
          <w:numId w:val="1"/>
        </w:numPr>
        <w:spacing w:before="280" w:after="0"/>
        <w:jc w:val="both"/>
        <w:rPr>
          <w:rFonts w:cs="Arial" w:ascii="Arial" w:hAnsi="Arial"/>
          <w:sz w:val="20"/>
          <w:szCs w:val="20"/>
        </w:rPr>
      </w:pPr>
      <w:r>
        <w:rPr>
          <w:rFonts w:cs="Arial" w:ascii="Arial" w:hAnsi="Arial"/>
          <w:sz w:val="20"/>
          <w:szCs w:val="20"/>
        </w:rPr>
        <w:t>15. CLÁUSULA DÉCIMA QUINTA– FORO</w:t>
      </w:r>
    </w:p>
    <w:p>
      <w:pPr>
        <w:pStyle w:val="Western"/>
        <w:numPr>
          <w:ilvl w:val="0"/>
          <w:numId w:val="1"/>
        </w:numPr>
        <w:jc w:val="both"/>
        <w:rPr>
          <w:rFonts w:cs="Arial" w:ascii="Arial" w:hAnsi="Arial"/>
          <w:sz w:val="20"/>
          <w:szCs w:val="20"/>
        </w:rPr>
      </w:pPr>
      <w:r>
        <w:rPr>
          <w:rFonts w:cs="Arial" w:ascii="Arial" w:hAnsi="Arial"/>
          <w:sz w:val="20"/>
          <w:szCs w:val="20"/>
        </w:rPr>
        <w:t>15.1. Fica eleito o foro da Justiça Federal – Seção Judiciária de Minas Gerais na cidade de Belo Horizonte - MG, como competente para dirimir quaisquer questões oriundas do presente contrato, com exclusão de qualquer outro, por mais privilegiado que seja.</w:t>
      </w:r>
    </w:p>
    <w:p>
      <w:pPr>
        <w:pStyle w:val="Western"/>
        <w:numPr>
          <w:ilvl w:val="0"/>
          <w:numId w:val="1"/>
        </w:numPr>
        <w:jc w:val="both"/>
        <w:rPr>
          <w:rFonts w:cs="Arial" w:ascii="Arial" w:hAnsi="Arial"/>
          <w:sz w:val="20"/>
          <w:szCs w:val="20"/>
        </w:rPr>
      </w:pPr>
      <w:r>
        <w:rPr>
          <w:rFonts w:cs="Arial" w:ascii="Arial" w:hAnsi="Arial"/>
          <w:sz w:val="20"/>
          <w:szCs w:val="20"/>
        </w:rPr>
        <w:t xml:space="preserve">E, por estarem ajustadas e acordadas, as partes assinam o presente termo em três vias de igual teor e forma para um só efeito legal. </w:t>
      </w:r>
    </w:p>
    <w:p>
      <w:pPr>
        <w:pStyle w:val="Western"/>
        <w:numPr>
          <w:ilvl w:val="0"/>
          <w:numId w:val="1"/>
        </w:numPr>
        <w:jc w:val="both"/>
        <w:rPr>
          <w:rFonts w:cs="Arial" w:ascii="Arial" w:hAnsi="Arial"/>
          <w:sz w:val="20"/>
          <w:szCs w:val="20"/>
        </w:rPr>
      </w:pPr>
      <w:r>
        <w:rPr>
          <w:rFonts w:cs="Arial" w:ascii="Arial" w:hAnsi="Arial"/>
          <w:sz w:val="20"/>
          <w:szCs w:val="20"/>
        </w:rPr>
      </w:r>
    </w:p>
    <w:p>
      <w:pPr>
        <w:pStyle w:val="Western"/>
        <w:numPr>
          <w:ilvl w:val="0"/>
          <w:numId w:val="1"/>
        </w:numPr>
        <w:jc w:val="both"/>
        <w:rPr>
          <w:rFonts w:cs="Arial" w:ascii="Arial" w:hAnsi="Arial"/>
          <w:sz w:val="20"/>
          <w:szCs w:val="20"/>
        </w:rPr>
      </w:pPr>
      <w:r>
        <w:rPr>
          <w:rFonts w:cs="Arial" w:ascii="Arial" w:hAnsi="Arial"/>
          <w:sz w:val="20"/>
          <w:szCs w:val="20"/>
        </w:rPr>
        <w:t>Diamantina, _____ de ________________ de 20__.</w:t>
      </w:r>
    </w:p>
    <w:p>
      <w:pPr>
        <w:pStyle w:val="Western"/>
        <w:numPr>
          <w:ilvl w:val="0"/>
          <w:numId w:val="1"/>
        </w:numPr>
        <w:jc w:val="both"/>
        <w:rPr>
          <w:rFonts w:cs="Arial" w:ascii="Arial" w:hAnsi="Arial"/>
          <w:sz w:val="20"/>
          <w:szCs w:val="20"/>
        </w:rPr>
      </w:pPr>
      <w:r>
        <w:rPr>
          <w:rFonts w:cs="Arial" w:ascii="Arial" w:hAnsi="Arial"/>
          <w:sz w:val="20"/>
          <w:szCs w:val="20"/>
        </w:rPr>
      </w:r>
    </w:p>
    <w:p>
      <w:pPr>
        <w:pStyle w:val="Western"/>
        <w:numPr>
          <w:ilvl w:val="0"/>
          <w:numId w:val="1"/>
        </w:numPr>
        <w:jc w:val="both"/>
        <w:rPr>
          <w:rFonts w:cs="Arial" w:ascii="Arial" w:hAnsi="Arial"/>
          <w:sz w:val="20"/>
          <w:szCs w:val="20"/>
        </w:rPr>
      </w:pPr>
      <w:r>
        <w:rPr>
          <w:rFonts w:cs="Arial" w:ascii="Arial" w:hAnsi="Arial"/>
          <w:sz w:val="20"/>
          <w:szCs w:val="20"/>
        </w:rPr>
      </w:r>
    </w:p>
    <w:p>
      <w:pPr>
        <w:pStyle w:val="Western"/>
        <w:numPr>
          <w:ilvl w:val="0"/>
          <w:numId w:val="1"/>
        </w:numPr>
        <w:jc w:val="both"/>
        <w:rPr>
          <w:rFonts w:cs="Arial" w:ascii="Arial" w:hAnsi="Arial"/>
          <w:sz w:val="20"/>
          <w:szCs w:val="20"/>
        </w:rPr>
      </w:pPr>
      <w:r>
        <w:rPr>
          <w:rFonts w:cs="Arial" w:ascii="Arial" w:hAnsi="Arial"/>
          <w:sz w:val="20"/>
          <w:szCs w:val="20"/>
        </w:rPr>
        <w:t>UFVJM</w:t>
      </w:r>
    </w:p>
    <w:p>
      <w:pPr>
        <w:pStyle w:val="Western"/>
        <w:numPr>
          <w:ilvl w:val="0"/>
          <w:numId w:val="1"/>
        </w:numPr>
        <w:jc w:val="both"/>
        <w:rPr>
          <w:rFonts w:cs="Arial" w:ascii="Arial" w:hAnsi="Arial"/>
          <w:sz w:val="20"/>
          <w:szCs w:val="20"/>
        </w:rPr>
      </w:pPr>
      <w:r>
        <w:rPr>
          <w:rFonts w:cs="Arial" w:ascii="Arial" w:hAnsi="Arial"/>
          <w:sz w:val="20"/>
          <w:szCs w:val="20"/>
        </w:rPr>
        <w:t>CESSIONÁRIA</w:t>
      </w:r>
    </w:p>
    <w:p>
      <w:pPr>
        <w:pStyle w:val="Western"/>
        <w:numPr>
          <w:ilvl w:val="0"/>
          <w:numId w:val="1"/>
        </w:numPr>
        <w:spacing w:before="280" w:after="0"/>
        <w:jc w:val="both"/>
        <w:rPr>
          <w:rFonts w:cs="Arial" w:ascii="Arial" w:hAnsi="Arial"/>
          <w:sz w:val="20"/>
          <w:szCs w:val="20"/>
        </w:rPr>
      </w:pPr>
      <w:r>
        <w:rPr>
          <w:rFonts w:cs="Arial" w:ascii="Arial" w:hAnsi="Arial"/>
          <w:sz w:val="20"/>
          <w:szCs w:val="20"/>
        </w:rPr>
        <w:t>TESTEMUNHAS</w:t>
      </w:r>
    </w:p>
    <w:p>
      <w:pPr>
        <w:pStyle w:val="Normal"/>
        <w:numPr>
          <w:ilvl w:val="0"/>
          <w:numId w:val="1"/>
        </w:numPr>
        <w:spacing w:lineRule="auto" w:line="276" w:before="120" w:after="120"/>
        <w:ind w:left="999" w:right="0" w:hanging="360"/>
        <w:jc w:val="both"/>
        <w:rPr>
          <w:rFonts w:cs="Arial"/>
          <w:szCs w:val="20"/>
        </w:rPr>
      </w:pPr>
      <w:r>
        <w:rPr>
          <w:rFonts w:cs="Arial"/>
          <w:szCs w:val="20"/>
        </w:rPr>
      </w:r>
    </w:p>
    <w:p>
      <w:pPr>
        <w:pStyle w:val="Normal"/>
        <w:numPr>
          <w:ilvl w:val="0"/>
          <w:numId w:val="1"/>
        </w:numPr>
        <w:spacing w:lineRule="auto" w:line="276" w:before="120" w:after="120"/>
        <w:ind w:left="999" w:right="0" w:hanging="360"/>
        <w:jc w:val="both"/>
        <w:rPr>
          <w:rFonts w:cs="Arial"/>
          <w:szCs w:val="20"/>
        </w:rPr>
      </w:pPr>
      <w:r>
        <w:rPr>
          <w:rFonts w:cs="Arial"/>
          <w:szCs w:val="20"/>
        </w:rPr>
      </w:r>
    </w:p>
    <w:p>
      <w:pPr>
        <w:pStyle w:val="Normal"/>
        <w:numPr>
          <w:ilvl w:val="0"/>
          <w:numId w:val="1"/>
        </w:numPr>
        <w:spacing w:lineRule="auto" w:line="276" w:before="120" w:after="120"/>
        <w:ind w:left="999" w:right="0" w:hanging="360"/>
        <w:jc w:val="both"/>
        <w:rPr>
          <w:rFonts w:cs="Arial"/>
          <w:szCs w:val="20"/>
        </w:rPr>
      </w:pPr>
      <w:r>
        <w:rPr>
          <w:rFonts w:cs="Arial"/>
          <w:szCs w:val="20"/>
        </w:rPr>
      </w:r>
    </w:p>
    <w:p>
      <w:pPr>
        <w:pStyle w:val="Normal"/>
        <w:numPr>
          <w:ilvl w:val="0"/>
          <w:numId w:val="1"/>
        </w:numPr>
        <w:spacing w:lineRule="auto" w:line="276" w:before="120" w:after="120"/>
        <w:ind w:left="999" w:right="0" w:hanging="360"/>
        <w:jc w:val="both"/>
        <w:rPr>
          <w:rFonts w:cs="Arial"/>
          <w:szCs w:val="20"/>
        </w:rPr>
      </w:pPr>
      <w:r>
        <w:rPr>
          <w:rFonts w:cs="Arial"/>
          <w:szCs w:val="20"/>
        </w:rPr>
      </w:r>
    </w:p>
    <w:p>
      <w:pPr>
        <w:pStyle w:val="Normal"/>
        <w:numPr>
          <w:ilvl w:val="0"/>
          <w:numId w:val="1"/>
        </w:numPr>
        <w:spacing w:lineRule="auto" w:line="276" w:before="120" w:after="120"/>
        <w:ind w:left="999" w:right="0" w:hanging="360"/>
        <w:jc w:val="both"/>
        <w:rPr>
          <w:rFonts w:cs="Arial"/>
          <w:szCs w:val="20"/>
        </w:rPr>
      </w:pPr>
      <w:r>
        <w:rPr>
          <w:rFonts w:cs="Arial"/>
          <w:szCs w:val="20"/>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numPr>
          <w:ilvl w:val="0"/>
          <w:numId w:val="1"/>
        </w:numPr>
        <w:jc w:val="center"/>
        <w:rPr>
          <w:rFonts w:cs="Arial"/>
          <w:b/>
          <w:bCs/>
          <w:color w:val="000000"/>
          <w:szCs w:val="20"/>
          <w:highlight w:val="yellow"/>
        </w:rPr>
      </w:pPr>
      <w:r>
        <w:rPr>
          <w:rFonts w:cs="Arial"/>
          <w:b/>
          <w:bCs/>
          <w:color w:val="000000"/>
          <w:szCs w:val="20"/>
          <w:highlight w:val="yellow"/>
        </w:rPr>
      </w:r>
    </w:p>
    <w:p>
      <w:pPr>
        <w:pStyle w:val="Normal"/>
        <w:jc w:val="center"/>
        <w:rPr/>
      </w:pPr>
      <w:r>
        <w:rPr/>
      </w:r>
    </w:p>
    <w:p>
      <w:pPr>
        <w:pStyle w:val="Normal"/>
        <w:pageBreakBefore/>
        <w:numPr>
          <w:ilvl w:val="0"/>
          <w:numId w:val="1"/>
        </w:numPr>
        <w:jc w:val="center"/>
        <w:rPr>
          <w:rFonts w:cs="Arial"/>
          <w:b/>
          <w:bCs/>
          <w:color w:val="000000"/>
          <w:szCs w:val="20"/>
          <w:highlight w:val="yellow"/>
        </w:rPr>
      </w:pPr>
      <w:r>
        <w:rPr>
          <w:rFonts w:cs="Arial"/>
          <w:b/>
          <w:bCs/>
          <w:color w:val="000000"/>
          <w:szCs w:val="20"/>
          <w:highlight w:val="yellow"/>
        </w:rPr>
        <w:t>ANEXO III AO EDITAL PREGÃO 039/2018</w:t>
      </w:r>
    </w:p>
    <w:p>
      <w:pPr>
        <w:pStyle w:val="Normal"/>
        <w:numPr>
          <w:ilvl w:val="0"/>
          <w:numId w:val="1"/>
        </w:numPr>
        <w:jc w:val="center"/>
        <w:rPr>
          <w:rFonts w:cs="Times New Roman"/>
          <w:color w:val="000000"/>
          <w:szCs w:val="20"/>
        </w:rPr>
      </w:pPr>
      <w:r>
        <w:rPr>
          <w:rFonts w:cs="Times New Roman"/>
          <w:color w:val="000000"/>
          <w:szCs w:val="20"/>
        </w:rPr>
      </w:r>
    </w:p>
    <w:p>
      <w:pPr>
        <w:pStyle w:val="Normal"/>
        <w:numPr>
          <w:ilvl w:val="0"/>
          <w:numId w:val="1"/>
        </w:numPr>
        <w:jc w:val="center"/>
        <w:rPr>
          <w:rFonts w:cs="Arial"/>
          <w:b/>
          <w:bCs/>
          <w:i/>
          <w:iCs/>
          <w:color w:val="000000"/>
          <w:szCs w:val="20"/>
        </w:rPr>
      </w:pPr>
      <w:r>
        <w:rPr>
          <w:rFonts w:cs="Arial"/>
          <w:b/>
          <w:bCs/>
          <w:i/>
          <w:iCs/>
          <w:color w:val="000000"/>
          <w:szCs w:val="20"/>
        </w:rPr>
        <w:t>MODELO DE PROPOSTA DE PREÇOS</w:t>
      </w:r>
    </w:p>
    <w:p>
      <w:pPr>
        <w:pStyle w:val="Normal"/>
        <w:numPr>
          <w:ilvl w:val="0"/>
          <w:numId w:val="1"/>
        </w:numPr>
        <w:jc w:val="center"/>
        <w:rPr>
          <w:rFonts w:cs="Times New Roman"/>
          <w:color w:val="000000"/>
          <w:szCs w:val="20"/>
          <w:lang w:val="pt-PT"/>
        </w:rPr>
      </w:pPr>
      <w:r>
        <w:rPr>
          <w:rFonts w:cs="Times New Roman"/>
          <w:color w:val="000000"/>
          <w:szCs w:val="20"/>
          <w:lang w:val="pt-PT"/>
        </w:rPr>
      </w:r>
    </w:p>
    <w:p>
      <w:pPr>
        <w:pStyle w:val="Normal"/>
        <w:numPr>
          <w:ilvl w:val="0"/>
          <w:numId w:val="1"/>
        </w:numPr>
        <w:ind w:left="502" w:right="-6" w:hanging="360"/>
        <w:jc w:val="center"/>
        <w:rPr>
          <w:rFonts w:cs="Arial"/>
          <w:b/>
          <w:bCs/>
          <w:color w:val="000000"/>
          <w:szCs w:val="20"/>
        </w:rPr>
      </w:pPr>
      <w:r>
        <w:rPr>
          <w:rFonts w:cs="Arial"/>
          <w:b/>
          <w:bCs/>
          <w:color w:val="000000"/>
          <w:szCs w:val="20"/>
        </w:rPr>
        <w:t>PROPOSTA DE PREÇOS COM DESCRIÇÃO DOS SERVIÇOS</w:t>
      </w:r>
    </w:p>
    <w:p>
      <w:pPr>
        <w:pStyle w:val="Normal"/>
        <w:numPr>
          <w:ilvl w:val="0"/>
          <w:numId w:val="1"/>
        </w:numPr>
        <w:ind w:left="502" w:right="-6" w:hanging="360"/>
        <w:rPr>
          <w:rFonts w:cs="Arial"/>
          <w:b/>
          <w:bCs/>
          <w:color w:val="000000"/>
          <w:szCs w:val="20"/>
        </w:rPr>
      </w:pPr>
      <w:r>
        <w:rPr>
          <w:rFonts w:cs="Arial"/>
          <w:b/>
          <w:bCs/>
          <w:color w:val="000000"/>
          <w:szCs w:val="20"/>
        </w:rPr>
        <w:t>A</w:t>
      </w:r>
    </w:p>
    <w:p>
      <w:pPr>
        <w:pStyle w:val="Normal"/>
        <w:numPr>
          <w:ilvl w:val="0"/>
          <w:numId w:val="1"/>
        </w:numPr>
        <w:ind w:left="502" w:right="-6" w:hanging="360"/>
        <w:rPr>
          <w:rFonts w:cs="Arial"/>
          <w:b/>
          <w:bCs/>
          <w:color w:val="000000"/>
          <w:szCs w:val="20"/>
        </w:rPr>
      </w:pPr>
      <w:r>
        <w:rPr>
          <w:rFonts w:cs="Arial"/>
          <w:b/>
          <w:bCs/>
          <w:color w:val="000000"/>
          <w:szCs w:val="20"/>
        </w:rPr>
        <w:t xml:space="preserve">DIVISÃO DE LICITAÇÕES </w:t>
      </w:r>
    </w:p>
    <w:p>
      <w:pPr>
        <w:pStyle w:val="Normal"/>
        <w:numPr>
          <w:ilvl w:val="0"/>
          <w:numId w:val="1"/>
        </w:numPr>
        <w:ind w:left="502" w:right="-6" w:hanging="360"/>
        <w:rPr>
          <w:rFonts w:cs="Arial"/>
          <w:b/>
          <w:bCs/>
          <w:color w:val="000000"/>
          <w:szCs w:val="20"/>
        </w:rPr>
      </w:pPr>
      <w:r>
        <w:rPr>
          <w:rFonts w:cs="Arial"/>
          <w:b/>
          <w:bCs/>
          <w:color w:val="000000"/>
          <w:szCs w:val="20"/>
        </w:rPr>
        <w:t>UNIVERSIDADE FEDERAL DOS VALES DO JEQUITINHONHA E MUCURI - UFVJM</w:t>
      </w:r>
    </w:p>
    <w:p>
      <w:pPr>
        <w:pStyle w:val="Normal"/>
        <w:numPr>
          <w:ilvl w:val="0"/>
          <w:numId w:val="1"/>
        </w:numPr>
        <w:ind w:left="502" w:right="-6" w:hanging="360"/>
        <w:rPr>
          <w:rFonts w:cs="Times New Roman"/>
          <w:color w:val="000000"/>
          <w:szCs w:val="20"/>
        </w:rPr>
      </w:pPr>
      <w:r>
        <w:rPr>
          <w:rFonts w:cs="Times New Roman"/>
          <w:color w:val="000000"/>
          <w:szCs w:val="20"/>
        </w:rPr>
      </w:r>
    </w:p>
    <w:p>
      <w:pPr>
        <w:pStyle w:val="Normal"/>
        <w:numPr>
          <w:ilvl w:val="0"/>
          <w:numId w:val="1"/>
        </w:numPr>
        <w:ind w:left="502" w:right="-6" w:hanging="360"/>
        <w:rPr>
          <w:rFonts w:cs="Arial"/>
          <w:b/>
          <w:bCs/>
          <w:color w:val="000000"/>
          <w:szCs w:val="20"/>
        </w:rPr>
      </w:pPr>
      <w:r>
        <w:rPr>
          <w:rFonts w:cs="Arial"/>
          <w:color w:val="000000"/>
          <w:szCs w:val="20"/>
        </w:rPr>
        <w:t xml:space="preserve">REF: PREGÃO ELETRÔNICO Nº </w:t>
      </w:r>
      <w:r>
        <w:rPr>
          <w:rFonts w:cs="Arial"/>
          <w:b/>
          <w:bCs/>
          <w:color w:val="000000"/>
          <w:szCs w:val="20"/>
        </w:rPr>
        <w:t>039/2018</w:t>
      </w:r>
    </w:p>
    <w:p>
      <w:pPr>
        <w:pStyle w:val="Normal"/>
        <w:numPr>
          <w:ilvl w:val="0"/>
          <w:numId w:val="1"/>
        </w:numPr>
        <w:rPr>
          <w:rFonts w:cs="Times New Roman"/>
          <w:color w:val="000000"/>
          <w:szCs w:val="20"/>
          <w:lang w:val="pt-PT"/>
        </w:rPr>
      </w:pPr>
      <w:r>
        <w:rPr>
          <w:rFonts w:cs="Times New Roman"/>
          <w:color w:val="000000"/>
          <w:szCs w:val="20"/>
          <w:lang w:val="pt-PT"/>
        </w:rPr>
      </w:r>
    </w:p>
    <w:p>
      <w:pPr>
        <w:pStyle w:val="Normal"/>
        <w:numPr>
          <w:ilvl w:val="0"/>
          <w:numId w:val="1"/>
        </w:numPr>
        <w:ind w:left="502" w:right="-6" w:hanging="360"/>
        <w:rPr>
          <w:rFonts w:cs="Arial"/>
          <w:color w:val="000000"/>
          <w:szCs w:val="20"/>
        </w:rPr>
      </w:pPr>
      <w:r>
        <w:rPr>
          <w:rFonts w:cs="Arial"/>
          <w:color w:val="000000"/>
          <w:szCs w:val="20"/>
        </w:rPr>
        <w:t>Prezados Senhores,</w:t>
      </w:r>
    </w:p>
    <w:p>
      <w:pPr>
        <w:pStyle w:val="Normal"/>
        <w:numPr>
          <w:ilvl w:val="0"/>
          <w:numId w:val="1"/>
        </w:numPr>
        <w:ind w:left="502" w:right="-6" w:hanging="360"/>
        <w:rPr>
          <w:rFonts w:cs="Arial"/>
          <w:color w:val="000000"/>
          <w:szCs w:val="20"/>
        </w:rPr>
      </w:pPr>
      <w:r>
        <w:rPr>
          <w:rFonts w:cs="Arial"/>
          <w:color w:val="000000"/>
          <w:szCs w:val="20"/>
        </w:rPr>
        <w:t>Estamos cotando os serviços dos itens a seguir relacionados, com vista ao seu fornecimento a essa Universidade, de acordo com o disposto na Lei no. 8.666, de 21 de junho de 1993.</w:t>
      </w:r>
    </w:p>
    <w:p>
      <w:pPr>
        <w:pStyle w:val="Normal"/>
        <w:numPr>
          <w:ilvl w:val="0"/>
          <w:numId w:val="1"/>
        </w:numPr>
        <w:rPr>
          <w:rFonts w:cs="Times New Roman"/>
          <w:color w:val="000000"/>
          <w:szCs w:val="20"/>
        </w:rPr>
      </w:pPr>
      <w:r>
        <w:rPr>
          <w:rFonts w:cs="Times New Roman"/>
          <w:color w:val="000000"/>
          <w:szCs w:val="20"/>
        </w:rPr>
      </w:r>
    </w:p>
    <w:tbl>
      <w:tblPr>
        <w:jc w:val="left"/>
        <w:tblInd w:w="-39" w:type="dxa"/>
        <w:tblBorders>
          <w:top w:val="single" w:sz="6" w:space="0" w:color="000001"/>
          <w:left w:val="single" w:sz="6" w:space="0" w:color="000001"/>
          <w:bottom w:val="single" w:sz="6" w:space="0" w:color="000001"/>
          <w:insideH w:val="single" w:sz="6" w:space="0" w:color="000001"/>
          <w:right w:val="single" w:sz="6" w:space="0" w:color="000001"/>
          <w:insideV w:val="single" w:sz="6" w:space="0" w:color="000001"/>
        </w:tblBorders>
        <w:tblCellMar>
          <w:top w:w="0" w:type="dxa"/>
          <w:left w:w="52" w:type="dxa"/>
          <w:bottom w:w="0" w:type="dxa"/>
          <w:right w:w="108" w:type="dxa"/>
        </w:tblCellMar>
      </w:tblPr>
      <w:tblGrid>
        <w:gridCol w:w="2722"/>
        <w:gridCol w:w="1238"/>
        <w:gridCol w:w="136"/>
        <w:gridCol w:w="112"/>
        <w:gridCol w:w="185"/>
        <w:gridCol w:w="1076"/>
        <w:gridCol w:w="601"/>
        <w:gridCol w:w="2689"/>
      </w:tblGrid>
      <w:tr>
        <w:trPr>
          <w:cantSplit w:val="false"/>
        </w:trPr>
        <w:tc>
          <w:tcPr>
            <w:tcW w:w="8759" w:type="dxa"/>
            <w:gridSpan w:val="8"/>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numPr>
                <w:ilvl w:val="0"/>
                <w:numId w:val="1"/>
              </w:numPr>
              <w:spacing w:lineRule="auto" w:line="288" w:before="0" w:after="142"/>
              <w:jc w:val="center"/>
              <w:rPr>
                <w:rFonts w:cs="Arial"/>
                <w:b/>
                <w:bCs/>
                <w:color w:val="000000"/>
                <w:szCs w:val="20"/>
              </w:rPr>
            </w:pPr>
            <w:r>
              <w:rPr>
                <w:rFonts w:cs="Arial"/>
                <w:b/>
                <w:bCs/>
                <w:color w:val="000000"/>
                <w:szCs w:val="20"/>
              </w:rPr>
              <w:t>IDENTIFICAÇÃO DA EMPRESA</w:t>
            </w:r>
          </w:p>
        </w:tc>
      </w:tr>
      <w:tr>
        <w:trPr>
          <w:cantSplit w:val="false"/>
        </w:trPr>
        <w:tc>
          <w:tcPr>
            <w:tcW w:w="4393" w:type="dxa"/>
            <w:gridSpan w:val="5"/>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rPr>
                <w:rFonts w:cs="Arial"/>
                <w:color w:val="000000"/>
                <w:szCs w:val="20"/>
              </w:rPr>
            </w:pPr>
            <w:r>
              <w:rPr>
                <w:rFonts w:cs="Arial"/>
                <w:color w:val="000000"/>
                <w:szCs w:val="20"/>
              </w:rPr>
              <w:t>Razão Social</w:t>
            </w:r>
          </w:p>
        </w:tc>
        <w:tc>
          <w:tcPr>
            <w:tcW w:w="4366" w:type="dxa"/>
            <w:gridSpan w:val="3"/>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rPr>
                <w:rFonts w:cs="Arial"/>
                <w:color w:val="000000"/>
                <w:szCs w:val="20"/>
              </w:rPr>
            </w:pPr>
            <w:r>
              <w:rPr>
                <w:rFonts w:cs="Arial"/>
                <w:color w:val="000000"/>
                <w:szCs w:val="20"/>
              </w:rPr>
              <w:t>CNPJ</w:t>
            </w:r>
          </w:p>
        </w:tc>
      </w:tr>
      <w:tr>
        <w:trPr>
          <w:cantSplit w:val="false"/>
        </w:trPr>
        <w:tc>
          <w:tcPr>
            <w:tcW w:w="4096" w:type="dxa"/>
            <w:gridSpan w:val="3"/>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rPr>
                <w:rFonts w:cs="Arial"/>
                <w:color w:val="000000"/>
                <w:szCs w:val="20"/>
              </w:rPr>
            </w:pPr>
            <w:r>
              <w:rPr>
                <w:rFonts w:cs="Arial"/>
                <w:color w:val="000000"/>
                <w:szCs w:val="20"/>
              </w:rPr>
              <w:t xml:space="preserve">Endereço </w:t>
            </w:r>
          </w:p>
        </w:tc>
        <w:tc>
          <w:tcPr>
            <w:tcW w:w="1974" w:type="dxa"/>
            <w:gridSpan w:val="4"/>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rPr>
                <w:rFonts w:cs="Arial"/>
                <w:color w:val="000000"/>
                <w:szCs w:val="20"/>
              </w:rPr>
            </w:pPr>
            <w:r>
              <w:rPr>
                <w:rFonts w:cs="Arial"/>
                <w:color w:val="000000"/>
                <w:szCs w:val="20"/>
              </w:rPr>
              <w:t>UF</w:t>
            </w:r>
          </w:p>
        </w:tc>
        <w:tc>
          <w:tcPr>
            <w:tcW w:w="2689"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rPr>
                <w:rFonts w:cs="Arial"/>
                <w:color w:val="000000"/>
                <w:szCs w:val="20"/>
              </w:rPr>
            </w:pPr>
            <w:r>
              <w:rPr>
                <w:rFonts w:cs="Arial"/>
                <w:color w:val="000000"/>
                <w:szCs w:val="20"/>
              </w:rPr>
              <w:t>CEP</w:t>
            </w:r>
          </w:p>
        </w:tc>
      </w:tr>
      <w:tr>
        <w:trPr>
          <w:cantSplit w:val="false"/>
        </w:trPr>
        <w:tc>
          <w:tcPr>
            <w:tcW w:w="4208" w:type="dxa"/>
            <w:gridSpan w:val="4"/>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rPr>
                <w:rFonts w:cs="Arial"/>
                <w:color w:val="000000"/>
                <w:szCs w:val="20"/>
              </w:rPr>
            </w:pPr>
            <w:r>
              <w:rPr>
                <w:rFonts w:cs="Arial"/>
                <w:color w:val="000000"/>
                <w:szCs w:val="20"/>
              </w:rPr>
              <w:t>E-mail</w:t>
            </w:r>
          </w:p>
        </w:tc>
        <w:tc>
          <w:tcPr>
            <w:tcW w:w="4551" w:type="dxa"/>
            <w:gridSpan w:val="4"/>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rPr>
                <w:rFonts w:cs="Arial"/>
                <w:color w:val="000000"/>
                <w:szCs w:val="20"/>
              </w:rPr>
            </w:pPr>
            <w:r>
              <w:rPr>
                <w:rFonts w:cs="Arial"/>
                <w:color w:val="000000"/>
                <w:szCs w:val="20"/>
              </w:rPr>
              <w:t>Telefone</w:t>
            </w:r>
          </w:p>
        </w:tc>
      </w:tr>
      <w:tr>
        <w:trPr>
          <w:cantSplit w:val="false"/>
        </w:trPr>
        <w:tc>
          <w:tcPr>
            <w:tcW w:w="2722"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rPr>
                <w:rFonts w:cs="Arial"/>
                <w:color w:val="000000"/>
                <w:szCs w:val="20"/>
              </w:rPr>
            </w:pPr>
            <w:r>
              <w:rPr>
                <w:rFonts w:cs="Arial"/>
                <w:color w:val="000000"/>
                <w:szCs w:val="20"/>
              </w:rPr>
              <w:t>Banco</w:t>
            </w:r>
          </w:p>
        </w:tc>
        <w:tc>
          <w:tcPr>
            <w:tcW w:w="2747" w:type="dxa"/>
            <w:gridSpan w:val="5"/>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rPr>
                <w:rFonts w:cs="Arial"/>
                <w:color w:val="000000"/>
                <w:szCs w:val="20"/>
              </w:rPr>
            </w:pPr>
            <w:r>
              <w:rPr>
                <w:rFonts w:cs="Arial"/>
                <w:color w:val="000000"/>
                <w:szCs w:val="20"/>
              </w:rPr>
              <w:t>Agência</w:t>
            </w:r>
          </w:p>
        </w:tc>
        <w:tc>
          <w:tcPr>
            <w:tcW w:w="3290" w:type="dxa"/>
            <w:gridSpan w:val="2"/>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rPr>
                <w:rFonts w:cs="Arial"/>
                <w:color w:val="000000"/>
                <w:szCs w:val="20"/>
              </w:rPr>
            </w:pPr>
            <w:r>
              <w:rPr>
                <w:rFonts w:cs="Arial"/>
                <w:color w:val="000000"/>
                <w:szCs w:val="20"/>
              </w:rPr>
              <w:t>Conta</w:t>
            </w:r>
          </w:p>
        </w:tc>
      </w:tr>
      <w:tr>
        <w:trPr>
          <w:cantSplit w:val="false"/>
        </w:trPr>
        <w:tc>
          <w:tcPr>
            <w:tcW w:w="8759" w:type="dxa"/>
            <w:gridSpan w:val="8"/>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ind w:left="502" w:right="-6" w:hanging="360"/>
              <w:rPr>
                <w:rFonts w:cs="Arial"/>
                <w:color w:val="000000"/>
                <w:szCs w:val="20"/>
              </w:rPr>
            </w:pPr>
            <w:r>
              <w:rPr>
                <w:rFonts w:cs="Arial"/>
                <w:color w:val="000000"/>
                <w:szCs w:val="20"/>
              </w:rPr>
              <w:t>Validade da proposta</w:t>
            </w:r>
          </w:p>
        </w:tc>
      </w:tr>
      <w:tr>
        <w:trPr>
          <w:cantSplit w:val="false"/>
        </w:trPr>
        <w:tc>
          <w:tcPr>
            <w:tcW w:w="8759" w:type="dxa"/>
            <w:gridSpan w:val="8"/>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ind w:left="502" w:right="-6" w:hanging="360"/>
              <w:rPr>
                <w:rFonts w:cs="Arial"/>
                <w:color w:val="000000"/>
                <w:szCs w:val="20"/>
              </w:rPr>
            </w:pPr>
            <w:r>
              <w:rPr>
                <w:rFonts w:cs="Arial"/>
                <w:color w:val="000000"/>
                <w:szCs w:val="20"/>
              </w:rPr>
              <w:t>Especificações Complementares: (se necessário)</w:t>
            </w:r>
          </w:p>
        </w:tc>
      </w:tr>
      <w:tr>
        <w:trPr>
          <w:cantSplit w:val="false"/>
        </w:trPr>
        <w:tc>
          <w:tcPr>
            <w:tcW w:w="8759" w:type="dxa"/>
            <w:gridSpan w:val="8"/>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jc w:val="center"/>
              <w:rPr>
                <w:rFonts w:cs="Arial"/>
                <w:b/>
                <w:bCs/>
                <w:color w:val="000000"/>
                <w:szCs w:val="20"/>
              </w:rPr>
            </w:pPr>
            <w:r>
              <w:rPr>
                <w:rFonts w:cs="Arial"/>
                <w:b/>
                <w:bCs/>
                <w:color w:val="000000"/>
                <w:szCs w:val="20"/>
              </w:rPr>
              <w:t>IDENTIFICAÇÃO DO RESPONSÁVEL PELA ASSINTURA DO CONTRATO</w:t>
            </w:r>
          </w:p>
        </w:tc>
      </w:tr>
      <w:tr>
        <w:trPr>
          <w:cantSplit w:val="false"/>
        </w:trPr>
        <w:tc>
          <w:tcPr>
            <w:tcW w:w="3960" w:type="dxa"/>
            <w:gridSpan w:val="2"/>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ind w:left="502" w:right="-6" w:hanging="360"/>
              <w:rPr>
                <w:rFonts w:cs="Arial"/>
                <w:color w:val="000000"/>
                <w:szCs w:val="20"/>
              </w:rPr>
            </w:pPr>
            <w:r>
              <w:rPr>
                <w:rFonts w:cs="Arial"/>
                <w:color w:val="000000"/>
                <w:szCs w:val="20"/>
              </w:rPr>
              <w:t>Nome</w:t>
            </w:r>
          </w:p>
        </w:tc>
        <w:tc>
          <w:tcPr>
            <w:tcW w:w="4799" w:type="dxa"/>
            <w:gridSpan w:val="6"/>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ind w:left="502" w:right="-6" w:hanging="360"/>
              <w:rPr>
                <w:rFonts w:cs="Arial"/>
                <w:color w:val="000000"/>
                <w:szCs w:val="20"/>
              </w:rPr>
            </w:pPr>
            <w:r>
              <w:rPr>
                <w:rFonts w:cs="Arial"/>
                <w:color w:val="000000"/>
                <w:szCs w:val="20"/>
              </w:rPr>
              <w:t>Qualificação</w:t>
            </w:r>
          </w:p>
        </w:tc>
      </w:tr>
      <w:tr>
        <w:trPr>
          <w:cantSplit w:val="false"/>
        </w:trPr>
        <w:tc>
          <w:tcPr>
            <w:tcW w:w="3960" w:type="dxa"/>
            <w:gridSpan w:val="2"/>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ind w:left="502" w:right="-6" w:hanging="360"/>
              <w:rPr>
                <w:rFonts w:cs="Arial"/>
                <w:color w:val="000000"/>
                <w:szCs w:val="20"/>
              </w:rPr>
            </w:pPr>
            <w:r>
              <w:rPr>
                <w:rFonts w:cs="Arial"/>
                <w:color w:val="000000"/>
                <w:szCs w:val="20"/>
              </w:rPr>
              <w:t>Identidade</w:t>
            </w:r>
          </w:p>
        </w:tc>
        <w:tc>
          <w:tcPr>
            <w:tcW w:w="4799" w:type="dxa"/>
            <w:gridSpan w:val="6"/>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ind w:left="502" w:right="-6" w:hanging="360"/>
              <w:rPr>
                <w:rFonts w:cs="Arial"/>
                <w:color w:val="000000"/>
                <w:szCs w:val="20"/>
              </w:rPr>
            </w:pPr>
            <w:r>
              <w:rPr>
                <w:rFonts w:cs="Arial"/>
                <w:color w:val="000000"/>
                <w:szCs w:val="20"/>
              </w:rPr>
              <w:t>CPF</w:t>
            </w:r>
          </w:p>
        </w:tc>
      </w:tr>
    </w:tbl>
    <w:p>
      <w:pPr>
        <w:pStyle w:val="Normal"/>
        <w:numPr>
          <w:ilvl w:val="0"/>
          <w:numId w:val="1"/>
        </w:numPr>
        <w:spacing w:beforeAutospacing="1" w:after="0"/>
        <w:ind w:left="502" w:right="-6" w:hanging="360"/>
        <w:rPr>
          <w:rFonts w:cs="Times New Roman"/>
          <w:color w:val="000000"/>
          <w:szCs w:val="20"/>
        </w:rPr>
      </w:pPr>
      <w:r>
        <w:rPr>
          <w:rFonts w:cs="Times New Roman"/>
          <w:color w:val="000000"/>
          <w:szCs w:val="20"/>
        </w:rPr>
      </w:r>
    </w:p>
    <w:p>
      <w:pPr>
        <w:pStyle w:val="Normal"/>
        <w:numPr>
          <w:ilvl w:val="0"/>
          <w:numId w:val="1"/>
        </w:numPr>
        <w:ind w:left="502" w:right="-6" w:hanging="360"/>
        <w:rPr>
          <w:rFonts w:cs="Times New Roman"/>
          <w:color w:val="000000"/>
          <w:szCs w:val="20"/>
        </w:rPr>
      </w:pPr>
      <w:r>
        <w:rPr>
          <w:rFonts w:cs="Times New Roman"/>
          <w:color w:val="000000"/>
          <w:szCs w:val="20"/>
        </w:rPr>
      </w:r>
    </w:p>
    <w:tbl>
      <w:tblPr>
        <w:jc w:val="left"/>
        <w:tblInd w:w="-39" w:type="dxa"/>
        <w:tblBorders>
          <w:top w:val="single" w:sz="6" w:space="0" w:color="000001"/>
          <w:left w:val="single" w:sz="6" w:space="0" w:color="000001"/>
          <w:bottom w:val="single" w:sz="6" w:space="0" w:color="000001"/>
          <w:insideH w:val="single" w:sz="6" w:space="0" w:color="000001"/>
          <w:right w:val="nil"/>
          <w:insideV w:val="nil"/>
        </w:tblBorders>
        <w:tblCellMar>
          <w:top w:w="0" w:type="dxa"/>
          <w:left w:w="52" w:type="dxa"/>
          <w:bottom w:w="0" w:type="dxa"/>
          <w:right w:w="0" w:type="dxa"/>
        </w:tblCellMar>
      </w:tblPr>
      <w:tblGrid>
        <w:gridCol w:w="1050"/>
        <w:gridCol w:w="1735"/>
        <w:gridCol w:w="1297"/>
        <w:gridCol w:w="403"/>
        <w:gridCol w:w="540"/>
        <w:gridCol w:w="1176"/>
        <w:gridCol w:w="1"/>
        <w:gridCol w:w="1379"/>
        <w:gridCol w:w="1"/>
        <w:gridCol w:w="1175"/>
      </w:tblGrid>
      <w:tr>
        <w:trPr>
          <w:cantSplit w:val="false"/>
        </w:trPr>
        <w:tc>
          <w:tcPr>
            <w:tcW w:w="1050" w:type="dxa"/>
            <w:tcBorders>
              <w:top w:val="single" w:sz="6" w:space="0" w:color="000001"/>
              <w:left w:val="single" w:sz="6" w:space="0" w:color="000001"/>
              <w:bottom w:val="single" w:sz="6" w:space="0" w:color="000001"/>
              <w:insideH w:val="single" w:sz="6" w:space="0" w:color="000001"/>
              <w:right w:val="nil"/>
              <w:insideV w:val="nil"/>
            </w:tcBorders>
            <w:shd w:fill="D9D9D9" w:val="clear"/>
            <w:tcMar>
              <w:left w:w="52" w:type="dxa"/>
            </w:tcMar>
          </w:tcPr>
          <w:p>
            <w:pPr>
              <w:pStyle w:val="Normal"/>
              <w:numPr>
                <w:ilvl w:val="0"/>
                <w:numId w:val="1"/>
              </w:numPr>
              <w:spacing w:lineRule="auto" w:line="288" w:before="0" w:after="142"/>
              <w:ind w:left="502" w:right="-6" w:hanging="360"/>
              <w:rPr>
                <w:rFonts w:cs="Arial"/>
                <w:b/>
                <w:bCs/>
                <w:color w:val="000000"/>
                <w:szCs w:val="20"/>
              </w:rPr>
            </w:pPr>
            <w:r>
              <w:rPr>
                <w:rFonts w:cs="Arial"/>
                <w:b/>
                <w:bCs/>
                <w:color w:val="000000"/>
                <w:szCs w:val="20"/>
              </w:rPr>
              <w:t>ITEM</w:t>
            </w:r>
          </w:p>
        </w:tc>
        <w:tc>
          <w:tcPr>
            <w:tcW w:w="1735" w:type="dxa"/>
            <w:tcBorders>
              <w:top w:val="single" w:sz="6" w:space="0" w:color="000001"/>
              <w:left w:val="single" w:sz="6" w:space="0" w:color="000001"/>
              <w:bottom w:val="single" w:sz="6" w:space="0" w:color="000001"/>
              <w:insideH w:val="single" w:sz="6" w:space="0" w:color="000001"/>
              <w:right w:val="nil"/>
              <w:insideV w:val="nil"/>
            </w:tcBorders>
            <w:shd w:fill="D9D9D9" w:val="clear"/>
            <w:tcMar>
              <w:left w:w="52" w:type="dxa"/>
            </w:tcMar>
          </w:tcPr>
          <w:p>
            <w:pPr>
              <w:pStyle w:val="Normal"/>
              <w:numPr>
                <w:ilvl w:val="0"/>
                <w:numId w:val="1"/>
              </w:numPr>
              <w:spacing w:lineRule="auto" w:line="288" w:beforeAutospacing="1" w:after="142"/>
              <w:ind w:left="502" w:right="-6" w:hanging="360"/>
              <w:rPr>
                <w:rFonts w:cs="Arial"/>
                <w:b/>
                <w:bCs/>
                <w:color w:val="000000"/>
                <w:szCs w:val="20"/>
              </w:rPr>
            </w:pPr>
            <w:r>
              <w:rPr>
                <w:rFonts w:cs="Arial"/>
                <w:b/>
                <w:bCs/>
                <w:color w:val="000000"/>
                <w:szCs w:val="20"/>
              </w:rPr>
              <w:t>DESCRIÇÃO</w:t>
            </w:r>
          </w:p>
        </w:tc>
        <w:tc>
          <w:tcPr>
            <w:tcW w:w="1297" w:type="dxa"/>
            <w:tcBorders>
              <w:top w:val="single" w:sz="6" w:space="0" w:color="000001"/>
              <w:left w:val="single" w:sz="6" w:space="0" w:color="000001"/>
              <w:bottom w:val="single" w:sz="6" w:space="0" w:color="000001"/>
              <w:insideH w:val="single" w:sz="6" w:space="0" w:color="000001"/>
              <w:right w:val="nil"/>
              <w:insideV w:val="nil"/>
            </w:tcBorders>
            <w:shd w:fill="D9D9D9" w:val="clear"/>
            <w:tcMar>
              <w:left w:w="52" w:type="dxa"/>
            </w:tcMar>
          </w:tcPr>
          <w:p>
            <w:pPr>
              <w:pStyle w:val="Normal"/>
              <w:numPr>
                <w:ilvl w:val="0"/>
                <w:numId w:val="1"/>
              </w:numPr>
              <w:spacing w:lineRule="auto" w:line="288" w:beforeAutospacing="1" w:after="142"/>
              <w:ind w:left="502" w:right="-6" w:hanging="360"/>
              <w:rPr>
                <w:rFonts w:cs="Arial"/>
                <w:b/>
                <w:bCs/>
                <w:color w:val="000000"/>
                <w:szCs w:val="20"/>
              </w:rPr>
            </w:pPr>
            <w:r>
              <w:rPr>
                <w:rFonts w:cs="Arial"/>
                <w:b/>
                <w:bCs/>
                <w:color w:val="000000"/>
                <w:szCs w:val="20"/>
              </w:rPr>
              <w:t>CH semanal</w:t>
            </w:r>
          </w:p>
        </w:tc>
        <w:tc>
          <w:tcPr>
            <w:tcW w:w="943" w:type="dxa"/>
            <w:gridSpan w:val="2"/>
            <w:tcBorders>
              <w:top w:val="single" w:sz="6" w:space="0" w:color="000001"/>
              <w:left w:val="single" w:sz="6" w:space="0" w:color="000001"/>
              <w:bottom w:val="single" w:sz="6" w:space="0" w:color="000001"/>
              <w:insideH w:val="single" w:sz="6" w:space="0" w:color="000001"/>
              <w:right w:val="nil"/>
              <w:insideV w:val="nil"/>
            </w:tcBorders>
            <w:shd w:fill="D9D9D9" w:val="clear"/>
            <w:tcMar>
              <w:left w:w="52" w:type="dxa"/>
            </w:tcMar>
          </w:tcPr>
          <w:p>
            <w:pPr>
              <w:pStyle w:val="Normal"/>
              <w:numPr>
                <w:ilvl w:val="0"/>
                <w:numId w:val="1"/>
              </w:numPr>
              <w:spacing w:lineRule="auto" w:line="288" w:beforeAutospacing="1" w:after="142"/>
              <w:ind w:left="502" w:right="-6" w:hanging="360"/>
              <w:rPr>
                <w:rFonts w:cs="Arial"/>
                <w:b/>
                <w:bCs/>
                <w:color w:val="000000"/>
                <w:szCs w:val="20"/>
              </w:rPr>
            </w:pPr>
            <w:r>
              <w:rPr>
                <w:rFonts w:cs="Arial"/>
                <w:b/>
                <w:bCs/>
                <w:color w:val="000000"/>
                <w:szCs w:val="20"/>
              </w:rPr>
              <w:t>CH total</w:t>
            </w:r>
          </w:p>
        </w:tc>
        <w:tc>
          <w:tcPr>
            <w:tcW w:w="1176" w:type="dxa"/>
            <w:tcBorders>
              <w:top w:val="single" w:sz="6" w:space="0" w:color="000001"/>
              <w:left w:val="single" w:sz="6" w:space="0" w:color="000001"/>
              <w:bottom w:val="single" w:sz="6" w:space="0" w:color="000001"/>
              <w:insideH w:val="single" w:sz="6" w:space="0" w:color="000001"/>
              <w:right w:val="nil"/>
              <w:insideV w:val="nil"/>
            </w:tcBorders>
            <w:shd w:fill="D9D9D9" w:val="clear"/>
            <w:tcMar>
              <w:top w:w="105" w:type="dxa"/>
              <w:left w:w="49" w:type="dxa"/>
              <w:bottom w:w="105" w:type="dxa"/>
              <w:right w:w="105" w:type="dxa"/>
            </w:tcMar>
          </w:tcPr>
          <w:p>
            <w:pPr>
              <w:pStyle w:val="Normal"/>
              <w:numPr>
                <w:ilvl w:val="0"/>
                <w:numId w:val="1"/>
              </w:numPr>
              <w:spacing w:lineRule="auto" w:line="288" w:beforeAutospacing="1" w:after="142"/>
              <w:ind w:left="502" w:right="-6" w:hanging="360"/>
              <w:rPr>
                <w:rFonts w:cs="Arial"/>
                <w:b/>
                <w:color w:val="000000"/>
                <w:szCs w:val="20"/>
              </w:rPr>
            </w:pPr>
            <w:r>
              <w:rPr>
                <w:rFonts w:cs="Arial"/>
                <w:b/>
                <w:color w:val="000000"/>
                <w:szCs w:val="20"/>
              </w:rPr>
              <w:t>Nº de vagas</w:t>
            </w:r>
          </w:p>
        </w:tc>
        <w:tc>
          <w:tcPr>
            <w:tcW w:w="1380" w:type="dxa"/>
            <w:gridSpan w:val="2"/>
            <w:tcBorders>
              <w:top w:val="single" w:sz="6" w:space="0" w:color="000001"/>
              <w:left w:val="single" w:sz="6" w:space="0" w:color="000001"/>
              <w:bottom w:val="single" w:sz="6" w:space="0" w:color="000001"/>
              <w:insideH w:val="single" w:sz="6" w:space="0" w:color="000001"/>
              <w:right w:val="nil"/>
              <w:insideV w:val="nil"/>
            </w:tcBorders>
            <w:shd w:fill="D9D9D9" w:val="clear"/>
            <w:tcMar>
              <w:left w:w="52" w:type="dxa"/>
            </w:tcMar>
          </w:tcPr>
          <w:p>
            <w:pPr>
              <w:pStyle w:val="Normal"/>
              <w:numPr>
                <w:ilvl w:val="0"/>
                <w:numId w:val="1"/>
              </w:numPr>
              <w:spacing w:lineRule="auto" w:line="288" w:beforeAutospacing="1" w:after="142"/>
              <w:ind w:left="502" w:right="-6" w:hanging="360"/>
              <w:rPr>
                <w:rFonts w:cs="Arial"/>
                <w:b/>
                <w:bCs/>
                <w:color w:val="000000"/>
                <w:szCs w:val="20"/>
              </w:rPr>
            </w:pPr>
            <w:r>
              <w:rPr>
                <w:rFonts w:cs="Arial"/>
                <w:b/>
                <w:bCs/>
                <w:color w:val="000000"/>
                <w:szCs w:val="20"/>
              </w:rPr>
              <w:t>Valor por hora/aula incluindo material didático</w:t>
            </w:r>
          </w:p>
        </w:tc>
        <w:tc>
          <w:tcPr>
            <w:tcW w:w="1176" w:type="dxa"/>
            <w:gridSpan w:val="2"/>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right w:w="108" w:type="dxa"/>
            </w:tcMar>
          </w:tcPr>
          <w:p>
            <w:pPr>
              <w:pStyle w:val="Normal"/>
              <w:numPr>
                <w:ilvl w:val="0"/>
                <w:numId w:val="1"/>
              </w:numPr>
              <w:spacing w:lineRule="auto" w:line="288" w:beforeAutospacing="1" w:after="142"/>
              <w:ind w:left="502" w:right="-6" w:hanging="360"/>
              <w:rPr>
                <w:rFonts w:cs="Arial"/>
                <w:b/>
                <w:bCs/>
                <w:color w:val="000000"/>
                <w:szCs w:val="20"/>
              </w:rPr>
            </w:pPr>
            <w:r>
              <w:rPr>
                <w:rFonts w:cs="Arial"/>
                <w:b/>
                <w:bCs/>
                <w:color w:val="000000"/>
                <w:szCs w:val="20"/>
              </w:rPr>
              <w:t>Valor total</w:t>
            </w:r>
          </w:p>
        </w:tc>
      </w:tr>
      <w:tr>
        <w:trPr>
          <w:cantSplit w:val="false"/>
        </w:trPr>
        <w:tc>
          <w:tcPr>
            <w:tcW w:w="1050" w:type="dxa"/>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35" w:type="dxa"/>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00" w:type="dxa"/>
            <w:gridSpan w:val="2"/>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17" w:type="dxa"/>
            <w:gridSpan w:val="3"/>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380" w:type="dxa"/>
            <w:gridSpan w:val="2"/>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175"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108"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r>
      <w:tr>
        <w:trPr>
          <w:cantSplit w:val="false"/>
        </w:trPr>
        <w:tc>
          <w:tcPr>
            <w:tcW w:w="1050" w:type="dxa"/>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35" w:type="dxa"/>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00" w:type="dxa"/>
            <w:gridSpan w:val="2"/>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17" w:type="dxa"/>
            <w:gridSpan w:val="3"/>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380" w:type="dxa"/>
            <w:gridSpan w:val="2"/>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175"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108"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r>
      <w:tr>
        <w:trPr>
          <w:cantSplit w:val="false"/>
        </w:trPr>
        <w:tc>
          <w:tcPr>
            <w:tcW w:w="1050" w:type="dxa"/>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35" w:type="dxa"/>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00" w:type="dxa"/>
            <w:gridSpan w:val="2"/>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717" w:type="dxa"/>
            <w:gridSpan w:val="3"/>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380" w:type="dxa"/>
            <w:gridSpan w:val="2"/>
            <w:tcBorders>
              <w:top w:val="single" w:sz="6" w:space="0" w:color="000001"/>
              <w:left w:val="single" w:sz="6" w:space="0" w:color="000001"/>
              <w:bottom w:val="single" w:sz="6" w:space="0" w:color="000001"/>
              <w:insideH w:val="single" w:sz="6" w:space="0" w:color="000001"/>
              <w:right w:val="nil"/>
              <w:insideV w:val="nil"/>
            </w:tcBorders>
            <w:shd w:fill="FFFFFF" w:val="clear"/>
            <w:tcMar>
              <w:left w:w="52"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c>
          <w:tcPr>
            <w:tcW w:w="1175"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108" w:type="dxa"/>
            </w:tcMar>
          </w:tcPr>
          <w:p>
            <w:pPr>
              <w:pStyle w:val="Normal"/>
              <w:numPr>
                <w:ilvl w:val="0"/>
                <w:numId w:val="1"/>
              </w:numPr>
              <w:spacing w:lineRule="auto" w:line="288" w:beforeAutospacing="1" w:after="142"/>
              <w:ind w:left="502" w:right="-6" w:hanging="360"/>
              <w:rPr>
                <w:rFonts w:cs="Times New Roman"/>
                <w:color w:val="000000"/>
                <w:szCs w:val="20"/>
              </w:rPr>
            </w:pPr>
            <w:r>
              <w:rPr>
                <w:rFonts w:cs="Times New Roman"/>
                <w:color w:val="000000"/>
                <w:szCs w:val="20"/>
              </w:rPr>
            </w:r>
          </w:p>
        </w:tc>
      </w:tr>
    </w:tbl>
    <w:p>
      <w:pPr>
        <w:pStyle w:val="Normal"/>
        <w:numPr>
          <w:ilvl w:val="0"/>
          <w:numId w:val="1"/>
        </w:numPr>
        <w:spacing w:beforeAutospacing="1" w:after="0"/>
        <w:ind w:left="502" w:right="-6" w:hanging="360"/>
        <w:rPr>
          <w:rFonts w:cs="Times New Roman"/>
          <w:color w:val="000000"/>
          <w:szCs w:val="20"/>
        </w:rPr>
      </w:pPr>
      <w:r>
        <w:rPr>
          <w:rFonts w:cs="Times New Roman"/>
          <w:color w:val="000000"/>
          <w:szCs w:val="20"/>
        </w:rPr>
      </w:r>
    </w:p>
    <w:tbl>
      <w:tblPr>
        <w:jc w:val="left"/>
        <w:tblInd w:w="-39" w:type="dxa"/>
        <w:tblBorders>
          <w:top w:val="single" w:sz="6" w:space="0" w:color="000001"/>
          <w:left w:val="single" w:sz="6" w:space="0" w:color="000001"/>
          <w:bottom w:val="single" w:sz="6" w:space="0" w:color="000001"/>
          <w:insideH w:val="single" w:sz="6" w:space="0" w:color="000001"/>
          <w:right w:val="single" w:sz="6" w:space="0" w:color="000001"/>
          <w:insideV w:val="single" w:sz="6" w:space="0" w:color="000001"/>
        </w:tblBorders>
        <w:tblCellMar>
          <w:top w:w="0" w:type="dxa"/>
          <w:left w:w="52" w:type="dxa"/>
          <w:bottom w:w="0" w:type="dxa"/>
          <w:right w:w="108" w:type="dxa"/>
        </w:tblCellMar>
      </w:tblPr>
      <w:tblGrid>
        <w:gridCol w:w="8760"/>
      </w:tblGrid>
      <w:tr>
        <w:trPr>
          <w:cantSplit w:val="false"/>
        </w:trPr>
        <w:tc>
          <w:tcPr>
            <w:tcW w:w="876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numPr>
                <w:ilvl w:val="0"/>
                <w:numId w:val="1"/>
              </w:numPr>
              <w:rPr>
                <w:rFonts w:cs="Arial"/>
                <w:b/>
                <w:bCs/>
                <w:color w:val="000000"/>
                <w:szCs w:val="20"/>
              </w:rPr>
            </w:pPr>
            <w:r>
              <w:rPr>
                <w:rFonts w:cs="Arial"/>
                <w:b/>
                <w:bCs/>
                <w:color w:val="000000"/>
                <w:szCs w:val="20"/>
              </w:rPr>
              <w:t>CUSTOS DECORRENTES DA EXECUÇÃO CONTRATUAL</w:t>
            </w:r>
          </w:p>
        </w:tc>
      </w:tr>
      <w:tr>
        <w:trPr>
          <w:cantSplit w:val="false"/>
        </w:trPr>
        <w:tc>
          <w:tcPr>
            <w:tcW w:w="876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rPr>
                <w:rFonts w:cs="Times New Roman"/>
                <w:color w:val="000000"/>
                <w:szCs w:val="20"/>
              </w:rPr>
            </w:pPr>
            <w:r>
              <w:rPr>
                <w:rFonts w:cs="Times New Roman"/>
                <w:color w:val="000000"/>
                <w:szCs w:val="20"/>
              </w:rPr>
            </w:r>
          </w:p>
          <w:p>
            <w:pPr>
              <w:pStyle w:val="Normal"/>
              <w:numPr>
                <w:ilvl w:val="0"/>
                <w:numId w:val="1"/>
              </w:numPr>
              <w:rPr>
                <w:rFonts w:cs="Times New Roman"/>
                <w:color w:val="000000"/>
                <w:szCs w:val="20"/>
              </w:rPr>
            </w:pPr>
            <w:r>
              <w:rPr>
                <w:rFonts w:cs="Times New Roman"/>
                <w:color w:val="000000"/>
                <w:szCs w:val="20"/>
              </w:rPr>
            </w:r>
          </w:p>
          <w:p>
            <w:pPr>
              <w:pStyle w:val="Normal"/>
              <w:numPr>
                <w:ilvl w:val="0"/>
                <w:numId w:val="1"/>
              </w:numPr>
              <w:rPr>
                <w:rFonts w:cs="Times New Roman"/>
                <w:color w:val="000000"/>
                <w:szCs w:val="20"/>
              </w:rPr>
            </w:pPr>
            <w:r>
              <w:rPr>
                <w:rFonts w:cs="Times New Roman"/>
                <w:color w:val="000000"/>
                <w:szCs w:val="20"/>
              </w:rPr>
            </w:r>
          </w:p>
        </w:tc>
      </w:tr>
    </w:tbl>
    <w:p>
      <w:pPr>
        <w:pStyle w:val="Normal"/>
        <w:numPr>
          <w:ilvl w:val="0"/>
          <w:numId w:val="1"/>
        </w:numPr>
        <w:spacing w:beforeAutospacing="1" w:after="0"/>
        <w:ind w:left="502" w:right="-6" w:hanging="360"/>
        <w:rPr>
          <w:rFonts w:cs="Times New Roman"/>
          <w:color w:val="000000"/>
          <w:szCs w:val="20"/>
        </w:rPr>
      </w:pPr>
      <w:r>
        <w:rPr>
          <w:rFonts w:cs="Times New Roman"/>
          <w:color w:val="000000"/>
          <w:szCs w:val="20"/>
        </w:rPr>
      </w:r>
    </w:p>
    <w:p>
      <w:pPr>
        <w:pStyle w:val="Normal"/>
        <w:numPr>
          <w:ilvl w:val="0"/>
          <w:numId w:val="1"/>
        </w:numPr>
        <w:ind w:left="502" w:right="-6" w:hanging="360"/>
        <w:rPr>
          <w:rFonts w:cs="Times New Roman"/>
          <w:color w:val="000000"/>
          <w:szCs w:val="20"/>
        </w:rPr>
      </w:pPr>
      <w:r>
        <w:rPr>
          <w:rFonts w:cs="Times New Roman"/>
          <w:color w:val="000000"/>
          <w:szCs w:val="20"/>
        </w:rPr>
      </w:r>
    </w:p>
    <w:tbl>
      <w:tblPr>
        <w:jc w:val="left"/>
        <w:tblInd w:w="-39" w:type="dxa"/>
        <w:tblBorders>
          <w:top w:val="single" w:sz="6" w:space="0" w:color="000001"/>
          <w:left w:val="single" w:sz="6" w:space="0" w:color="000001"/>
          <w:bottom w:val="single" w:sz="6" w:space="0" w:color="000001"/>
          <w:insideH w:val="single" w:sz="6" w:space="0" w:color="000001"/>
          <w:right w:val="single" w:sz="6" w:space="0" w:color="000001"/>
          <w:insideV w:val="single" w:sz="6" w:space="0" w:color="000001"/>
        </w:tblBorders>
        <w:tblCellMar>
          <w:top w:w="0" w:type="dxa"/>
          <w:left w:w="52" w:type="dxa"/>
          <w:bottom w:w="0" w:type="dxa"/>
          <w:right w:w="108" w:type="dxa"/>
        </w:tblCellMar>
      </w:tblPr>
      <w:tblGrid>
        <w:gridCol w:w="5705"/>
        <w:gridCol w:w="3051"/>
      </w:tblGrid>
      <w:tr>
        <w:trPr>
          <w:cantSplit w:val="false"/>
        </w:trPr>
        <w:tc>
          <w:tcPr>
            <w:tcW w:w="8756" w:type="dxa"/>
            <w:gridSpan w:val="2"/>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numPr>
                <w:ilvl w:val="0"/>
                <w:numId w:val="1"/>
              </w:numPr>
              <w:spacing w:lineRule="auto" w:line="288" w:before="0" w:after="142"/>
              <w:jc w:val="center"/>
              <w:rPr>
                <w:rFonts w:cs="Arial"/>
                <w:b/>
                <w:bCs/>
                <w:color w:val="000000"/>
                <w:szCs w:val="20"/>
              </w:rPr>
            </w:pPr>
            <w:r>
              <w:rPr>
                <w:rFonts w:cs="Arial"/>
                <w:b/>
                <w:bCs/>
                <w:color w:val="000000"/>
                <w:szCs w:val="20"/>
              </w:rPr>
              <w:t>QUANTIDADE DE PESSOAL ALOCADO PARA A PRESTAÇÃO DO SERVIÇO:</w:t>
            </w:r>
          </w:p>
        </w:tc>
      </w:tr>
      <w:tr>
        <w:trPr>
          <w:cantSplit w:val="false"/>
        </w:trPr>
        <w:tc>
          <w:tcPr>
            <w:tcW w:w="5705"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rPr>
                <w:rFonts w:cs="Arial"/>
                <w:color w:val="000000"/>
                <w:szCs w:val="20"/>
              </w:rPr>
            </w:pPr>
            <w:r>
              <w:rPr>
                <w:rFonts w:cs="Arial"/>
                <w:color w:val="000000"/>
                <w:szCs w:val="20"/>
              </w:rPr>
              <w:t>Função</w:t>
            </w:r>
          </w:p>
        </w:tc>
        <w:tc>
          <w:tcPr>
            <w:tcW w:w="305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rPr>
                <w:rFonts w:cs="Arial"/>
                <w:color w:val="000000"/>
                <w:szCs w:val="20"/>
              </w:rPr>
            </w:pPr>
            <w:r>
              <w:rPr>
                <w:rFonts w:cs="Arial"/>
                <w:color w:val="000000"/>
                <w:szCs w:val="20"/>
              </w:rPr>
              <w:t>Quantidade</w:t>
            </w:r>
          </w:p>
        </w:tc>
      </w:tr>
      <w:tr>
        <w:trPr>
          <w:cantSplit w:val="false"/>
        </w:trPr>
        <w:tc>
          <w:tcPr>
            <w:tcW w:w="5705"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jc w:val="center"/>
              <w:rPr>
                <w:rFonts w:cs="Times New Roman"/>
                <w:color w:val="000000"/>
                <w:szCs w:val="20"/>
              </w:rPr>
            </w:pPr>
            <w:r>
              <w:rPr>
                <w:rFonts w:cs="Times New Roman"/>
                <w:color w:val="000000"/>
                <w:szCs w:val="20"/>
              </w:rPr>
            </w:r>
          </w:p>
        </w:tc>
        <w:tc>
          <w:tcPr>
            <w:tcW w:w="305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jc w:val="center"/>
              <w:rPr>
                <w:rFonts w:cs="Times New Roman"/>
                <w:color w:val="000000"/>
                <w:szCs w:val="20"/>
              </w:rPr>
            </w:pPr>
            <w:r>
              <w:rPr>
                <w:rFonts w:cs="Times New Roman"/>
                <w:color w:val="000000"/>
                <w:szCs w:val="20"/>
              </w:rPr>
            </w:r>
          </w:p>
        </w:tc>
      </w:tr>
    </w:tbl>
    <w:p>
      <w:pPr>
        <w:pStyle w:val="Normal"/>
        <w:numPr>
          <w:ilvl w:val="0"/>
          <w:numId w:val="1"/>
        </w:numPr>
        <w:spacing w:beforeAutospacing="1" w:after="0"/>
        <w:ind w:left="502" w:right="-6" w:hanging="360"/>
        <w:rPr>
          <w:rFonts w:cs="Times New Roman"/>
          <w:color w:val="000000"/>
          <w:szCs w:val="20"/>
        </w:rPr>
      </w:pPr>
      <w:r>
        <w:rPr>
          <w:rFonts w:cs="Times New Roman"/>
          <w:color w:val="000000"/>
          <w:szCs w:val="20"/>
        </w:rPr>
      </w:r>
    </w:p>
    <w:tbl>
      <w:tblPr>
        <w:jc w:val="left"/>
        <w:tblInd w:w="-39" w:type="dxa"/>
        <w:tblBorders>
          <w:top w:val="single" w:sz="6" w:space="0" w:color="000001"/>
          <w:left w:val="single" w:sz="6" w:space="0" w:color="000001"/>
          <w:bottom w:val="single" w:sz="6" w:space="0" w:color="000001"/>
          <w:insideH w:val="single" w:sz="6" w:space="0" w:color="000001"/>
          <w:right w:val="single" w:sz="6" w:space="0" w:color="000001"/>
          <w:insideV w:val="single" w:sz="6" w:space="0" w:color="000001"/>
        </w:tblBorders>
        <w:tblCellMar>
          <w:top w:w="0" w:type="dxa"/>
          <w:left w:w="52" w:type="dxa"/>
          <w:bottom w:w="0" w:type="dxa"/>
          <w:right w:w="108" w:type="dxa"/>
        </w:tblCellMar>
      </w:tblPr>
      <w:tblGrid>
        <w:gridCol w:w="3803"/>
        <w:gridCol w:w="1386"/>
        <w:gridCol w:w="3571"/>
      </w:tblGrid>
      <w:tr>
        <w:trPr>
          <w:cantSplit w:val="false"/>
        </w:trPr>
        <w:tc>
          <w:tcPr>
            <w:tcW w:w="8760" w:type="dxa"/>
            <w:gridSpan w:val="3"/>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numPr>
                <w:ilvl w:val="0"/>
                <w:numId w:val="1"/>
              </w:numPr>
              <w:spacing w:lineRule="auto" w:line="288" w:before="0" w:after="142"/>
              <w:jc w:val="center"/>
              <w:rPr>
                <w:rFonts w:cs="Arial"/>
                <w:b/>
                <w:bCs/>
                <w:color w:val="000000"/>
                <w:szCs w:val="20"/>
              </w:rPr>
            </w:pPr>
            <w:r>
              <w:rPr>
                <w:rFonts w:cs="Arial"/>
                <w:b/>
                <w:bCs/>
                <w:color w:val="000000"/>
                <w:szCs w:val="20"/>
              </w:rPr>
              <w:t>RELAÇÃO DOS MATERIAIS/EQUIPAMENTOS UTILIZADOS NA PRESTAÇÃO DO SERVIÇO:</w:t>
            </w:r>
          </w:p>
        </w:tc>
      </w:tr>
      <w:tr>
        <w:trPr>
          <w:cantSplit w:val="false"/>
        </w:trPr>
        <w:tc>
          <w:tcPr>
            <w:tcW w:w="3803"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jc w:val="center"/>
              <w:rPr>
                <w:rFonts w:cs="Arial"/>
                <w:color w:val="000000"/>
                <w:szCs w:val="20"/>
              </w:rPr>
            </w:pPr>
            <w:r>
              <w:rPr>
                <w:rFonts w:cs="Arial"/>
                <w:color w:val="000000"/>
                <w:szCs w:val="20"/>
              </w:rPr>
              <w:t>Material</w:t>
            </w:r>
          </w:p>
        </w:tc>
        <w:tc>
          <w:tcPr>
            <w:tcW w:w="1386"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jc w:val="center"/>
              <w:rPr>
                <w:rFonts w:cs="Arial"/>
                <w:color w:val="000000"/>
                <w:szCs w:val="20"/>
              </w:rPr>
            </w:pPr>
            <w:r>
              <w:rPr>
                <w:rFonts w:cs="Arial"/>
                <w:color w:val="000000"/>
                <w:szCs w:val="20"/>
              </w:rPr>
              <w:t>Quantidade</w:t>
            </w:r>
          </w:p>
        </w:tc>
        <w:tc>
          <w:tcPr>
            <w:tcW w:w="357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jc w:val="center"/>
              <w:rPr>
                <w:rFonts w:cs="Arial"/>
                <w:color w:val="000000"/>
                <w:szCs w:val="20"/>
              </w:rPr>
            </w:pPr>
            <w:r>
              <w:rPr>
                <w:rFonts w:cs="Arial"/>
                <w:color w:val="000000"/>
                <w:szCs w:val="20"/>
              </w:rPr>
              <w:t>Especificação</w:t>
            </w:r>
          </w:p>
        </w:tc>
      </w:tr>
      <w:tr>
        <w:trPr>
          <w:cantSplit w:val="false"/>
        </w:trPr>
        <w:tc>
          <w:tcPr>
            <w:tcW w:w="3803"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jc w:val="center"/>
              <w:rPr>
                <w:rFonts w:cs="Times New Roman"/>
                <w:color w:val="000000"/>
                <w:szCs w:val="20"/>
              </w:rPr>
            </w:pPr>
            <w:r>
              <w:rPr>
                <w:rFonts w:cs="Times New Roman"/>
                <w:color w:val="000000"/>
                <w:szCs w:val="20"/>
              </w:rPr>
            </w:r>
          </w:p>
        </w:tc>
        <w:tc>
          <w:tcPr>
            <w:tcW w:w="1386"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right w:w="0" w:type="dxa"/>
            </w:tcMar>
          </w:tcPr>
          <w:p>
            <w:pPr>
              <w:pStyle w:val="Normal"/>
              <w:numPr>
                <w:ilvl w:val="0"/>
                <w:numId w:val="1"/>
              </w:numPr>
              <w:spacing w:lineRule="auto" w:line="288" w:beforeAutospacing="1" w:after="142"/>
              <w:jc w:val="center"/>
              <w:rPr>
                <w:rFonts w:cs="Times New Roman"/>
                <w:color w:val="000000"/>
                <w:szCs w:val="20"/>
              </w:rPr>
            </w:pPr>
            <w:r>
              <w:rPr>
                <w:rFonts w:cs="Times New Roman"/>
                <w:color w:val="000000"/>
                <w:szCs w:val="20"/>
              </w:rPr>
            </w:r>
          </w:p>
        </w:tc>
        <w:tc>
          <w:tcPr>
            <w:tcW w:w="357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142"/>
              <w:jc w:val="center"/>
              <w:rPr>
                <w:rFonts w:cs="Times New Roman"/>
                <w:color w:val="000000"/>
                <w:szCs w:val="20"/>
              </w:rPr>
            </w:pPr>
            <w:r>
              <w:rPr>
                <w:rFonts w:cs="Times New Roman"/>
                <w:color w:val="000000"/>
                <w:szCs w:val="20"/>
              </w:rPr>
            </w:r>
          </w:p>
        </w:tc>
      </w:tr>
    </w:tbl>
    <w:p>
      <w:pPr>
        <w:pStyle w:val="Normal"/>
        <w:numPr>
          <w:ilvl w:val="0"/>
          <w:numId w:val="1"/>
        </w:numPr>
        <w:spacing w:beforeAutospacing="1" w:after="0"/>
        <w:ind w:left="502" w:right="-6" w:hanging="360"/>
        <w:rPr>
          <w:rFonts w:cs="Times New Roman"/>
          <w:color w:val="000000"/>
          <w:szCs w:val="20"/>
        </w:rPr>
      </w:pPr>
      <w:r>
        <w:rPr>
          <w:rFonts w:cs="Times New Roman"/>
          <w:color w:val="000000"/>
          <w:szCs w:val="20"/>
        </w:rPr>
      </w:r>
    </w:p>
    <w:tbl>
      <w:tblPr>
        <w:jc w:val="left"/>
        <w:tblInd w:w="-39" w:type="dxa"/>
        <w:tblBorders>
          <w:top w:val="single" w:sz="6" w:space="0" w:color="000001"/>
          <w:left w:val="single" w:sz="6" w:space="0" w:color="000001"/>
          <w:bottom w:val="single" w:sz="6" w:space="0" w:color="000001"/>
          <w:insideH w:val="single" w:sz="6" w:space="0" w:color="000001"/>
          <w:right w:val="single" w:sz="6" w:space="0" w:color="000001"/>
          <w:insideV w:val="single" w:sz="6" w:space="0" w:color="000001"/>
        </w:tblBorders>
        <w:tblCellMar>
          <w:top w:w="0" w:type="dxa"/>
          <w:left w:w="52" w:type="dxa"/>
          <w:bottom w:w="0" w:type="dxa"/>
          <w:right w:w="108" w:type="dxa"/>
        </w:tblCellMar>
      </w:tblPr>
      <w:tblGrid>
        <w:gridCol w:w="8760"/>
      </w:tblGrid>
      <w:tr>
        <w:trPr>
          <w:cantSplit w:val="false"/>
        </w:trPr>
        <w:tc>
          <w:tcPr>
            <w:tcW w:w="876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D9D9D9" w:val="clear"/>
            <w:tcMar>
              <w:left w:w="52" w:type="dxa"/>
            </w:tcMar>
          </w:tcPr>
          <w:p>
            <w:pPr>
              <w:pStyle w:val="Normal"/>
              <w:numPr>
                <w:ilvl w:val="0"/>
                <w:numId w:val="1"/>
              </w:numPr>
              <w:spacing w:lineRule="auto" w:line="288" w:before="0" w:after="142"/>
              <w:jc w:val="center"/>
              <w:rPr>
                <w:rFonts w:cs="Arial"/>
                <w:b/>
                <w:bCs/>
                <w:color w:val="000000"/>
                <w:szCs w:val="20"/>
              </w:rPr>
            </w:pPr>
            <w:r>
              <w:rPr>
                <w:rFonts w:cs="Arial"/>
                <w:b/>
                <w:bCs/>
                <w:color w:val="000000"/>
                <w:szCs w:val="20"/>
              </w:rPr>
              <w:t>OUTRAS INFORMAÇÕES IMPORTANTES</w:t>
            </w:r>
          </w:p>
        </w:tc>
      </w:tr>
      <w:tr>
        <w:trPr>
          <w:cantSplit w:val="false"/>
        </w:trPr>
        <w:tc>
          <w:tcPr>
            <w:tcW w:w="876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FFFFFF" w:val="clear"/>
            <w:tcMar>
              <w:left w:w="52" w:type="dxa"/>
            </w:tcMar>
          </w:tcPr>
          <w:p>
            <w:pPr>
              <w:pStyle w:val="Normal"/>
              <w:numPr>
                <w:ilvl w:val="0"/>
                <w:numId w:val="1"/>
              </w:numPr>
              <w:spacing w:lineRule="auto" w:line="288" w:beforeAutospacing="1" w:after="0"/>
              <w:jc w:val="center"/>
              <w:rPr>
                <w:rFonts w:cs="Times New Roman"/>
                <w:color w:val="000000"/>
                <w:szCs w:val="20"/>
              </w:rPr>
            </w:pPr>
            <w:r>
              <w:rPr>
                <w:rFonts w:cs="Times New Roman"/>
                <w:color w:val="000000"/>
                <w:szCs w:val="20"/>
              </w:rPr>
            </w:r>
          </w:p>
          <w:p>
            <w:pPr>
              <w:pStyle w:val="Normal"/>
              <w:numPr>
                <w:ilvl w:val="0"/>
                <w:numId w:val="1"/>
              </w:numPr>
              <w:spacing w:lineRule="auto" w:line="288"/>
              <w:jc w:val="center"/>
              <w:rPr>
                <w:rFonts w:cs="Times New Roman"/>
                <w:color w:val="000000"/>
                <w:szCs w:val="20"/>
              </w:rPr>
            </w:pPr>
            <w:r>
              <w:rPr>
                <w:rFonts w:cs="Times New Roman"/>
                <w:color w:val="000000"/>
                <w:szCs w:val="20"/>
              </w:rPr>
            </w:r>
          </w:p>
          <w:p>
            <w:pPr>
              <w:pStyle w:val="Normal"/>
              <w:numPr>
                <w:ilvl w:val="0"/>
                <w:numId w:val="1"/>
              </w:numPr>
              <w:spacing w:lineRule="auto" w:line="288" w:before="0" w:after="142"/>
              <w:jc w:val="center"/>
              <w:rPr>
                <w:rFonts w:cs="Times New Roman"/>
                <w:color w:val="000000"/>
                <w:szCs w:val="20"/>
              </w:rPr>
            </w:pPr>
            <w:r>
              <w:rPr>
                <w:rFonts w:cs="Times New Roman"/>
                <w:color w:val="000000"/>
                <w:szCs w:val="20"/>
              </w:rPr>
            </w:r>
          </w:p>
        </w:tc>
      </w:tr>
    </w:tbl>
    <w:p>
      <w:pPr>
        <w:pStyle w:val="Normal"/>
        <w:numPr>
          <w:ilvl w:val="0"/>
          <w:numId w:val="1"/>
        </w:numPr>
        <w:spacing w:beforeAutospacing="1" w:after="0"/>
        <w:ind w:left="0" w:right="0" w:hanging="360"/>
        <w:rPr>
          <w:rFonts w:cs="Arial"/>
          <w:b/>
          <w:color w:val="000000"/>
          <w:szCs w:val="20"/>
        </w:rPr>
      </w:pPr>
      <w:r>
        <w:rPr>
          <w:rFonts w:cs="Arial"/>
          <w:b/>
          <w:color w:val="000000"/>
          <w:szCs w:val="20"/>
        </w:rPr>
        <w:t>OBSERVAÇÃO: ESSA PROPOSTA DEVE SER APRESENTADA JUNTAMENTE COM PLANO DE ENSINO, NOS TERMOS DO ITEM 6.1 DO TERMO DE REFERÊNCIA – ANEXO I DO EDITAL.</w:t>
      </w:r>
    </w:p>
    <w:p>
      <w:pPr>
        <w:pStyle w:val="Normal"/>
        <w:numPr>
          <w:ilvl w:val="0"/>
          <w:numId w:val="1"/>
        </w:numPr>
        <w:ind w:left="502" w:right="-6" w:hanging="360"/>
        <w:jc w:val="both"/>
        <w:rPr>
          <w:rFonts w:cs="Arial"/>
          <w:color w:val="000000"/>
          <w:szCs w:val="20"/>
        </w:rPr>
      </w:pPr>
      <w:r>
        <w:rPr>
          <w:rFonts w:cs="Arial"/>
          <w:b/>
          <w:bCs/>
          <w:color w:val="000000"/>
          <w:szCs w:val="20"/>
        </w:rPr>
        <w:t>Declaração:</w:t>
      </w:r>
      <w:r>
        <w:rPr>
          <w:rFonts w:cs="Arial"/>
          <w:color w:val="000000"/>
          <w:szCs w:val="20"/>
        </w:rPr>
        <w:t xml:space="preserve"> Os preços mantidos na proposta escrita e naqueles que porventura vierem a ser ofertados através de lances verbais, estão incluídos todos os encargos trabalhistas, previdenciários, fiscais, comerciais, que se fizerem indispensáveis à perfeita execução dos serviços objeto da licitação.</w:t>
      </w:r>
    </w:p>
    <w:p>
      <w:pPr>
        <w:pStyle w:val="Western"/>
        <w:numPr>
          <w:ilvl w:val="0"/>
          <w:numId w:val="1"/>
        </w:numPr>
        <w:spacing w:before="280" w:after="0"/>
        <w:jc w:val="center"/>
        <w:rPr/>
      </w:pPr>
      <w:r>
        <w:rPr/>
      </w:r>
    </w:p>
    <w:sectPr>
      <w:headerReference w:type="default" r:id="rId14"/>
      <w:footerReference w:type="default" r:id="rId15"/>
      <w:type w:val="nextPage"/>
      <w:pgSz w:w="11906" w:h="16838"/>
      <w:pgMar w:left="1701" w:right="1134" w:header="709" w:top="1418" w:footer="709" w:bottom="1418"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Ecofont_Spranq_eco_Sans">
    <w:charset w:val="00"/>
    <w:family w:val="roman"/>
    <w:pitch w:val="variable"/>
  </w:font>
  <w:font w:name="Century gothic">
    <w:charset w:val="00"/>
    <w:family w:val="roman"/>
    <w:pitch w:val="variable"/>
  </w:font>
  <w:font w:name="OpenSymbol">
    <w:altName w:val="Arial Unicode MS"/>
    <w:charset w:val="02"/>
    <w:family w:val="auto"/>
    <w:pitch w:val="default"/>
  </w:font>
  <w:font w:name="Wingdings">
    <w:charset w:val="00"/>
    <w:family w:val="roman"/>
    <w:pitch w:val="variable"/>
  </w:font>
  <w:font w:name="OpenSymbol">
    <w:altName w:val="Arial Unicode MS"/>
    <w:charset w:val="00"/>
    <w:family w:val="roman"/>
    <w:pitch w:val="variable"/>
  </w:font>
  <w:font w:name="Symbo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numPr>
        <w:ilvl w:val="0"/>
        <w:numId w:val="1"/>
      </w:numPr>
      <w:rPr>
        <w:rFonts w:cs="Times New Roman" w:ascii="Times New Roman" w:hAnsi="Times New Roman"/>
        <w:sz w:val="24"/>
      </w:rPr>
    </w:pPr>
    <w:r>
      <w:rPr>
        <w:rFonts w:cs="Times New Roman" w:ascii="Times New Roman" w:hAnsi="Times New Roman"/>
        <w:sz w:val="24"/>
      </w:rPr>
      <w:t>______________________________________________________________</w:t>
    </w:r>
  </w:p>
  <w:p>
    <w:pPr>
      <w:pStyle w:val="Rodap"/>
      <w:numPr>
        <w:ilvl w:val="0"/>
        <w:numId w:val="1"/>
      </w:numPr>
      <w:rPr>
        <w:sz w:val="12"/>
      </w:rPr>
    </w:pPr>
    <w:r>
      <w:rPr>
        <w:sz w:val="12"/>
      </w:rPr>
      <w:t>Comissão Permanente de Modelos de Licitações e Contratos da Consultoria-Geral da União</w:t>
    </w:r>
  </w:p>
  <w:p>
    <w:pPr>
      <w:pStyle w:val="Rodap"/>
      <w:numPr>
        <w:ilvl w:val="0"/>
        <w:numId w:val="1"/>
      </w:numPr>
      <w:rPr>
        <w:sz w:val="12"/>
      </w:rPr>
    </w:pPr>
    <w:r>
      <w:rPr>
        <w:sz w:val="12"/>
      </w:rPr>
      <w:t>Edital modelo para Pregão Eletrônico: Serviços não contínuos, Habilitação Completa – Exclusivo</w:t>
    </w:r>
  </w:p>
  <w:p>
    <w:pPr>
      <w:pStyle w:val="Rodap"/>
      <w:numPr>
        <w:ilvl w:val="0"/>
        <w:numId w:val="1"/>
      </w:numPr>
      <w:rPr>
        <w:color w:val="00B050"/>
        <w:sz w:val="12"/>
      </w:rPr>
    </w:pPr>
    <w:r>
      <w:rPr>
        <w:sz w:val="12"/>
      </w:rPr>
      <w:t xml:space="preserve">Atualização: </w:t>
    </w:r>
    <w:r>
      <w:rPr>
        <w:color w:val="00B050"/>
        <w:sz w:val="12"/>
      </w:rPr>
      <w:t>Setembro -;2017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tbl>
    <w:tblPr>
      <w:jc w:val="left"/>
      <w:tblInd w:w="149" w:type="dxa"/>
      <w:tblBorders>
        <w:top w:val="nil"/>
        <w:left w:val="nil"/>
        <w:bottom w:val="nil"/>
        <w:insideH w:val="nil"/>
        <w:right w:val="nil"/>
        <w:insideV w:val="nil"/>
      </w:tblBorders>
      <w:tblCellMar>
        <w:top w:w="0" w:type="dxa"/>
        <w:left w:w="108" w:type="dxa"/>
        <w:bottom w:w="0" w:type="dxa"/>
        <w:right w:w="108" w:type="dxa"/>
      </w:tblCellMar>
    </w:tblPr>
    <w:tblGrid>
      <w:gridCol w:w="1796"/>
      <w:gridCol w:w="5385"/>
      <w:gridCol w:w="2062"/>
    </w:tblGrid>
    <w:tr>
      <w:trPr>
        <w:trHeight w:val="1758" w:hRule="atLeast"/>
        <w:cantSplit w:val="false"/>
      </w:trPr>
      <w:tc>
        <w:tcPr>
          <w:tcW w:w="1796" w:type="dxa"/>
          <w:tcBorders>
            <w:top w:val="nil"/>
            <w:left w:val="nil"/>
            <w:bottom w:val="nil"/>
            <w:insideH w:val="nil"/>
            <w:right w:val="nil"/>
            <w:insideV w:val="nil"/>
          </w:tcBorders>
          <w:shd w:fill="FFFFFF" w:val="clear"/>
          <w:vAlign w:val="center"/>
        </w:tcPr>
        <w:p>
          <w:pPr>
            <w:pStyle w:val="Cabealho"/>
            <w:ind w:left="277" w:right="0" w:hanging="0"/>
            <w:jc w:val="center"/>
            <w:rPr/>
          </w:pPr>
          <w:r>
            <w:rPr/>
            <w:drawing>
              <wp:inline distT="0" distB="0" distL="0" distR="0">
                <wp:extent cx="815975" cy="859155"/>
                <wp:effectExtent l="0" t="0" r="0" b="0"/>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791" t="-750" r="-791" b="-750"/>
                        <a:stretch>
                          <a:fillRect/>
                        </a:stretch>
                      </pic:blipFill>
                      <pic:spPr bwMode="auto">
                        <a:xfrm>
                          <a:off x="0" y="0"/>
                          <a:ext cx="815975" cy="859155"/>
                        </a:xfrm>
                        <a:prstGeom prst="rect">
                          <a:avLst/>
                        </a:prstGeom>
                        <a:noFill/>
                        <a:ln w="9525">
                          <a:noFill/>
                          <a:miter lim="800000"/>
                          <a:headEnd/>
                          <a:tailEnd/>
                        </a:ln>
                      </pic:spPr>
                    </pic:pic>
                  </a:graphicData>
                </a:graphic>
              </wp:inline>
            </w:drawing>
          </w:r>
        </w:p>
      </w:tc>
      <w:tc>
        <w:tcPr>
          <w:tcW w:w="5385" w:type="dxa"/>
          <w:tcBorders>
            <w:top w:val="nil"/>
            <w:left w:val="nil"/>
            <w:bottom w:val="nil"/>
            <w:insideH w:val="nil"/>
            <w:right w:val="nil"/>
            <w:insideV w:val="nil"/>
          </w:tcBorders>
          <w:shd w:fill="FFFFFF" w:val="clear"/>
          <w:vAlign w:val="center"/>
        </w:tcPr>
        <w:p>
          <w:pPr>
            <w:pStyle w:val="Cabealho"/>
            <w:ind w:left="277" w:right="0" w:hanging="0"/>
            <w:jc w:val="center"/>
            <w:rPr>
              <w:rFonts w:cs="Arial"/>
              <w:b/>
              <w:sz w:val="18"/>
              <w:szCs w:val="18"/>
            </w:rPr>
          </w:pPr>
          <w:r>
            <w:rPr>
              <w:rFonts w:cs="Arial"/>
              <w:b/>
              <w:sz w:val="18"/>
              <w:szCs w:val="18"/>
            </w:rPr>
          </w:r>
        </w:p>
        <w:p>
          <w:pPr>
            <w:pStyle w:val="Cabealho"/>
            <w:ind w:left="277" w:right="0" w:hanging="0"/>
            <w:jc w:val="center"/>
            <w:rPr>
              <w:rFonts w:cs="Arial"/>
              <w:b/>
              <w:sz w:val="18"/>
              <w:szCs w:val="18"/>
            </w:rPr>
          </w:pPr>
          <w:r>
            <w:rPr>
              <w:rFonts w:cs="Arial"/>
              <w:b/>
              <w:sz w:val="18"/>
              <w:szCs w:val="18"/>
            </w:rPr>
            <w:t>MINISTÉRIO DA EDUCAÇÃO</w:t>
          </w:r>
        </w:p>
        <w:p>
          <w:pPr>
            <w:pStyle w:val="Cabealho"/>
            <w:ind w:left="277" w:right="0" w:hanging="0"/>
            <w:jc w:val="center"/>
            <w:rPr>
              <w:rFonts w:cs="Arial"/>
              <w:b/>
              <w:sz w:val="18"/>
              <w:szCs w:val="18"/>
            </w:rPr>
          </w:pPr>
          <w:r>
            <w:rPr>
              <w:rFonts w:cs="Arial"/>
              <w:b/>
              <w:sz w:val="18"/>
              <w:szCs w:val="18"/>
            </w:rPr>
            <w:t>UNIVERSIDADE FEDERAL DOS VALES DO JEQUITINHONHA E MUCURI</w:t>
          </w:r>
        </w:p>
        <w:p>
          <w:pPr>
            <w:pStyle w:val="Cabealho"/>
            <w:ind w:left="277" w:right="0" w:hanging="0"/>
            <w:jc w:val="center"/>
            <w:rPr>
              <w:rFonts w:cs="Arial"/>
              <w:b/>
              <w:sz w:val="18"/>
              <w:szCs w:val="18"/>
            </w:rPr>
          </w:pPr>
          <w:r>
            <w:rPr>
              <w:rFonts w:cs="Arial"/>
              <w:b/>
              <w:sz w:val="18"/>
              <w:szCs w:val="18"/>
            </w:rPr>
            <w:t>Diretoria de Administração e Planejamento</w:t>
          </w:r>
        </w:p>
        <w:p>
          <w:pPr>
            <w:pStyle w:val="Normal"/>
            <w:ind w:left="277" w:right="0" w:hanging="0"/>
            <w:jc w:val="center"/>
            <w:rPr>
              <w:rFonts w:cs="Arial"/>
              <w:b/>
              <w:bCs/>
              <w:color w:val="000000"/>
              <w:sz w:val="16"/>
              <w:szCs w:val="16"/>
            </w:rPr>
          </w:pPr>
          <w:r>
            <w:rPr>
              <w:rFonts w:cs="Arial"/>
              <w:b/>
              <w:bCs/>
              <w:color w:val="000000"/>
              <w:sz w:val="16"/>
              <w:szCs w:val="16"/>
            </w:rPr>
            <w:t>Divisão de Licitações e Divisão de Compras</w:t>
          </w:r>
        </w:p>
        <w:p>
          <w:pPr>
            <w:pStyle w:val="Normal"/>
            <w:tabs>
              <w:tab w:val="right" w:pos="8504" w:leader="none"/>
            </w:tabs>
            <w:ind w:left="277" w:right="0" w:hanging="0"/>
            <w:jc w:val="center"/>
            <w:rPr>
              <w:rFonts w:cs="Arial"/>
              <w:b/>
              <w:bCs/>
              <w:color w:val="000000"/>
              <w:sz w:val="16"/>
              <w:szCs w:val="16"/>
            </w:rPr>
          </w:pPr>
          <w:r>
            <w:rPr>
              <w:rFonts w:cs="Arial"/>
              <w:b/>
              <w:bCs/>
              <w:color w:val="000000"/>
              <w:sz w:val="16"/>
              <w:szCs w:val="16"/>
            </w:rPr>
            <w:t xml:space="preserve">Campus do Mucuri </w:t>
          </w:r>
        </w:p>
        <w:p>
          <w:pPr>
            <w:pStyle w:val="Cabealho"/>
            <w:ind w:left="277" w:right="0" w:hanging="0"/>
            <w:jc w:val="center"/>
            <w:rPr>
              <w:rStyle w:val="LinkdaInternet"/>
              <w:rFonts w:cs="Arial"/>
              <w:b/>
              <w:sz w:val="18"/>
              <w:szCs w:val="18"/>
            </w:rPr>
          </w:pPr>
          <w:hyperlink r:id="rId2">
            <w:r>
              <w:rPr>
                <w:rStyle w:val="LinkdaInternet"/>
                <w:rFonts w:cs="Arial"/>
                <w:b/>
                <w:sz w:val="18"/>
                <w:szCs w:val="18"/>
              </w:rPr>
              <w:t>www.ufvjm.edu.br</w:t>
            </w:r>
          </w:hyperlink>
        </w:p>
      </w:tc>
      <w:tc>
        <w:tcPr>
          <w:tcW w:w="2062" w:type="dxa"/>
          <w:tcBorders>
            <w:top w:val="nil"/>
            <w:left w:val="nil"/>
            <w:bottom w:val="nil"/>
            <w:insideH w:val="nil"/>
            <w:right w:val="nil"/>
            <w:insideV w:val="nil"/>
          </w:tcBorders>
          <w:shd w:fill="FFFFFF" w:val="clear"/>
          <w:vAlign w:val="center"/>
        </w:tcPr>
        <w:p>
          <w:pPr>
            <w:pStyle w:val="Cabealho"/>
            <w:ind w:left="277" w:right="0" w:hanging="0"/>
            <w:jc w:val="center"/>
            <w:rPr/>
          </w:pPr>
          <w:r>
            <w:rPr/>
            <w:drawing>
              <wp:inline distT="0" distB="0" distL="0" distR="0">
                <wp:extent cx="976630" cy="74993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3"/>
                        <a:srcRect l="-662" t="-864" r="-662" b="-864"/>
                        <a:stretch>
                          <a:fillRect/>
                        </a:stretch>
                      </pic:blipFill>
                      <pic:spPr bwMode="auto">
                        <a:xfrm>
                          <a:off x="0" y="0"/>
                          <a:ext cx="976630" cy="749935"/>
                        </a:xfrm>
                        <a:prstGeom prst="rect">
                          <a:avLst/>
                        </a:prstGeom>
                        <a:noFill/>
                        <a:ln w="9525">
                          <a:noFill/>
                          <a:miter lim="800000"/>
                          <a:headEnd/>
                          <a:tailEnd/>
                        </a:ln>
                      </pic:spPr>
                    </pic:pic>
                  </a:graphicData>
                </a:graphic>
              </wp:inline>
            </w:drawing>
          </w:r>
        </w:p>
      </w:tc>
    </w:tr>
  </w:tbl>
  <w:p>
    <w:pPr>
      <w:pStyle w:val="Normal"/>
      <w:ind w:left="277" w:right="0"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502" w:hanging="360"/>
      </w:pPr>
    </w:lvl>
    <w:lvl w:ilvl="1">
      <w:start w:val="1"/>
      <w:numFmt w:val="none"/>
      <w:suff w:val="nothing"/>
      <w:lvlText w:val="."/>
      <w:lvlJc w:val="left"/>
      <w:pPr>
        <w:ind w:left="997" w:hanging="360"/>
      </w:pPr>
    </w:lvl>
    <w:lvl w:ilvl="2">
      <w:start w:val="1"/>
      <w:numFmt w:val="none"/>
      <w:suff w:val="nothing"/>
      <w:lvlText w:val="."/>
      <w:lvlJc w:val="left"/>
      <w:pPr>
        <w:ind w:left="1357" w:hanging="360"/>
      </w:pPr>
    </w:lvl>
    <w:lvl w:ilvl="3">
      <w:start w:val="1"/>
      <w:numFmt w:val="none"/>
      <w:suff w:val="nothing"/>
      <w:lvlText w:val="."/>
      <w:lvlJc w:val="left"/>
      <w:pPr>
        <w:ind w:left="1717" w:hanging="360"/>
      </w:pPr>
    </w:lvl>
    <w:lvl w:ilvl="4">
      <w:start w:val="1"/>
      <w:numFmt w:val="none"/>
      <w:suff w:val="nothing"/>
      <w:lvlText w:val="."/>
      <w:lvlJc w:val="left"/>
      <w:pPr>
        <w:ind w:left="2077" w:hanging="360"/>
      </w:pPr>
    </w:lvl>
    <w:lvl w:ilvl="5">
      <w:start w:val="1"/>
      <w:numFmt w:val="none"/>
      <w:suff w:val="nothing"/>
      <w:lvlText w:val="."/>
      <w:lvlJc w:val="left"/>
      <w:pPr>
        <w:ind w:left="2437" w:hanging="360"/>
      </w:pPr>
    </w:lvl>
    <w:lvl w:ilvl="6">
      <w:start w:val="1"/>
      <w:numFmt w:val="none"/>
      <w:suff w:val="nothing"/>
      <w:lvlText w:val="."/>
      <w:lvlJc w:val="left"/>
      <w:pPr>
        <w:ind w:left="2797" w:hanging="360"/>
      </w:pPr>
    </w:lvl>
    <w:lvl w:ilvl="7">
      <w:start w:val="1"/>
      <w:numFmt w:val="none"/>
      <w:suff w:val="nothing"/>
      <w:lvlText w:val="."/>
      <w:lvlJc w:val="left"/>
      <w:pPr>
        <w:ind w:left="3157" w:hanging="360"/>
      </w:pPr>
    </w:lvl>
    <w:lvl w:ilvl="8">
      <w:start w:val="1"/>
      <w:numFmt w:val="none"/>
      <w:suff w:val="nothing"/>
      <w:lvlText w:val="."/>
      <w:lvlJc w:val="left"/>
      <w:pPr>
        <w:ind w:left="3517" w:hanging="360"/>
      </w:pPr>
    </w:lvl>
  </w:abstractNum>
  <w:abstractNum w:abstractNumI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5"/>
      <w:numFmt w:val="decimal"/>
      <w:lvlText w:val=""/>
      <w:lvlJc w:val="left"/>
      <w:pPr>
        <w:ind w:left="100" w:hanging="361"/>
      </w:pPr>
    </w:lvl>
    <w:lvl w:ilvl="1">
      <w:start w:val="5"/>
      <w:numFmt w:val="decimal"/>
      <w:lvlText w:val="%1.%2"/>
      <w:lvlJc w:val="left"/>
      <w:pPr>
        <w:ind w:left="100" w:hanging="361"/>
      </w:pPr>
      <w:rPr>
        <w:sz w:val="22"/>
        <w:spacing w:val="0"/>
        <w:szCs w:val="16"/>
        <w:w w:val="100"/>
      </w:rPr>
    </w:lvl>
    <w:lvl w:ilvl="2">
      <w:start w:val="1"/>
      <w:numFmt w:val="decimal"/>
      <w:lvlText w:val="%3."/>
      <w:lvlJc w:val="left"/>
      <w:pPr>
        <w:ind w:left="340" w:hanging="161"/>
      </w:pPr>
      <w:rPr>
        <w:sz w:val="16"/>
        <w:spacing w:val="0"/>
        <w:b/>
        <w:szCs w:val="16"/>
        <w:bCs/>
        <w:w w:val="100"/>
      </w:rPr>
    </w:lvl>
    <w:lvl w:ilvl="3">
      <w:start w:val="1"/>
      <w:numFmt w:val="decimal"/>
      <w:lvlText w:val="%3.%4."/>
      <w:lvlJc w:val="left"/>
      <w:pPr>
        <w:ind w:left="180" w:hanging="314"/>
      </w:pPr>
      <w:rPr>
        <w:sz w:val="16"/>
        <w:spacing w:val="0"/>
        <w:szCs w:val="16"/>
        <w:w w:val="100"/>
      </w:rPr>
    </w:lvl>
    <w:lvl w:ilvl="4">
      <w:start w:val="1"/>
      <w:numFmt w:val="decimal"/>
      <w:lvlText w:val="%3.%4.%5."/>
      <w:lvlJc w:val="left"/>
      <w:pPr>
        <w:ind w:left="1526" w:hanging="401"/>
      </w:pPr>
      <w:rPr>
        <w:sz w:val="16"/>
        <w:szCs w:val="16"/>
        <w:w w:val="100"/>
      </w:rPr>
    </w:lvl>
    <w:lvl w:ilvl="5">
      <w:start w:val="1"/>
      <w:numFmt w:val="bullet"/>
      <w:lvlText w:val=""/>
      <w:lvlJc w:val="left"/>
      <w:pPr>
        <w:ind w:left="1520" w:hanging="401"/>
      </w:pPr>
      <w:rPr>
        <w:rFonts w:ascii="Symbol" w:hAnsi="Symbol" w:cs="Symbol" w:hint="default"/>
      </w:rPr>
    </w:lvl>
    <w:lvl w:ilvl="6">
      <w:start w:val="1"/>
      <w:numFmt w:val="bullet"/>
      <w:lvlText w:val=""/>
      <w:lvlJc w:val="left"/>
      <w:pPr>
        <w:ind w:left="1600" w:hanging="401"/>
      </w:pPr>
      <w:rPr>
        <w:rFonts w:ascii="Symbol" w:hAnsi="Symbol" w:cs="Symbol" w:hint="default"/>
      </w:rPr>
    </w:lvl>
    <w:lvl w:ilvl="7">
      <w:start w:val="1"/>
      <w:numFmt w:val="bullet"/>
      <w:lvlText w:val=""/>
      <w:lvlJc w:val="left"/>
      <w:pPr>
        <w:ind w:left="3915" w:hanging="401"/>
      </w:pPr>
      <w:rPr>
        <w:rFonts w:ascii="Symbol" w:hAnsi="Symbol" w:cs="Symbol" w:hint="default"/>
      </w:rPr>
    </w:lvl>
    <w:lvl w:ilvl="8">
      <w:start w:val="1"/>
      <w:numFmt w:val="bullet"/>
      <w:lvlText w:val=""/>
      <w:lvlJc w:val="left"/>
      <w:pPr>
        <w:ind w:left="6230" w:hanging="401"/>
      </w:pPr>
      <w:rPr>
        <w:rFonts w:ascii="Symbol" w:hAnsi="Symbol" w:cs="Symbol" w:hint="default"/>
      </w:rPr>
    </w:lvl>
  </w:abstractNum>
  <w:abstractNum w:abstractNumId="4">
    <w:lvl w:ilvl="0">
      <w:start w:val="15"/>
      <w:numFmt w:val="decimal"/>
      <w:lvlText w:val=""/>
      <w:lvlJc w:val="left"/>
      <w:pPr>
        <w:ind w:left="100" w:hanging="481"/>
      </w:pPr>
    </w:lvl>
    <w:lvl w:ilvl="1">
      <w:start w:val="2"/>
      <w:numFmt w:val="decimal"/>
      <w:lvlText w:val="%1.%2"/>
      <w:lvlJc w:val="left"/>
      <w:pPr>
        <w:ind w:left="100" w:hanging="481"/>
      </w:pPr>
      <w:rPr>
        <w:sz w:val="24"/>
      </w:rPr>
    </w:lvl>
    <w:lvl w:ilvl="2">
      <w:start w:val="3"/>
      <w:numFmt w:val="decimal"/>
      <w:lvlText w:val="%1.%2.%3."/>
      <w:lvlJc w:val="left"/>
      <w:pPr>
        <w:ind w:left="100" w:hanging="481"/>
      </w:pPr>
      <w:rPr>
        <w:sz w:val="24"/>
        <w:spacing w:val="0"/>
        <w:szCs w:val="16"/>
        <w:w w:val="100"/>
      </w:rPr>
    </w:lvl>
    <w:lvl w:ilvl="3">
      <w:start w:val="1"/>
      <w:numFmt w:val="bullet"/>
      <w:lvlText w:val=""/>
      <w:lvlJc w:val="left"/>
      <w:pPr>
        <w:ind w:left="3328" w:hanging="481"/>
      </w:pPr>
      <w:rPr>
        <w:rFonts w:ascii="Symbol" w:hAnsi="Symbol" w:cs="Symbol" w:hint="default"/>
      </w:rPr>
    </w:lvl>
    <w:lvl w:ilvl="4">
      <w:start w:val="1"/>
      <w:numFmt w:val="bullet"/>
      <w:lvlText w:val=""/>
      <w:lvlJc w:val="left"/>
      <w:pPr>
        <w:ind w:left="4404" w:hanging="481"/>
      </w:pPr>
      <w:rPr>
        <w:rFonts w:ascii="Symbol" w:hAnsi="Symbol" w:cs="Symbol" w:hint="default"/>
      </w:rPr>
    </w:lvl>
    <w:lvl w:ilvl="5">
      <w:start w:val="1"/>
      <w:numFmt w:val="bullet"/>
      <w:lvlText w:val=""/>
      <w:lvlJc w:val="left"/>
      <w:pPr>
        <w:ind w:left="5480" w:hanging="481"/>
      </w:pPr>
      <w:rPr>
        <w:rFonts w:ascii="Symbol" w:hAnsi="Symbol" w:cs="Symbol" w:hint="default"/>
      </w:rPr>
    </w:lvl>
    <w:lvl w:ilvl="6">
      <w:start w:val="1"/>
      <w:numFmt w:val="bullet"/>
      <w:lvlText w:val=""/>
      <w:lvlJc w:val="left"/>
      <w:pPr>
        <w:ind w:left="6556" w:hanging="481"/>
      </w:pPr>
      <w:rPr>
        <w:rFonts w:ascii="Symbol" w:hAnsi="Symbol" w:cs="Symbol" w:hint="default"/>
      </w:rPr>
    </w:lvl>
    <w:lvl w:ilvl="7">
      <w:start w:val="1"/>
      <w:numFmt w:val="bullet"/>
      <w:lvlText w:val=""/>
      <w:lvlJc w:val="left"/>
      <w:pPr>
        <w:ind w:left="7632" w:hanging="481"/>
      </w:pPr>
      <w:rPr>
        <w:rFonts w:ascii="Symbol" w:hAnsi="Symbol" w:cs="Symbol" w:hint="default"/>
      </w:rPr>
    </w:lvl>
    <w:lvl w:ilvl="8">
      <w:start w:val="1"/>
      <w:numFmt w:val="bullet"/>
      <w:lvlText w:val=""/>
      <w:lvlJc w:val="left"/>
      <w:pPr>
        <w:ind w:left="8708" w:hanging="481"/>
      </w:pPr>
      <w:rPr>
        <w:rFonts w:ascii="Symbol" w:hAnsi="Symbol" w:cs="Symbol" w:hint="default"/>
      </w:rPr>
    </w:lvl>
  </w:abstractNum>
  <w:abstractNum w:abstractNumId="5">
    <w:lvl w:ilvl="0">
      <w:start w:val="15"/>
      <w:numFmt w:val="decimal"/>
      <w:lvlText w:val=""/>
      <w:lvlJc w:val="left"/>
      <w:pPr>
        <w:ind w:left="460" w:hanging="361"/>
      </w:pPr>
    </w:lvl>
    <w:lvl w:ilvl="1">
      <w:start w:val="2"/>
      <w:numFmt w:val="decimal"/>
      <w:lvlText w:val="%1.%2."/>
      <w:lvlJc w:val="left"/>
      <w:pPr>
        <w:ind w:left="460" w:hanging="361"/>
      </w:pPr>
      <w:rPr>
        <w:sz w:val="24"/>
        <w:spacing w:val="0"/>
        <w:szCs w:val="16"/>
        <w:w w:val="100"/>
      </w:rPr>
    </w:lvl>
    <w:lvl w:ilvl="2">
      <w:start w:val="1"/>
      <w:numFmt w:val="decimal"/>
      <w:lvlText w:val="%1.%2.%3."/>
      <w:lvlJc w:val="left"/>
      <w:pPr>
        <w:ind w:left="100" w:hanging="472"/>
      </w:pPr>
      <w:rPr>
        <w:sz w:val="24"/>
        <w:szCs w:val="16"/>
        <w:w w:val="100"/>
      </w:rPr>
    </w:lvl>
    <w:lvl w:ilvl="3">
      <w:start w:val="1"/>
      <w:numFmt w:val="decimal"/>
      <w:lvlText w:val="%1.%2.%3.%4."/>
      <w:lvlJc w:val="left"/>
      <w:pPr>
        <w:ind w:left="100" w:hanging="601"/>
      </w:pPr>
      <w:rPr>
        <w:sz w:val="24"/>
        <w:spacing w:val="0"/>
        <w:szCs w:val="16"/>
        <w:w w:val="100"/>
      </w:rPr>
    </w:lvl>
    <w:lvl w:ilvl="4">
      <w:start w:val="1"/>
      <w:numFmt w:val="bullet"/>
      <w:lvlText w:val=""/>
      <w:lvlJc w:val="left"/>
      <w:pPr>
        <w:ind w:left="3926" w:hanging="601"/>
      </w:pPr>
      <w:rPr>
        <w:rFonts w:ascii="Symbol" w:hAnsi="Symbol" w:cs="Symbol" w:hint="default"/>
      </w:rPr>
    </w:lvl>
    <w:lvl w:ilvl="5">
      <w:start w:val="1"/>
      <w:numFmt w:val="bullet"/>
      <w:lvlText w:val=""/>
      <w:lvlJc w:val="left"/>
      <w:pPr>
        <w:ind w:left="5082" w:hanging="601"/>
      </w:pPr>
      <w:rPr>
        <w:rFonts w:ascii="Symbol" w:hAnsi="Symbol" w:cs="Symbol" w:hint="default"/>
      </w:rPr>
    </w:lvl>
    <w:lvl w:ilvl="6">
      <w:start w:val="1"/>
      <w:numFmt w:val="bullet"/>
      <w:lvlText w:val=""/>
      <w:lvlJc w:val="left"/>
      <w:pPr>
        <w:ind w:left="6237" w:hanging="601"/>
      </w:pPr>
      <w:rPr>
        <w:rFonts w:ascii="Symbol" w:hAnsi="Symbol" w:cs="Symbol" w:hint="default"/>
      </w:rPr>
    </w:lvl>
    <w:lvl w:ilvl="7">
      <w:start w:val="1"/>
      <w:numFmt w:val="bullet"/>
      <w:lvlText w:val=""/>
      <w:lvlJc w:val="left"/>
      <w:pPr>
        <w:ind w:left="7393" w:hanging="601"/>
      </w:pPr>
      <w:rPr>
        <w:rFonts w:ascii="Symbol" w:hAnsi="Symbol" w:cs="Symbol" w:hint="default"/>
      </w:rPr>
    </w:lvl>
    <w:lvl w:ilvl="8">
      <w:start w:val="1"/>
      <w:numFmt w:val="bullet"/>
      <w:lvlText w:val=""/>
      <w:lvlJc w:val="left"/>
      <w:pPr>
        <w:ind w:left="8548" w:hanging="601"/>
      </w:pPr>
      <w:rPr>
        <w:rFonts w:ascii="Symbol" w:hAnsi="Symbol" w:cs="Symbol" w:hint="default"/>
      </w:rPr>
    </w:lvl>
  </w:abstractNum>
  <w:abstractNum w:abstractNumId="6">
    <w:lvl w:ilvl="0">
      <w:start w:val="15"/>
      <w:numFmt w:val="decimal"/>
      <w:lvlText w:val=""/>
      <w:lvlJc w:val="left"/>
      <w:pPr>
        <w:ind w:left="580" w:hanging="481"/>
      </w:pPr>
    </w:lvl>
    <w:lvl w:ilvl="1">
      <w:start w:val="1"/>
      <w:numFmt w:val="decimal"/>
      <w:lvlText w:val="%1.%2"/>
      <w:lvlJc w:val="left"/>
      <w:pPr>
        <w:ind w:left="580" w:hanging="481"/>
      </w:pPr>
    </w:lvl>
    <w:lvl w:ilvl="2">
      <w:start w:val="1"/>
      <w:numFmt w:val="decimal"/>
      <w:lvlText w:val="%1.%2.%3."/>
      <w:lvlJc w:val="left"/>
      <w:pPr>
        <w:ind w:left="580" w:hanging="481"/>
      </w:pPr>
      <w:rPr>
        <w:sz w:val="24"/>
        <w:szCs w:val="16"/>
        <w:w w:val="100"/>
      </w:rPr>
    </w:lvl>
    <w:lvl w:ilvl="3">
      <w:start w:val="1"/>
      <w:numFmt w:val="bullet"/>
      <w:lvlText w:val=""/>
      <w:lvlJc w:val="left"/>
      <w:pPr>
        <w:ind w:left="3664" w:hanging="481"/>
      </w:pPr>
      <w:rPr>
        <w:rFonts w:ascii="Symbol" w:hAnsi="Symbol" w:cs="Symbol" w:hint="default"/>
      </w:rPr>
    </w:lvl>
    <w:lvl w:ilvl="4">
      <w:start w:val="1"/>
      <w:numFmt w:val="bullet"/>
      <w:lvlText w:val=""/>
      <w:lvlJc w:val="left"/>
      <w:pPr>
        <w:ind w:left="4692" w:hanging="481"/>
      </w:pPr>
      <w:rPr>
        <w:rFonts w:ascii="Symbol" w:hAnsi="Symbol" w:cs="Symbol" w:hint="default"/>
      </w:rPr>
    </w:lvl>
    <w:lvl w:ilvl="5">
      <w:start w:val="1"/>
      <w:numFmt w:val="bullet"/>
      <w:lvlText w:val=""/>
      <w:lvlJc w:val="left"/>
      <w:pPr>
        <w:ind w:left="5720" w:hanging="481"/>
      </w:pPr>
      <w:rPr>
        <w:rFonts w:ascii="Symbol" w:hAnsi="Symbol" w:cs="Symbol" w:hint="default"/>
      </w:rPr>
    </w:lvl>
    <w:lvl w:ilvl="6">
      <w:start w:val="1"/>
      <w:numFmt w:val="bullet"/>
      <w:lvlText w:val=""/>
      <w:lvlJc w:val="left"/>
      <w:pPr>
        <w:ind w:left="6748" w:hanging="481"/>
      </w:pPr>
      <w:rPr>
        <w:rFonts w:ascii="Symbol" w:hAnsi="Symbol" w:cs="Symbol" w:hint="default"/>
      </w:rPr>
    </w:lvl>
    <w:lvl w:ilvl="7">
      <w:start w:val="1"/>
      <w:numFmt w:val="bullet"/>
      <w:lvlText w:val=""/>
      <w:lvlJc w:val="left"/>
      <w:pPr>
        <w:ind w:left="7776" w:hanging="481"/>
      </w:pPr>
      <w:rPr>
        <w:rFonts w:ascii="Symbol" w:hAnsi="Symbol" w:cs="Symbol" w:hint="default"/>
      </w:rPr>
    </w:lvl>
    <w:lvl w:ilvl="8">
      <w:start w:val="1"/>
      <w:numFmt w:val="bullet"/>
      <w:lvlText w:val=""/>
      <w:lvlJc w:val="left"/>
      <w:pPr>
        <w:ind w:left="8804" w:hanging="481"/>
      </w:pPr>
      <w:rPr>
        <w:rFonts w:ascii="Symbol" w:hAnsi="Symbol" w:cs="Symbol" w:hint="default"/>
      </w:rPr>
    </w:lvl>
  </w:abstractNum>
  <w:abstractNum w:abstractNumId="7">
    <w:lvl w:ilvl="0">
      <w:start w:val="10"/>
      <w:numFmt w:val="decimal"/>
      <w:lvlText w:val=""/>
      <w:lvlJc w:val="left"/>
      <w:pPr>
        <w:ind w:left="100" w:hanging="361"/>
      </w:pPr>
    </w:lvl>
    <w:lvl w:ilvl="1">
      <w:start w:val="3"/>
      <w:numFmt w:val="decimal"/>
      <w:lvlText w:val="%1.%2."/>
      <w:lvlJc w:val="left"/>
      <w:pPr>
        <w:ind w:left="100" w:hanging="361"/>
      </w:pPr>
      <w:rPr>
        <w:sz w:val="24"/>
        <w:spacing w:val="0"/>
        <w:szCs w:val="16"/>
        <w:w w:val="100"/>
      </w:rPr>
    </w:lvl>
    <w:lvl w:ilvl="2">
      <w:start w:val="1"/>
      <w:numFmt w:val="bullet"/>
      <w:lvlText w:val=""/>
      <w:lvlJc w:val="left"/>
      <w:pPr>
        <w:ind w:left="2252" w:hanging="361"/>
      </w:pPr>
      <w:rPr>
        <w:rFonts w:ascii="Symbol" w:hAnsi="Symbol" w:cs="Symbol" w:hint="default"/>
      </w:rPr>
    </w:lvl>
    <w:lvl w:ilvl="3">
      <w:start w:val="1"/>
      <w:numFmt w:val="bullet"/>
      <w:lvlText w:val=""/>
      <w:lvlJc w:val="left"/>
      <w:pPr>
        <w:ind w:left="3328" w:hanging="361"/>
      </w:pPr>
      <w:rPr>
        <w:rFonts w:ascii="Symbol" w:hAnsi="Symbol" w:cs="Symbol" w:hint="default"/>
      </w:rPr>
    </w:lvl>
    <w:lvl w:ilvl="4">
      <w:start w:val="1"/>
      <w:numFmt w:val="bullet"/>
      <w:lvlText w:val=""/>
      <w:lvlJc w:val="left"/>
      <w:pPr>
        <w:ind w:left="4404" w:hanging="361"/>
      </w:pPr>
      <w:rPr>
        <w:rFonts w:ascii="Symbol" w:hAnsi="Symbol" w:cs="Symbol" w:hint="default"/>
      </w:rPr>
    </w:lvl>
    <w:lvl w:ilvl="5">
      <w:start w:val="1"/>
      <w:numFmt w:val="bullet"/>
      <w:lvlText w:val=""/>
      <w:lvlJc w:val="left"/>
      <w:pPr>
        <w:ind w:left="5480" w:hanging="361"/>
      </w:pPr>
      <w:rPr>
        <w:rFonts w:ascii="Symbol" w:hAnsi="Symbol" w:cs="Symbol" w:hint="default"/>
      </w:rPr>
    </w:lvl>
    <w:lvl w:ilvl="6">
      <w:start w:val="1"/>
      <w:numFmt w:val="bullet"/>
      <w:lvlText w:val=""/>
      <w:lvlJc w:val="left"/>
      <w:pPr>
        <w:ind w:left="6556" w:hanging="361"/>
      </w:pPr>
      <w:rPr>
        <w:rFonts w:ascii="Symbol" w:hAnsi="Symbol" w:cs="Symbol" w:hint="default"/>
      </w:rPr>
    </w:lvl>
    <w:lvl w:ilvl="7">
      <w:start w:val="1"/>
      <w:numFmt w:val="bullet"/>
      <w:lvlText w:val=""/>
      <w:lvlJc w:val="left"/>
      <w:pPr>
        <w:ind w:left="7632" w:hanging="361"/>
      </w:pPr>
      <w:rPr>
        <w:rFonts w:ascii="Symbol" w:hAnsi="Symbol" w:cs="Symbol" w:hint="default"/>
      </w:rPr>
    </w:lvl>
    <w:lvl w:ilvl="8">
      <w:start w:val="1"/>
      <w:numFmt w:val="bullet"/>
      <w:lvlText w:val=""/>
      <w:lvlJc w:val="left"/>
      <w:pPr>
        <w:ind w:left="8708" w:hanging="361"/>
      </w:pPr>
      <w:rPr>
        <w:rFonts w:ascii="Symbol" w:hAnsi="Symbol" w:cs="Symbol" w:hint="default"/>
      </w:rPr>
    </w:lvl>
  </w:abstractNum>
  <w:abstractNum w:abstractNumId="8">
    <w:lvl w:ilvl="0">
      <w:start w:val="7"/>
      <w:numFmt w:val="decimal"/>
      <w:lvlText w:val=""/>
      <w:lvlJc w:val="left"/>
      <w:pPr>
        <w:ind w:left="100" w:hanging="241"/>
      </w:pPr>
    </w:lvl>
    <w:lvl w:ilvl="1">
      <w:start w:val="3"/>
      <w:numFmt w:val="decimal"/>
      <w:lvlText w:val="%1.%2"/>
      <w:lvlJc w:val="left"/>
      <w:pPr>
        <w:ind w:left="100" w:hanging="241"/>
      </w:pPr>
      <w:rPr>
        <w:sz w:val="22"/>
        <w:spacing w:val="0"/>
        <w:szCs w:val="16"/>
        <w:w w:val="100"/>
      </w:rPr>
    </w:lvl>
    <w:lvl w:ilvl="2">
      <w:start w:val="1"/>
      <w:numFmt w:val="bullet"/>
      <w:lvlText w:val=""/>
      <w:lvlJc w:val="left"/>
      <w:pPr>
        <w:ind w:left="2252" w:hanging="241"/>
      </w:pPr>
      <w:rPr>
        <w:rFonts w:ascii="Symbol" w:hAnsi="Symbol" w:cs="Symbol" w:hint="default"/>
      </w:rPr>
    </w:lvl>
    <w:lvl w:ilvl="3">
      <w:start w:val="1"/>
      <w:numFmt w:val="bullet"/>
      <w:lvlText w:val=""/>
      <w:lvlJc w:val="left"/>
      <w:pPr>
        <w:ind w:left="3328" w:hanging="241"/>
      </w:pPr>
      <w:rPr>
        <w:rFonts w:ascii="Symbol" w:hAnsi="Symbol" w:cs="Symbol" w:hint="default"/>
      </w:rPr>
    </w:lvl>
    <w:lvl w:ilvl="4">
      <w:start w:val="1"/>
      <w:numFmt w:val="bullet"/>
      <w:lvlText w:val=""/>
      <w:lvlJc w:val="left"/>
      <w:pPr>
        <w:ind w:left="4404" w:hanging="241"/>
      </w:pPr>
      <w:rPr>
        <w:rFonts w:ascii="Symbol" w:hAnsi="Symbol" w:cs="Symbol" w:hint="default"/>
      </w:rPr>
    </w:lvl>
    <w:lvl w:ilvl="5">
      <w:start w:val="1"/>
      <w:numFmt w:val="bullet"/>
      <w:lvlText w:val=""/>
      <w:lvlJc w:val="left"/>
      <w:pPr>
        <w:ind w:left="5480" w:hanging="241"/>
      </w:pPr>
      <w:rPr>
        <w:rFonts w:ascii="Symbol" w:hAnsi="Symbol" w:cs="Symbol" w:hint="default"/>
      </w:rPr>
    </w:lvl>
    <w:lvl w:ilvl="6">
      <w:start w:val="1"/>
      <w:numFmt w:val="bullet"/>
      <w:lvlText w:val=""/>
      <w:lvlJc w:val="left"/>
      <w:pPr>
        <w:ind w:left="6556" w:hanging="241"/>
      </w:pPr>
      <w:rPr>
        <w:rFonts w:ascii="Symbol" w:hAnsi="Symbol" w:cs="Symbol" w:hint="default"/>
      </w:rPr>
    </w:lvl>
    <w:lvl w:ilvl="7">
      <w:start w:val="1"/>
      <w:numFmt w:val="bullet"/>
      <w:lvlText w:val=""/>
      <w:lvlJc w:val="left"/>
      <w:pPr>
        <w:ind w:left="7632" w:hanging="241"/>
      </w:pPr>
      <w:rPr>
        <w:rFonts w:ascii="Symbol" w:hAnsi="Symbol" w:cs="Symbol" w:hint="default"/>
      </w:rPr>
    </w:lvl>
    <w:lvl w:ilvl="8">
      <w:start w:val="1"/>
      <w:numFmt w:val="bullet"/>
      <w:lvlText w:val=""/>
      <w:lvlJc w:val="left"/>
      <w:pPr>
        <w:ind w:left="8708" w:hanging="241"/>
      </w:pPr>
      <w:rPr>
        <w:rFonts w:ascii="Symbol" w:hAnsi="Symbol" w:cs="Symbol" w:hint="default"/>
      </w:rPr>
    </w:lvl>
  </w:abstractNum>
  <w:abstractNum w:abstractNumId="9">
    <w:lvl w:ilvl="0">
      <w:start w:val="1"/>
      <w:numFmt w:val="lowerLetter"/>
      <w:lvlText w:val="%1)"/>
      <w:lvlJc w:val="left"/>
      <w:pPr>
        <w:ind w:left="264" w:hanging="165"/>
      </w:pPr>
      <w:rPr>
        <w:sz w:val="24"/>
        <w:szCs w:val="16"/>
        <w:w w:val="100"/>
      </w:rPr>
    </w:lvl>
    <w:lvl w:ilvl="1">
      <w:start w:val="1"/>
      <w:numFmt w:val="bullet"/>
      <w:lvlText w:val=""/>
      <w:lvlJc w:val="left"/>
      <w:pPr>
        <w:ind w:left="1320" w:hanging="165"/>
      </w:pPr>
      <w:rPr>
        <w:rFonts w:ascii="Symbol" w:hAnsi="Symbol" w:cs="Symbol" w:hint="default"/>
      </w:rPr>
    </w:lvl>
    <w:lvl w:ilvl="2">
      <w:start w:val="1"/>
      <w:numFmt w:val="bullet"/>
      <w:lvlText w:val=""/>
      <w:lvlJc w:val="left"/>
      <w:pPr>
        <w:ind w:left="2380" w:hanging="165"/>
      </w:pPr>
      <w:rPr>
        <w:rFonts w:ascii="Symbol" w:hAnsi="Symbol" w:cs="Symbol" w:hint="default"/>
      </w:rPr>
    </w:lvl>
    <w:lvl w:ilvl="3">
      <w:start w:val="1"/>
      <w:numFmt w:val="bullet"/>
      <w:lvlText w:val=""/>
      <w:lvlJc w:val="left"/>
      <w:pPr>
        <w:ind w:left="3440" w:hanging="165"/>
      </w:pPr>
      <w:rPr>
        <w:rFonts w:ascii="Symbol" w:hAnsi="Symbol" w:cs="Symbol" w:hint="default"/>
      </w:rPr>
    </w:lvl>
    <w:lvl w:ilvl="4">
      <w:start w:val="1"/>
      <w:numFmt w:val="bullet"/>
      <w:lvlText w:val=""/>
      <w:lvlJc w:val="left"/>
      <w:pPr>
        <w:ind w:left="4500" w:hanging="165"/>
      </w:pPr>
      <w:rPr>
        <w:rFonts w:ascii="Symbol" w:hAnsi="Symbol" w:cs="Symbol" w:hint="default"/>
      </w:rPr>
    </w:lvl>
    <w:lvl w:ilvl="5">
      <w:start w:val="1"/>
      <w:numFmt w:val="bullet"/>
      <w:lvlText w:val=""/>
      <w:lvlJc w:val="left"/>
      <w:pPr>
        <w:ind w:left="5560" w:hanging="165"/>
      </w:pPr>
      <w:rPr>
        <w:rFonts w:ascii="Symbol" w:hAnsi="Symbol" w:cs="Symbol" w:hint="default"/>
      </w:rPr>
    </w:lvl>
    <w:lvl w:ilvl="6">
      <w:start w:val="1"/>
      <w:numFmt w:val="bullet"/>
      <w:lvlText w:val=""/>
      <w:lvlJc w:val="left"/>
      <w:pPr>
        <w:ind w:left="6620" w:hanging="165"/>
      </w:pPr>
      <w:rPr>
        <w:rFonts w:ascii="Symbol" w:hAnsi="Symbol" w:cs="Symbol" w:hint="default"/>
      </w:rPr>
    </w:lvl>
    <w:lvl w:ilvl="7">
      <w:start w:val="1"/>
      <w:numFmt w:val="bullet"/>
      <w:lvlText w:val=""/>
      <w:lvlJc w:val="left"/>
      <w:pPr>
        <w:ind w:left="7680" w:hanging="165"/>
      </w:pPr>
      <w:rPr>
        <w:rFonts w:ascii="Symbol" w:hAnsi="Symbol" w:cs="Symbol" w:hint="default"/>
      </w:rPr>
    </w:lvl>
    <w:lvl w:ilvl="8">
      <w:start w:val="1"/>
      <w:numFmt w:val="bullet"/>
      <w:lvlText w:val=""/>
      <w:lvlJc w:val="left"/>
      <w:pPr>
        <w:ind w:left="8740" w:hanging="165"/>
      </w:pPr>
      <w:rPr>
        <w:rFonts w:ascii="Symbol" w:hAnsi="Symbol" w:cs="Symbol" w:hint="default"/>
      </w:rPr>
    </w:lvl>
  </w:abstractNum>
  <w:abstractNum w:abstractNumId="10">
    <w:lvl w:ilvl="0">
      <w:start w:val="5"/>
      <w:numFmt w:val="decimal"/>
      <w:lvlText w:val=""/>
      <w:lvlJc w:val="left"/>
      <w:pPr>
        <w:ind w:left="500" w:hanging="401"/>
      </w:pPr>
    </w:lvl>
    <w:lvl w:ilvl="1">
      <w:start w:val="1"/>
      <w:numFmt w:val="decimal"/>
      <w:lvlText w:val="%1.%2"/>
      <w:lvlJc w:val="left"/>
      <w:pPr>
        <w:ind w:left="500" w:hanging="401"/>
      </w:pPr>
    </w:lvl>
    <w:lvl w:ilvl="2">
      <w:start w:val="6"/>
      <w:numFmt w:val="decimal"/>
      <w:lvlText w:val="%1.%2.%3."/>
      <w:lvlJc w:val="left"/>
      <w:pPr>
        <w:ind w:left="500" w:hanging="401"/>
      </w:pPr>
      <w:rPr>
        <w:sz w:val="24"/>
        <w:spacing w:val="0"/>
        <w:szCs w:val="16"/>
        <w:w w:val="100"/>
      </w:rPr>
    </w:lvl>
    <w:lvl w:ilvl="3">
      <w:start w:val="1"/>
      <w:numFmt w:val="decimal"/>
      <w:lvlText w:val="%1.%2.%3.%4."/>
      <w:lvlJc w:val="left"/>
      <w:pPr>
        <w:ind w:left="100" w:hanging="512"/>
      </w:pPr>
      <w:rPr>
        <w:sz w:val="22"/>
        <w:szCs w:val="16"/>
        <w:w w:val="100"/>
      </w:rPr>
    </w:lvl>
    <w:lvl w:ilvl="4">
      <w:start w:val="1"/>
      <w:numFmt w:val="bullet"/>
      <w:lvlText w:val=""/>
      <w:lvlJc w:val="left"/>
      <w:pPr>
        <w:ind w:left="3953" w:hanging="512"/>
      </w:pPr>
      <w:rPr>
        <w:rFonts w:ascii="Symbol" w:hAnsi="Symbol" w:cs="Symbol" w:hint="default"/>
      </w:rPr>
    </w:lvl>
    <w:lvl w:ilvl="5">
      <w:start w:val="1"/>
      <w:numFmt w:val="bullet"/>
      <w:lvlText w:val=""/>
      <w:lvlJc w:val="left"/>
      <w:pPr>
        <w:ind w:left="5104" w:hanging="512"/>
      </w:pPr>
      <w:rPr>
        <w:rFonts w:ascii="Symbol" w:hAnsi="Symbol" w:cs="Symbol" w:hint="default"/>
      </w:rPr>
    </w:lvl>
    <w:lvl w:ilvl="6">
      <w:start w:val="1"/>
      <w:numFmt w:val="bullet"/>
      <w:lvlText w:val=""/>
      <w:lvlJc w:val="left"/>
      <w:pPr>
        <w:ind w:left="6255" w:hanging="512"/>
      </w:pPr>
      <w:rPr>
        <w:rFonts w:ascii="Symbol" w:hAnsi="Symbol" w:cs="Symbol" w:hint="default"/>
      </w:rPr>
    </w:lvl>
    <w:lvl w:ilvl="7">
      <w:start w:val="1"/>
      <w:numFmt w:val="bullet"/>
      <w:lvlText w:val=""/>
      <w:lvlJc w:val="left"/>
      <w:pPr>
        <w:ind w:left="7406" w:hanging="512"/>
      </w:pPr>
      <w:rPr>
        <w:rFonts w:ascii="Symbol" w:hAnsi="Symbol" w:cs="Symbol" w:hint="default"/>
      </w:rPr>
    </w:lvl>
    <w:lvl w:ilvl="8">
      <w:start w:val="1"/>
      <w:numFmt w:val="bullet"/>
      <w:lvlText w:val=""/>
      <w:lvlJc w:val="left"/>
      <w:pPr>
        <w:ind w:left="8557" w:hanging="512"/>
      </w:pPr>
      <w:rPr>
        <w:rFonts w:ascii="Symbol" w:hAnsi="Symbol" w:cs="Symbol" w:hint="default"/>
      </w:rPr>
    </w:lvl>
  </w:abstractNum>
  <w:abstractNum w:abstractNumId="11">
    <w:lvl w:ilvl="0">
      <w:start w:val="5"/>
      <w:numFmt w:val="decimal"/>
      <w:lvlText w:val=""/>
      <w:lvlJc w:val="left"/>
      <w:pPr>
        <w:ind w:left="500" w:hanging="401"/>
      </w:pPr>
    </w:lvl>
    <w:lvl w:ilvl="1">
      <w:start w:val="1"/>
      <w:numFmt w:val="decimal"/>
      <w:lvlText w:val="%1.%2"/>
      <w:lvlJc w:val="left"/>
      <w:pPr>
        <w:ind w:left="500" w:hanging="401"/>
      </w:pPr>
    </w:lvl>
    <w:lvl w:ilvl="2">
      <w:start w:val="5"/>
      <w:numFmt w:val="decimal"/>
      <w:lvlText w:val="%1.%2.%3."/>
      <w:lvlJc w:val="left"/>
      <w:pPr>
        <w:ind w:left="500" w:hanging="401"/>
      </w:pPr>
      <w:rPr>
        <w:sz w:val="24"/>
        <w:spacing w:val="0"/>
        <w:szCs w:val="16"/>
        <w:w w:val="100"/>
      </w:rPr>
    </w:lvl>
    <w:lvl w:ilvl="3">
      <w:start w:val="1"/>
      <w:numFmt w:val="decimal"/>
      <w:lvlText w:val="%1.%2.%3.%4."/>
      <w:lvlJc w:val="left"/>
      <w:pPr>
        <w:ind w:left="100" w:hanging="521"/>
      </w:pPr>
      <w:rPr>
        <w:sz w:val="22"/>
        <w:spacing w:val="0"/>
        <w:szCs w:val="16"/>
        <w:w w:val="100"/>
      </w:rPr>
    </w:lvl>
    <w:lvl w:ilvl="4">
      <w:start w:val="1"/>
      <w:numFmt w:val="bullet"/>
      <w:lvlText w:val=""/>
      <w:lvlJc w:val="left"/>
      <w:pPr>
        <w:ind w:left="3953" w:hanging="521"/>
      </w:pPr>
      <w:rPr>
        <w:rFonts w:ascii="Symbol" w:hAnsi="Symbol" w:cs="Symbol" w:hint="default"/>
      </w:rPr>
    </w:lvl>
    <w:lvl w:ilvl="5">
      <w:start w:val="1"/>
      <w:numFmt w:val="bullet"/>
      <w:lvlText w:val=""/>
      <w:lvlJc w:val="left"/>
      <w:pPr>
        <w:ind w:left="5104" w:hanging="521"/>
      </w:pPr>
      <w:rPr>
        <w:rFonts w:ascii="Symbol" w:hAnsi="Symbol" w:cs="Symbol" w:hint="default"/>
      </w:rPr>
    </w:lvl>
    <w:lvl w:ilvl="6">
      <w:start w:val="1"/>
      <w:numFmt w:val="bullet"/>
      <w:lvlText w:val=""/>
      <w:lvlJc w:val="left"/>
      <w:pPr>
        <w:ind w:left="6255" w:hanging="521"/>
      </w:pPr>
      <w:rPr>
        <w:rFonts w:ascii="Symbol" w:hAnsi="Symbol" w:cs="Symbol" w:hint="default"/>
      </w:rPr>
    </w:lvl>
    <w:lvl w:ilvl="7">
      <w:start w:val="1"/>
      <w:numFmt w:val="bullet"/>
      <w:lvlText w:val=""/>
      <w:lvlJc w:val="left"/>
      <w:pPr>
        <w:ind w:left="7406" w:hanging="521"/>
      </w:pPr>
      <w:rPr>
        <w:rFonts w:ascii="Symbol" w:hAnsi="Symbol" w:cs="Symbol" w:hint="default"/>
      </w:rPr>
    </w:lvl>
    <w:lvl w:ilvl="8">
      <w:start w:val="1"/>
      <w:numFmt w:val="bullet"/>
      <w:lvlText w:val=""/>
      <w:lvlJc w:val="left"/>
      <w:pPr>
        <w:ind w:left="8557" w:hanging="521"/>
      </w:pPr>
      <w:rPr>
        <w:rFonts w:ascii="Symbol" w:hAnsi="Symbol" w:cs="Symbol" w:hint="default"/>
      </w:rPr>
    </w:lvl>
  </w:abstractNum>
  <w:abstractNum w:abstractNumId="12">
    <w:lvl w:ilvl="0">
      <w:start w:val="5"/>
      <w:numFmt w:val="decimal"/>
      <w:lvlText w:val=""/>
      <w:lvlJc w:val="left"/>
      <w:pPr>
        <w:ind w:left="500" w:hanging="401"/>
      </w:pPr>
    </w:lvl>
    <w:lvl w:ilvl="1">
      <w:start w:val="1"/>
      <w:numFmt w:val="decimal"/>
      <w:lvlText w:val="%1.%2"/>
      <w:lvlJc w:val="left"/>
      <w:pPr>
        <w:ind w:left="500" w:hanging="401"/>
      </w:pPr>
    </w:lvl>
    <w:lvl w:ilvl="2">
      <w:start w:val="4"/>
      <w:numFmt w:val="decimal"/>
      <w:lvlText w:val="%1.%2.%3."/>
      <w:lvlJc w:val="left"/>
      <w:pPr>
        <w:ind w:left="500" w:hanging="401"/>
      </w:pPr>
      <w:rPr>
        <w:sz w:val="24"/>
        <w:spacing w:val="0"/>
        <w:szCs w:val="16"/>
        <w:w w:val="100"/>
      </w:rPr>
    </w:lvl>
    <w:lvl w:ilvl="3">
      <w:start w:val="1"/>
      <w:numFmt w:val="decimal"/>
      <w:lvlText w:val="%1.%2.%3.%4."/>
      <w:lvlJc w:val="left"/>
      <w:pPr>
        <w:ind w:left="100" w:hanging="512"/>
      </w:pPr>
      <w:rPr>
        <w:sz w:val="22"/>
        <w:szCs w:val="16"/>
        <w:w w:val="100"/>
      </w:rPr>
    </w:lvl>
    <w:lvl w:ilvl="4">
      <w:start w:val="1"/>
      <w:numFmt w:val="bullet"/>
      <w:lvlText w:val=""/>
      <w:lvlJc w:val="left"/>
      <w:pPr>
        <w:ind w:left="3953" w:hanging="512"/>
      </w:pPr>
      <w:rPr>
        <w:rFonts w:ascii="Symbol" w:hAnsi="Symbol" w:cs="Symbol" w:hint="default"/>
      </w:rPr>
    </w:lvl>
    <w:lvl w:ilvl="5">
      <w:start w:val="1"/>
      <w:numFmt w:val="bullet"/>
      <w:lvlText w:val=""/>
      <w:lvlJc w:val="left"/>
      <w:pPr>
        <w:ind w:left="5104" w:hanging="512"/>
      </w:pPr>
      <w:rPr>
        <w:rFonts w:ascii="Symbol" w:hAnsi="Symbol" w:cs="Symbol" w:hint="default"/>
      </w:rPr>
    </w:lvl>
    <w:lvl w:ilvl="6">
      <w:start w:val="1"/>
      <w:numFmt w:val="bullet"/>
      <w:lvlText w:val=""/>
      <w:lvlJc w:val="left"/>
      <w:pPr>
        <w:ind w:left="6255" w:hanging="512"/>
      </w:pPr>
      <w:rPr>
        <w:rFonts w:ascii="Symbol" w:hAnsi="Symbol" w:cs="Symbol" w:hint="default"/>
      </w:rPr>
    </w:lvl>
    <w:lvl w:ilvl="7">
      <w:start w:val="1"/>
      <w:numFmt w:val="bullet"/>
      <w:lvlText w:val=""/>
      <w:lvlJc w:val="left"/>
      <w:pPr>
        <w:ind w:left="7406" w:hanging="512"/>
      </w:pPr>
      <w:rPr>
        <w:rFonts w:ascii="Symbol" w:hAnsi="Symbol" w:cs="Symbol" w:hint="default"/>
      </w:rPr>
    </w:lvl>
    <w:lvl w:ilvl="8">
      <w:start w:val="1"/>
      <w:numFmt w:val="bullet"/>
      <w:lvlText w:val=""/>
      <w:lvlJc w:val="left"/>
      <w:pPr>
        <w:ind w:left="8557" w:hanging="512"/>
      </w:pPr>
      <w:rPr>
        <w:rFonts w:ascii="Symbol" w:hAnsi="Symbol" w:cs="Symbol" w:hint="default"/>
      </w:rPr>
    </w:lvl>
  </w:abstractNum>
  <w:abstractNum w:abstractNumId="13">
    <w:lvl w:ilvl="0">
      <w:start w:val="5"/>
      <w:numFmt w:val="decimal"/>
      <w:lvlText w:val=""/>
      <w:lvlJc w:val="left"/>
      <w:pPr>
        <w:ind w:left="500" w:hanging="401"/>
      </w:pPr>
    </w:lvl>
    <w:lvl w:ilvl="1">
      <w:start w:val="1"/>
      <w:numFmt w:val="decimal"/>
      <w:lvlText w:val="%1.%2"/>
      <w:lvlJc w:val="left"/>
      <w:pPr>
        <w:ind w:left="500" w:hanging="401"/>
      </w:pPr>
    </w:lvl>
    <w:lvl w:ilvl="2">
      <w:start w:val="3"/>
      <w:numFmt w:val="decimal"/>
      <w:lvlText w:val="%1.%2.%3."/>
      <w:lvlJc w:val="left"/>
      <w:pPr>
        <w:ind w:left="500" w:hanging="401"/>
      </w:pPr>
      <w:rPr>
        <w:sz w:val="24"/>
        <w:spacing w:val="0"/>
        <w:szCs w:val="16"/>
        <w:w w:val="100"/>
      </w:rPr>
    </w:lvl>
    <w:lvl w:ilvl="3">
      <w:start w:val="1"/>
      <w:numFmt w:val="decimal"/>
      <w:lvlText w:val="%1.%2.%3.%4."/>
      <w:lvlJc w:val="left"/>
      <w:pPr>
        <w:ind w:left="100" w:hanging="512"/>
      </w:pPr>
      <w:rPr>
        <w:sz w:val="22"/>
        <w:szCs w:val="16"/>
        <w:w w:val="100"/>
      </w:rPr>
    </w:lvl>
    <w:lvl w:ilvl="4">
      <w:start w:val="1"/>
      <w:numFmt w:val="bullet"/>
      <w:lvlText w:val=""/>
      <w:lvlJc w:val="left"/>
      <w:pPr>
        <w:ind w:left="3953" w:hanging="512"/>
      </w:pPr>
      <w:rPr>
        <w:rFonts w:ascii="Symbol" w:hAnsi="Symbol" w:cs="Symbol" w:hint="default"/>
      </w:rPr>
    </w:lvl>
    <w:lvl w:ilvl="5">
      <w:start w:val="1"/>
      <w:numFmt w:val="bullet"/>
      <w:lvlText w:val=""/>
      <w:lvlJc w:val="left"/>
      <w:pPr>
        <w:ind w:left="5104" w:hanging="512"/>
      </w:pPr>
      <w:rPr>
        <w:rFonts w:ascii="Symbol" w:hAnsi="Symbol" w:cs="Symbol" w:hint="default"/>
      </w:rPr>
    </w:lvl>
    <w:lvl w:ilvl="6">
      <w:start w:val="1"/>
      <w:numFmt w:val="bullet"/>
      <w:lvlText w:val=""/>
      <w:lvlJc w:val="left"/>
      <w:pPr>
        <w:ind w:left="6255" w:hanging="512"/>
      </w:pPr>
      <w:rPr>
        <w:rFonts w:ascii="Symbol" w:hAnsi="Symbol" w:cs="Symbol" w:hint="default"/>
      </w:rPr>
    </w:lvl>
    <w:lvl w:ilvl="7">
      <w:start w:val="1"/>
      <w:numFmt w:val="bullet"/>
      <w:lvlText w:val=""/>
      <w:lvlJc w:val="left"/>
      <w:pPr>
        <w:ind w:left="7406" w:hanging="512"/>
      </w:pPr>
      <w:rPr>
        <w:rFonts w:ascii="Symbol" w:hAnsi="Symbol" w:cs="Symbol" w:hint="default"/>
      </w:rPr>
    </w:lvl>
    <w:lvl w:ilvl="8">
      <w:start w:val="1"/>
      <w:numFmt w:val="bullet"/>
      <w:lvlText w:val=""/>
      <w:lvlJc w:val="left"/>
      <w:pPr>
        <w:ind w:left="8557" w:hanging="512"/>
      </w:pPr>
      <w:rPr>
        <w:rFonts w:ascii="Symbol" w:hAnsi="Symbol" w:cs="Symbol" w:hint="default"/>
      </w:rPr>
    </w:lvl>
  </w:abstractNum>
  <w:abstractNum w:abstractNumId="14">
    <w:lvl w:ilvl="0">
      <w:start w:val="2"/>
      <w:numFmt w:val="decimal"/>
      <w:lvlText w:val=""/>
      <w:lvlJc w:val="left"/>
      <w:pPr>
        <w:ind w:left="100" w:hanging="281"/>
      </w:pPr>
    </w:lvl>
    <w:lvl w:ilvl="1">
      <w:start w:val="2"/>
      <w:numFmt w:val="decimal"/>
      <w:lvlText w:val="%1.%2."/>
      <w:lvlJc w:val="left"/>
      <w:pPr>
        <w:ind w:left="100" w:hanging="281"/>
      </w:pPr>
      <w:rPr>
        <w:sz w:val="22"/>
        <w:spacing w:val="0"/>
        <w:szCs w:val="16"/>
        <w:w w:val="100"/>
      </w:rPr>
    </w:lvl>
    <w:lvl w:ilvl="2">
      <w:start w:val="1"/>
      <w:numFmt w:val="decimal"/>
      <w:lvlText w:val="%1.%2.%3."/>
      <w:lvlJc w:val="left"/>
      <w:pPr>
        <w:ind w:left="500" w:hanging="401"/>
      </w:pPr>
      <w:rPr>
        <w:sz w:val="24"/>
        <w:spacing w:val="0"/>
        <w:szCs w:val="16"/>
        <w:w w:val="100"/>
      </w:rPr>
    </w:lvl>
    <w:lvl w:ilvl="3">
      <w:start w:val="1"/>
      <w:numFmt w:val="bullet"/>
      <w:lvlText w:val=""/>
      <w:lvlJc w:val="left"/>
      <w:pPr>
        <w:ind w:left="2802" w:hanging="401"/>
      </w:pPr>
      <w:rPr>
        <w:rFonts w:ascii="Symbol" w:hAnsi="Symbol" w:cs="Symbol" w:hint="default"/>
      </w:rPr>
    </w:lvl>
    <w:lvl w:ilvl="4">
      <w:start w:val="1"/>
      <w:numFmt w:val="bullet"/>
      <w:lvlText w:val=""/>
      <w:lvlJc w:val="left"/>
      <w:pPr>
        <w:ind w:left="3953" w:hanging="401"/>
      </w:pPr>
      <w:rPr>
        <w:rFonts w:ascii="Symbol" w:hAnsi="Symbol" w:cs="Symbol" w:hint="default"/>
      </w:rPr>
    </w:lvl>
    <w:lvl w:ilvl="5">
      <w:start w:val="1"/>
      <w:numFmt w:val="bullet"/>
      <w:lvlText w:val=""/>
      <w:lvlJc w:val="left"/>
      <w:pPr>
        <w:ind w:left="5104" w:hanging="401"/>
      </w:pPr>
      <w:rPr>
        <w:rFonts w:ascii="Symbol" w:hAnsi="Symbol" w:cs="Symbol" w:hint="default"/>
      </w:rPr>
    </w:lvl>
    <w:lvl w:ilvl="6">
      <w:start w:val="1"/>
      <w:numFmt w:val="bullet"/>
      <w:lvlText w:val=""/>
      <w:lvlJc w:val="left"/>
      <w:pPr>
        <w:ind w:left="6255" w:hanging="401"/>
      </w:pPr>
      <w:rPr>
        <w:rFonts w:ascii="Symbol" w:hAnsi="Symbol" w:cs="Symbol" w:hint="default"/>
      </w:rPr>
    </w:lvl>
    <w:lvl w:ilvl="7">
      <w:start w:val="1"/>
      <w:numFmt w:val="bullet"/>
      <w:lvlText w:val=""/>
      <w:lvlJc w:val="left"/>
      <w:pPr>
        <w:ind w:left="7406" w:hanging="401"/>
      </w:pPr>
      <w:rPr>
        <w:rFonts w:ascii="Symbol" w:hAnsi="Symbol" w:cs="Symbol" w:hint="default"/>
      </w:rPr>
    </w:lvl>
    <w:lvl w:ilvl="8">
      <w:start w:val="1"/>
      <w:numFmt w:val="bullet"/>
      <w:lvlText w:val=""/>
      <w:lvlJc w:val="left"/>
      <w:pPr>
        <w:ind w:left="8557" w:hanging="401"/>
      </w:pPr>
      <w:rPr>
        <w:rFonts w:ascii="Symbol" w:hAnsi="Symbol" w:cs="Symbol" w:hint="default"/>
      </w:rPr>
    </w:lvl>
  </w:abstractNum>
  <w:abstractNum w:abstractNumId="15">
    <w:lvl w:ilvl="0">
      <w:start w:val="1"/>
      <w:numFmt w:val="decimal"/>
      <w:lvlText w:val="%1."/>
      <w:lvlJc w:val="left"/>
      <w:pPr>
        <w:ind w:left="260" w:hanging="161"/>
      </w:pPr>
      <w:rPr>
        <w:sz w:val="24"/>
        <w:spacing w:val="0"/>
        <w:b/>
        <w:szCs w:val="16"/>
        <w:bCs/>
        <w:w w:val="100"/>
      </w:rPr>
    </w:lvl>
    <w:lvl w:ilvl="1">
      <w:start w:val="1"/>
      <w:numFmt w:val="decimal"/>
      <w:lvlText w:val="%1.%2."/>
      <w:lvlJc w:val="left"/>
      <w:pPr>
        <w:ind w:left="100" w:hanging="281"/>
      </w:pPr>
      <w:rPr>
        <w:sz w:val="24"/>
        <w:spacing w:val="0"/>
        <w:szCs w:val="20"/>
        <w:w w:val="100"/>
      </w:rPr>
    </w:lvl>
    <w:lvl w:ilvl="2">
      <w:start w:val="2"/>
      <w:numFmt w:val="decimal"/>
      <w:lvlText w:val="%1.%2.%3."/>
      <w:lvlJc w:val="left"/>
      <w:pPr>
        <w:ind w:left="500" w:hanging="401"/>
      </w:pPr>
      <w:rPr>
        <w:sz w:val="24"/>
        <w:b/>
        <w:szCs w:val="16"/>
        <w:w w:val="100"/>
      </w:rPr>
    </w:lvl>
    <w:lvl w:ilvl="3">
      <w:start w:val="1"/>
      <w:numFmt w:val="decimal"/>
      <w:lvlText w:val="%1.%2.%3.%4."/>
      <w:lvlJc w:val="left"/>
      <w:pPr>
        <w:ind w:left="100" w:hanging="521"/>
      </w:pPr>
      <w:rPr>
        <w:sz w:val="20"/>
        <w:szCs w:val="16"/>
        <w:w w:val="100"/>
      </w:rPr>
    </w:lvl>
    <w:lvl w:ilvl="4">
      <w:start w:val="1"/>
      <w:numFmt w:val="bullet"/>
      <w:lvlText w:val=""/>
      <w:lvlJc w:val="left"/>
      <w:pPr>
        <w:ind w:left="500" w:hanging="521"/>
      </w:pPr>
      <w:rPr>
        <w:rFonts w:ascii="Symbol" w:hAnsi="Symbol" w:cs="Symbol" w:hint="default"/>
      </w:rPr>
    </w:lvl>
    <w:lvl w:ilvl="5">
      <w:start w:val="1"/>
      <w:numFmt w:val="bullet"/>
      <w:lvlText w:val=""/>
      <w:lvlJc w:val="left"/>
      <w:pPr>
        <w:ind w:left="2226" w:hanging="521"/>
      </w:pPr>
      <w:rPr>
        <w:rFonts w:ascii="Symbol" w:hAnsi="Symbol" w:cs="Symbol" w:hint="default"/>
      </w:rPr>
    </w:lvl>
    <w:lvl w:ilvl="6">
      <w:start w:val="1"/>
      <w:numFmt w:val="bullet"/>
      <w:lvlText w:val=""/>
      <w:lvlJc w:val="left"/>
      <w:pPr>
        <w:ind w:left="3953" w:hanging="521"/>
      </w:pPr>
      <w:rPr>
        <w:rFonts w:ascii="Symbol" w:hAnsi="Symbol" w:cs="Symbol" w:hint="default"/>
      </w:rPr>
    </w:lvl>
    <w:lvl w:ilvl="7">
      <w:start w:val="1"/>
      <w:numFmt w:val="bullet"/>
      <w:lvlText w:val=""/>
      <w:lvlJc w:val="left"/>
      <w:pPr>
        <w:ind w:left="5680" w:hanging="521"/>
      </w:pPr>
      <w:rPr>
        <w:rFonts w:ascii="Symbol" w:hAnsi="Symbol" w:cs="Symbol" w:hint="default"/>
      </w:rPr>
    </w:lvl>
    <w:lvl w:ilvl="8">
      <w:start w:val="1"/>
      <w:numFmt w:val="bullet"/>
      <w:lvlText w:val=""/>
      <w:lvlJc w:val="left"/>
      <w:pPr>
        <w:ind w:left="7406" w:hanging="521"/>
      </w:pPr>
      <w:rPr>
        <w:rFonts w:ascii="Symbol" w:hAnsi="Symbol" w:cs="Symbol" w:hint="default"/>
      </w:rPr>
    </w:lvl>
  </w:abstractNum>
  <w:abstractNum w:abstractNumId="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18"/>
      <w:numFmt w:val="decimal"/>
      <w:lvlText w:val=""/>
      <w:lvlJc w:val="left"/>
      <w:pPr>
        <w:ind w:left="540" w:hanging="540"/>
      </w:pPr>
    </w:lvl>
    <w:lvl w:ilvl="1">
      <w:start w:val="1"/>
      <w:numFmt w:val="decimal"/>
      <w:lvlText w:val="%1.%2"/>
      <w:lvlJc w:val="left"/>
      <w:pPr>
        <w:ind w:left="611" w:hanging="540"/>
      </w:pPr>
    </w:lvl>
    <w:lvl w:ilvl="2">
      <w:start w:val="1"/>
      <w:numFmt w:val="decimal"/>
      <w:lvlText w:val="%1.%2.%3"/>
      <w:lvlJc w:val="left"/>
      <w:pPr>
        <w:ind w:left="862" w:hanging="720"/>
      </w:pPr>
    </w:lvl>
    <w:lvl w:ilvl="3">
      <w:start w:val="1"/>
      <w:numFmt w:val="decimal"/>
      <w:lvlText w:val="%1.%2.%3.%4"/>
      <w:lvlJc w:val="left"/>
      <w:pPr>
        <w:ind w:left="933" w:hanging="720"/>
      </w:pPr>
    </w:lvl>
    <w:lvl w:ilvl="4">
      <w:start w:val="1"/>
      <w:numFmt w:val="decimal"/>
      <w:lvlText w:val="%1.%2.%3.%4.%5"/>
      <w:lvlJc w:val="left"/>
      <w:pPr>
        <w:ind w:left="1364" w:hanging="1080"/>
      </w:pPr>
    </w:lvl>
    <w:lvl w:ilvl="5">
      <w:start w:val="1"/>
      <w:numFmt w:val="decimal"/>
      <w:lvlText w:val="%1.%2.%3.%4.%5.%6"/>
      <w:lvlJc w:val="left"/>
      <w:pPr>
        <w:ind w:left="1435" w:hanging="1080"/>
      </w:pPr>
    </w:lvl>
    <w:lvl w:ilvl="6">
      <w:start w:val="1"/>
      <w:numFmt w:val="decimal"/>
      <w:lvlText w:val="%1.%2.%3.%4.%5.%6.%7"/>
      <w:lvlJc w:val="left"/>
      <w:pPr>
        <w:ind w:left="1866" w:hanging="1440"/>
      </w:pPr>
    </w:lvl>
    <w:lvl w:ilvl="7">
      <w:start w:val="1"/>
      <w:numFmt w:val="decimal"/>
      <w:lvlText w:val="%1.%2.%3.%4.%5.%6.%7.%8"/>
      <w:lvlJc w:val="left"/>
      <w:pPr>
        <w:ind w:left="1937" w:hanging="1440"/>
      </w:pPr>
    </w:lvl>
    <w:lvl w:ilvl="8">
      <w:start w:val="1"/>
      <w:numFmt w:val="decimal"/>
      <w:lvlText w:val="%1.%2.%3.%4.%5.%6.%7.%8.%9"/>
      <w:lvlJc w:val="left"/>
      <w:pPr>
        <w:ind w:left="2368" w:hanging="1800"/>
      </w:pPr>
    </w:lvl>
  </w:abstractNum>
  <w:abstractNum w:abstractNumId="1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32"/>
  <w:defaultTabStop w:val="720"/>
</w:settings>
</file>

<file path=word/styles.xml><?xml version="1.0" encoding="utf-8"?>
<w:styles xmlns:w="http://schemas.openxmlformats.org/wordprocessingml/2006/main">
  <w:docDefaults>
    <w:rPrDefault>
      <w:rPr>
        <w:rFonts w:ascii="Liberation Serif" w:hAnsi="Liberation Serif" w:eastAsia="SimSun" w:cs="Lucida Sans"/>
        <w:szCs w:val="24"/>
        <w:lang w:val="pt-BR" w:eastAsia="zh-CN" w:bidi="hi-IN"/>
      </w:rPr>
    </w:rPrDefault>
    <w:pPrDefault>
      <w:pPr/>
    </w:pPrDefault>
  </w:docDefaults>
  <w:latentStyles w:count="267" w:defQFormat="0" w:defUnhideWhenUsed="1" w:defSemiHidden="1" w:defUIPriority="0" w:defLockedState="0">
    <w:lsdException w:qFormat="1" w:unhideWhenUsed="0" w:semiHidden="0" w:name="Normal"/>
    <w:lsdException w:qFormat="1" w:unhideWhenUsed="0" w:semiHidden="0" w:name="heading 1"/>
    <w:lsdException w:qFormat="1" w:unhideWhenUsed="0" w:semiHidden="0" w:name="heading 2"/>
    <w:lsdException w:qFormat="1" w:name="heading 3"/>
    <w:lsdException w:qFormat="1" w:name="heading 4"/>
    <w:lsdException w:qFormat="1" w:name="heading 5"/>
    <w:lsdException w:qFormat="1" w:name="heading 6"/>
    <w:lsdException w:qFormat="1" w:name="heading 7"/>
    <w:lsdException w:qFormat="1" w:name="heading 8"/>
    <w:lsdException w:qFormat="1" w:name="heading 9"/>
    <w:lsdException w:qFormat="1" w:name="caption"/>
    <w:lsdException w:unhideWhenUsed="0" w:semiHidden="0" w:name="List Number"/>
    <w:lsdException w:unhideWhenUsed="0" w:semiHidden="0" w:name="List 4"/>
    <w:lsdException w:unhideWhenUsed="0" w:semiHidden="0" w:name="List 5"/>
    <w:lsdException w:qFormat="1" w:unhideWhenUsed="0" w:semiHidden="0" w:name="Title"/>
    <w:lsdException w:qFormat="1" w:unhideWhenUsed="0" w:semiHidden="0" w:name="Subtitle"/>
    <w:lsdException w:unhideWhenUsed="0" w:semiHidden="0" w:name="Salutation"/>
    <w:lsdException w:unhideWhenUsed="0" w:semiHidden="0" w:name="Date"/>
    <w:lsdException w:unhideWhenUsed="0" w:semiHidden="0" w:name="Body Text First Indent"/>
    <w:lsdException w:qFormat="1" w:unhideWhenUsed="0" w:semiHidden="0" w:name="Strong"/>
    <w:lsdException w:qFormat="1" w:unhideWhenUsed="0" w:semiHidden="0" w:name="Emphasis"/>
    <w:lsdException w:uiPriority="99" w:name="Normal (Web)"/>
    <w:lsdException w:uiPriority="99" w:name="No List"/>
    <w:lsdException w:unhideWhenUsed="0" w:semiHidden="0" w:name="Table Grid"/>
    <w:lsdException w:unhideWhenUsed="0" w:uiPriority="99"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uiPriority="99"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976da1"/>
    <w:pPr>
      <w:widowControl/>
      <w:suppressAutoHyphens w:val="true"/>
      <w:bidi w:val="0"/>
      <w:jc w:val="left"/>
    </w:pPr>
    <w:rPr>
      <w:rFonts w:ascii="Arial" w:hAnsi="Arial" w:eastAsia="SimSun" w:cs="Tahoma"/>
      <w:color w:val="00000A"/>
      <w:sz w:val="20"/>
      <w:szCs w:val="24"/>
      <w:lang w:val="pt-BR" w:eastAsia="zh-CN" w:bidi="hi-IN"/>
    </w:rPr>
  </w:style>
  <w:style w:type="paragraph" w:styleId="Ttulo1">
    <w:name w:val="Título 1"/>
    <w:qFormat/>
    <w:link w:val="Ttulo1Char"/>
    <w:rsid w:val="00976da1"/>
    <w:basedOn w:val="Normal"/>
    <w:next w:val="Normal"/>
    <w:pPr>
      <w:keepNext/>
      <w:keepLines/>
      <w:spacing w:before="240" w:after="0"/>
      <w:outlineLvl w:val="0"/>
    </w:pPr>
    <w:rPr>
      <w:rFonts w:ascii="Cambria" w:hAnsi="Cambria"/>
      <w:color w:val="365F91"/>
      <w:sz w:val="32"/>
      <w:szCs w:val="32"/>
    </w:rPr>
  </w:style>
  <w:style w:type="paragraph" w:styleId="Ttulo2">
    <w:name w:val="Título 2"/>
    <w:qFormat/>
    <w:link w:val="Ttulo2Char"/>
    <w:rsid w:val="004b460a"/>
    <w:basedOn w:val="Normal"/>
    <w:next w:val="Normal"/>
    <w:pPr>
      <w:keepNext/>
      <w:tabs>
        <w:tab w:val="left" w:pos="1701" w:leader="none"/>
      </w:tabs>
      <w:ind w:left="0" w:right="-1" w:hanging="0"/>
      <w:jc w:val="center"/>
      <w:outlineLvl w:val="1"/>
    </w:pPr>
    <w:rPr>
      <w:rFonts w:ascii="Times New Roman" w:hAnsi="Times New Roman" w:cs="Times New Roman"/>
      <w:b/>
      <w:color w:val="000000"/>
      <w:szCs w:val="20"/>
    </w:rPr>
  </w:style>
  <w:style w:type="character" w:styleId="DefaultParagraphFont" w:default="1">
    <w:name w:val="Default Paragraph Font"/>
    <w:uiPriority w:val="1"/>
    <w:semiHidden/>
    <w:unhideWhenUsed/>
    <w:rPr/>
  </w:style>
  <w:style w:type="character" w:styleId="TextodebaloChar" w:customStyle="1">
    <w:name w:val="Texto de balão Char"/>
    <w:qFormat/>
    <w:link w:val="Textodebalo"/>
    <w:rsid w:val="003a73c1"/>
    <w:rPr>
      <w:rFonts w:ascii="Tahoma" w:hAnsi="Tahoma" w:cs="Tahoma"/>
      <w:sz w:val="16"/>
      <w:szCs w:val="16"/>
    </w:rPr>
  </w:style>
  <w:style w:type="character" w:styleId="Ttulo2Char" w:customStyle="1">
    <w:name w:val="Título 2 Char"/>
    <w:qFormat/>
    <w:link w:val="Ttulo2"/>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qFormat/>
    <w:rsid w:val="00260802"/>
    <w:basedOn w:val="DefaultParagraphFont"/>
    <w:rPr/>
  </w:style>
  <w:style w:type="character" w:styleId="LinkdaInternet" w:customStyle="1">
    <w:name w:val="Link da Internet"/>
    <w:unhideWhenUsed/>
    <w:rsid w:val="0075293a"/>
    <w:basedOn w:val="DefaultParagraphFont"/>
    <w:rPr>
      <w:color w:val="0000FF"/>
      <w:u w:val="single"/>
      <w:lang w:val="zxx" w:eastAsia="zxx" w:bidi="zxx"/>
    </w:rPr>
  </w:style>
  <w:style w:type="character" w:styleId="CitaoChar" w:customStyle="1">
    <w:name w:val="Citação Char"/>
    <w:uiPriority w:val="29"/>
    <w:qFormat/>
    <w:link w:val="Citao"/>
    <w:rsid w:val="00c322f1"/>
    <w:rPr>
      <w:rFonts w:ascii="Ecofont_Spranq_eco_Sans" w:hAnsi="Ecofont_Spranq_eco_Sans" w:eastAsia="Calibri" w:cs="Tahoma"/>
      <w:i/>
      <w:iCs/>
      <w:color w:val="000000"/>
      <w:szCs w:val="24"/>
      <w:shd w:fill="FFFFCC" w:val="clear"/>
      <w:lang w:eastAsia="en-US"/>
    </w:rPr>
  </w:style>
  <w:style w:type="character" w:styleId="Citao2Char" w:customStyle="1">
    <w:name w:val="citação 2 Char"/>
    <w:qFormat/>
    <w:rsid w:val="000a23da"/>
    <w:basedOn w:val="CitaoChar"/>
    <w:rPr>
      <w:rFonts w:ascii="Ecofont_Spranq_eco_Sans" w:hAnsi="Ecofont_Spranq_eco_Sans" w:eastAsia="Calibri" w:cs="Tahoma"/>
      <w:i/>
      <w:iCs/>
      <w:color w:val="000000"/>
      <w:szCs w:val="24"/>
      <w:shd w:fill="FFFFCC" w:val="clear"/>
      <w:lang w:eastAsia="en-US"/>
    </w:rPr>
  </w:style>
  <w:style w:type="character" w:styleId="CabealhoChar" w:customStyle="1">
    <w:name w:val="Cabeçalho Char"/>
    <w:qFormat/>
    <w:link w:val="Cabealho"/>
    <w:rsid w:val="000f104d"/>
    <w:rPr>
      <w:rFonts w:ascii="Ecofont_Spranq_eco_Sans" w:hAnsi="Ecofont_Spranq_eco_Sans" w:cs="Tahoma"/>
      <w:sz w:val="24"/>
      <w:szCs w:val="24"/>
    </w:rPr>
  </w:style>
  <w:style w:type="character" w:styleId="RodapChar" w:customStyle="1">
    <w:name w:val="Rodapé Char"/>
    <w:qFormat/>
    <w:link w:val="Rodap"/>
    <w:rsid w:val="000f104d"/>
    <w:rPr>
      <w:rFonts w:ascii="Ecofont_Spranq_eco_Sans" w:hAnsi="Ecofont_Spranq_eco_Sans" w:cs="Tahoma"/>
      <w:sz w:val="24"/>
      <w:szCs w:val="24"/>
    </w:rPr>
  </w:style>
  <w:style w:type="character" w:styleId="Cp0020corpodespachochar1" w:customStyle="1">
    <w:name w:val="cp_0020corpodespacho__char1"/>
    <w:qFormat/>
    <w:rsid w:val="000f104d"/>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0f104d"/>
    <w:rPr>
      <w:rFonts w:ascii="Times New Roman" w:hAnsi="Times New Roman" w:cs="Times New Roman"/>
      <w:strike w:val="false"/>
      <w:dstrike w:val="false"/>
      <w:sz w:val="28"/>
      <w:szCs w:val="28"/>
      <w:u w:val="none"/>
      <w:effect w:val="none"/>
    </w:rPr>
  </w:style>
  <w:style w:type="character" w:styleId="Ttulo1Char" w:customStyle="1">
    <w:name w:val="Título 1 Char"/>
    <w:qFormat/>
    <w:link w:val="Ttulo1"/>
    <w:rsid w:val="00976da1"/>
    <w:basedOn w:val="DefaultParagraphFont"/>
    <w:rPr>
      <w:rFonts w:ascii="Cambria" w:hAnsi="Cambria"/>
      <w:color w:val="365F91"/>
      <w:sz w:val="32"/>
      <w:szCs w:val="32"/>
    </w:rPr>
  </w:style>
  <w:style w:type="character" w:styleId="Nivel1Char" w:customStyle="1">
    <w:name w:val="Nivel1 Char"/>
    <w:qFormat/>
    <w:link w:val="Nivel1"/>
    <w:rsid w:val="00976da1"/>
    <w:basedOn w:val="Ttulo1Char"/>
    <w:rPr>
      <w:rFonts w:ascii="Arial" w:hAnsi="Arial" w:cs="Arial"/>
      <w:b/>
      <w:color w:val="000000"/>
      <w:sz w:val="32"/>
      <w:szCs w:val="32"/>
    </w:rPr>
  </w:style>
  <w:style w:type="character" w:styleId="Nivel01Char" w:customStyle="1">
    <w:name w:val="Nivel 01 Char"/>
    <w:qFormat/>
    <w:link w:val="Nivel01"/>
    <w:rsid w:val="00976da1"/>
    <w:basedOn w:val="Ttulo1Char"/>
    <w:rPr>
      <w:rFonts w:ascii="Arial" w:hAnsi="Arial"/>
      <w:b/>
      <w:bCs/>
      <w:color w:val="000000"/>
      <w:sz w:val="32"/>
      <w:szCs w:val="32"/>
    </w:rPr>
  </w:style>
  <w:style w:type="character" w:styleId="Annotationreference">
    <w:name w:val="annotation reference"/>
    <w:qFormat/>
    <w:semiHidden/>
    <w:unhideWhenUsed/>
    <w:rsid w:val="009d787b"/>
    <w:basedOn w:val="DefaultParagraphFont"/>
    <w:rPr>
      <w:sz w:val="16"/>
      <w:szCs w:val="16"/>
    </w:rPr>
  </w:style>
  <w:style w:type="character" w:styleId="TextodecomentrioChar" w:customStyle="1">
    <w:name w:val="Texto de comentário Char"/>
    <w:qFormat/>
    <w:link w:val="Textodecomentrio"/>
    <w:rsid w:val="009d787b"/>
    <w:basedOn w:val="DefaultParagraphFont"/>
    <w:rPr>
      <w:rFonts w:ascii="Arial" w:hAnsi="Arial" w:cs="Tahoma"/>
    </w:rPr>
  </w:style>
  <w:style w:type="character" w:styleId="AssuntodocomentrioChar" w:customStyle="1">
    <w:name w:val="Assunto do comentário Char"/>
    <w:qFormat/>
    <w:semiHidden/>
    <w:link w:val="Assuntodocomentrio"/>
    <w:rsid w:val="009d787b"/>
    <w:basedOn w:val="TextodecomentrioChar"/>
    <w:rPr>
      <w:rFonts w:ascii="Arial" w:hAnsi="Arial" w:cs="Tahoma"/>
      <w:b/>
      <w:bCs/>
    </w:rPr>
  </w:style>
  <w:style w:type="character" w:styleId="GradeColoridanfase1Char" w:customStyle="1">
    <w:name w:val="Grade Colorida - Ênfase 1 Char"/>
    <w:uiPriority w:val="29"/>
    <w:qFormat/>
    <w:rsid w:val="0034193b"/>
    <w:rPr>
      <w:rFonts w:ascii="Arial" w:hAnsi="Arial" w:eastAsia="Calibri"/>
      <w:i/>
      <w:iCs/>
      <w:color w:val="000000"/>
      <w:szCs w:val="24"/>
      <w:shd w:fill="FFFFCC" w:val="clear"/>
      <w:lang w:val="x-none" w:eastAsia="en-US"/>
    </w:rPr>
  </w:style>
  <w:style w:type="character" w:styleId="ListLabel1" w:customStyle="1">
    <w:name w:val="ListLabel 1"/>
    <w:qFormat/>
    <w:rPr>
      <w:b/>
      <w:strike w:val="false"/>
      <w:dstrike w:val="false"/>
    </w:rPr>
  </w:style>
  <w:style w:type="character" w:styleId="ListLabel2" w:customStyle="1">
    <w:name w:val="ListLabel 2"/>
    <w:qFormat/>
    <w:rPr>
      <w:b/>
    </w:rPr>
  </w:style>
  <w:style w:type="character" w:styleId="ListLabel3" w:customStyle="1">
    <w:name w:val="ListLabel 3"/>
    <w:qFormat/>
    <w:rPr>
      <w:b w:val="false"/>
      <w:i w:val="false"/>
    </w:rPr>
  </w:style>
  <w:style w:type="character" w:styleId="ListLabel4" w:customStyle="1">
    <w:name w:val="ListLabel 4"/>
    <w:qFormat/>
    <w:rPr>
      <w:b w:val="false"/>
    </w:rPr>
  </w:style>
  <w:style w:type="character" w:styleId="ListLabel5" w:customStyle="1">
    <w:name w:val="ListLabel 5"/>
    <w:qFormat/>
    <w:rPr>
      <w:b w:val="false"/>
    </w:rPr>
  </w:style>
  <w:style w:type="character" w:styleId="ListLabel6" w:customStyle="1">
    <w:name w:val="ListLabel 6"/>
    <w:qFormat/>
    <w:rPr>
      <w:b w:val="false"/>
    </w:rPr>
  </w:style>
  <w:style w:type="character" w:styleId="ListLabel7" w:customStyle="1">
    <w:name w:val="ListLabel 7"/>
    <w:qFormat/>
    <w:rPr>
      <w:b w:val="false"/>
    </w:rPr>
  </w:style>
  <w:style w:type="character" w:styleId="ListLabel8" w:customStyle="1">
    <w:name w:val="ListLabel 8"/>
    <w:qFormat/>
    <w:rPr>
      <w:b w:val="false"/>
    </w:rPr>
  </w:style>
  <w:style w:type="character" w:styleId="ListLabel9" w:customStyle="1">
    <w:name w:val="ListLabel 9"/>
    <w:qFormat/>
    <w:rPr>
      <w:b w:val="false"/>
    </w:rPr>
  </w:style>
  <w:style w:type="character" w:styleId="ListLabel10" w:customStyle="1">
    <w:name w:val="ListLabel 10"/>
    <w:qFormat/>
    <w:rPr>
      <w:b w:val="false"/>
    </w:rPr>
  </w:style>
  <w:style w:type="character" w:styleId="ListLabel11" w:customStyle="1">
    <w:name w:val="ListLabel 11"/>
    <w:qFormat/>
    <w:rPr>
      <w:b w:val="false"/>
    </w:rPr>
  </w:style>
  <w:style w:type="character" w:styleId="ListLabel12" w:customStyle="1">
    <w:name w:val="ListLabel 12"/>
    <w:qFormat/>
    <w:rPr>
      <w:b w:val="false"/>
    </w:rPr>
  </w:style>
  <w:style w:type="character" w:styleId="ListLabel13" w:customStyle="1">
    <w:name w:val="ListLabel 13"/>
    <w:qFormat/>
    <w:rPr>
      <w:rFonts w:ascii="Times New Roman" w:hAnsi="Times New Roman" w:eastAsia="Times New Roman" w:cs="Times New Roman"/>
      <w:spacing w:val="0"/>
      <w:w w:val="100"/>
      <w:sz w:val="22"/>
      <w:szCs w:val="16"/>
    </w:rPr>
  </w:style>
  <w:style w:type="character" w:styleId="ListLabel14" w:customStyle="1">
    <w:name w:val="ListLabel 14"/>
    <w:qFormat/>
    <w:rPr>
      <w:rFonts w:eastAsia="Times New Roman" w:cs="Times New Roman"/>
      <w:b/>
      <w:bCs/>
      <w:spacing w:val="0"/>
      <w:w w:val="100"/>
      <w:sz w:val="16"/>
      <w:szCs w:val="16"/>
    </w:rPr>
  </w:style>
  <w:style w:type="character" w:styleId="ListLabel15" w:customStyle="1">
    <w:name w:val="ListLabel 15"/>
    <w:qFormat/>
    <w:rPr>
      <w:rFonts w:eastAsia="Times New Roman" w:cs="Times New Roman"/>
      <w:spacing w:val="0"/>
      <w:w w:val="100"/>
      <w:sz w:val="16"/>
      <w:szCs w:val="16"/>
    </w:rPr>
  </w:style>
  <w:style w:type="character" w:styleId="ListLabel16" w:customStyle="1">
    <w:name w:val="ListLabel 16"/>
    <w:qFormat/>
    <w:rPr>
      <w:rFonts w:eastAsia="Times New Roman" w:cs="Times New Roman"/>
      <w:w w:val="100"/>
      <w:sz w:val="16"/>
      <w:szCs w:val="16"/>
    </w:rPr>
  </w:style>
  <w:style w:type="character" w:styleId="ListLabel17" w:customStyle="1">
    <w:name w:val="ListLabel 17"/>
    <w:qFormat/>
    <w:rPr>
      <w:rFonts w:cs="Symbol"/>
    </w:rPr>
  </w:style>
  <w:style w:type="character" w:styleId="ListLabel18" w:customStyle="1">
    <w:name w:val="ListLabel 18"/>
    <w:qFormat/>
    <w:rPr>
      <w:rFonts w:cs="Symbol"/>
    </w:rPr>
  </w:style>
  <w:style w:type="character" w:styleId="ListLabel19" w:customStyle="1">
    <w:name w:val="ListLabel 19"/>
    <w:qFormat/>
    <w:rPr>
      <w:rFonts w:cs="Symbol"/>
    </w:rPr>
  </w:style>
  <w:style w:type="character" w:styleId="ListLabel20" w:customStyle="1">
    <w:name w:val="ListLabel 20"/>
    <w:qFormat/>
    <w:rPr>
      <w:rFonts w:cs="Symbol"/>
    </w:rPr>
  </w:style>
  <w:style w:type="character" w:styleId="ListLabel21" w:customStyle="1">
    <w:name w:val="ListLabel 21"/>
    <w:qFormat/>
    <w:rPr>
      <w:rFonts w:ascii="Century gothic" w:hAnsi="Century gothic"/>
      <w:sz w:val="24"/>
    </w:rPr>
  </w:style>
  <w:style w:type="character" w:styleId="ListLabel22" w:customStyle="1">
    <w:name w:val="ListLabel 22"/>
    <w:qFormat/>
    <w:rPr>
      <w:rFonts w:ascii="Century gothic" w:hAnsi="Century gothic" w:eastAsia="Times New Roman" w:cs="Times New Roman"/>
      <w:spacing w:val="0"/>
      <w:w w:val="100"/>
      <w:sz w:val="24"/>
      <w:szCs w:val="16"/>
    </w:rPr>
  </w:style>
  <w:style w:type="character" w:styleId="ListLabel23" w:customStyle="1">
    <w:name w:val="ListLabel 23"/>
    <w:qFormat/>
    <w:rPr>
      <w:rFonts w:cs="Symbol"/>
    </w:rPr>
  </w:style>
  <w:style w:type="character" w:styleId="ListLabel24" w:customStyle="1">
    <w:name w:val="ListLabel 24"/>
    <w:qFormat/>
    <w:rPr>
      <w:rFonts w:cs="Symbol"/>
    </w:rPr>
  </w:style>
  <w:style w:type="character" w:styleId="ListLabel25" w:customStyle="1">
    <w:name w:val="ListLabel 25"/>
    <w:qFormat/>
    <w:rPr>
      <w:rFonts w:cs="Symbol"/>
    </w:rPr>
  </w:style>
  <w:style w:type="character" w:styleId="ListLabel26" w:customStyle="1">
    <w:name w:val="ListLabel 26"/>
    <w:qFormat/>
    <w:rPr>
      <w:rFonts w:cs="Symbol"/>
    </w:rPr>
  </w:style>
  <w:style w:type="character" w:styleId="ListLabel27" w:customStyle="1">
    <w:name w:val="ListLabel 27"/>
    <w:qFormat/>
    <w:rPr>
      <w:rFonts w:cs="Symbol"/>
    </w:rPr>
  </w:style>
  <w:style w:type="character" w:styleId="ListLabel28" w:customStyle="1">
    <w:name w:val="ListLabel 28"/>
    <w:qFormat/>
    <w:rPr>
      <w:rFonts w:cs="Symbol"/>
    </w:rPr>
  </w:style>
  <w:style w:type="character" w:styleId="ListLabel29" w:customStyle="1">
    <w:name w:val="ListLabel 29"/>
    <w:qFormat/>
    <w:rPr>
      <w:rFonts w:ascii="Century gothic" w:hAnsi="Century gothic" w:eastAsia="Times New Roman" w:cs="Times New Roman"/>
      <w:spacing w:val="0"/>
      <w:w w:val="100"/>
      <w:sz w:val="24"/>
      <w:szCs w:val="16"/>
    </w:rPr>
  </w:style>
  <w:style w:type="character" w:styleId="ListLabel30" w:customStyle="1">
    <w:name w:val="ListLabel 30"/>
    <w:qFormat/>
    <w:rPr>
      <w:rFonts w:ascii="Century gothic" w:hAnsi="Century gothic" w:eastAsia="Times New Roman" w:cs="Times New Roman"/>
      <w:w w:val="100"/>
      <w:sz w:val="24"/>
      <w:szCs w:val="16"/>
    </w:rPr>
  </w:style>
  <w:style w:type="character" w:styleId="ListLabel31" w:customStyle="1">
    <w:name w:val="ListLabel 31"/>
    <w:qFormat/>
    <w:rPr>
      <w:rFonts w:ascii="Century gothic" w:hAnsi="Century gothic" w:eastAsia="Times New Roman" w:cs="Times New Roman"/>
      <w:spacing w:val="0"/>
      <w:w w:val="100"/>
      <w:sz w:val="24"/>
      <w:szCs w:val="16"/>
    </w:rPr>
  </w:style>
  <w:style w:type="character" w:styleId="ListLabel32" w:customStyle="1">
    <w:name w:val="ListLabel 32"/>
    <w:qFormat/>
    <w:rPr>
      <w:rFonts w:cs="Symbol"/>
    </w:rPr>
  </w:style>
  <w:style w:type="character" w:styleId="ListLabel33" w:customStyle="1">
    <w:name w:val="ListLabel 33"/>
    <w:qFormat/>
    <w:rPr>
      <w:rFonts w:cs="Symbol"/>
    </w:rPr>
  </w:style>
  <w:style w:type="character" w:styleId="ListLabel34" w:customStyle="1">
    <w:name w:val="ListLabel 34"/>
    <w:qFormat/>
    <w:rPr>
      <w:rFonts w:cs="Symbol"/>
    </w:rPr>
  </w:style>
  <w:style w:type="character" w:styleId="ListLabel35" w:customStyle="1">
    <w:name w:val="ListLabel 35"/>
    <w:qFormat/>
    <w:rPr>
      <w:rFonts w:cs="Symbol"/>
    </w:rPr>
  </w:style>
  <w:style w:type="character" w:styleId="ListLabel36" w:customStyle="1">
    <w:name w:val="ListLabel 36"/>
    <w:qFormat/>
    <w:rPr>
      <w:rFonts w:cs="Symbol"/>
    </w:rPr>
  </w:style>
  <w:style w:type="character" w:styleId="ListLabel37" w:customStyle="1">
    <w:name w:val="ListLabel 37"/>
    <w:qFormat/>
    <w:rPr>
      <w:rFonts w:ascii="Century gothic" w:hAnsi="Century gothic" w:eastAsia="Times New Roman" w:cs="Times New Roman"/>
      <w:w w:val="100"/>
      <w:sz w:val="24"/>
      <w:szCs w:val="16"/>
    </w:rPr>
  </w:style>
  <w:style w:type="character" w:styleId="ListLabel38" w:customStyle="1">
    <w:name w:val="ListLabel 38"/>
    <w:qFormat/>
    <w:rPr>
      <w:rFonts w:cs="Symbol"/>
    </w:rPr>
  </w:style>
  <w:style w:type="character" w:styleId="ListLabel39" w:customStyle="1">
    <w:name w:val="ListLabel 39"/>
    <w:qFormat/>
    <w:rPr>
      <w:rFonts w:cs="Symbol"/>
    </w:rPr>
  </w:style>
  <w:style w:type="character" w:styleId="ListLabel40" w:customStyle="1">
    <w:name w:val="ListLabel 40"/>
    <w:qFormat/>
    <w:rPr>
      <w:rFonts w:cs="Symbol"/>
    </w:rPr>
  </w:style>
  <w:style w:type="character" w:styleId="ListLabel41" w:customStyle="1">
    <w:name w:val="ListLabel 41"/>
    <w:qFormat/>
    <w:rPr>
      <w:rFonts w:cs="Symbol"/>
    </w:rPr>
  </w:style>
  <w:style w:type="character" w:styleId="ListLabel42" w:customStyle="1">
    <w:name w:val="ListLabel 42"/>
    <w:qFormat/>
    <w:rPr>
      <w:rFonts w:cs="Symbol"/>
    </w:rPr>
  </w:style>
  <w:style w:type="character" w:styleId="ListLabel43" w:customStyle="1">
    <w:name w:val="ListLabel 43"/>
    <w:qFormat/>
    <w:rPr>
      <w:rFonts w:cs="Symbol"/>
    </w:rPr>
  </w:style>
  <w:style w:type="character" w:styleId="ListLabel44" w:customStyle="1">
    <w:name w:val="ListLabel 44"/>
    <w:qFormat/>
    <w:rPr>
      <w:rFonts w:ascii="Century gothic" w:hAnsi="Century gothic" w:eastAsia="Times New Roman" w:cs="Times New Roman"/>
      <w:spacing w:val="0"/>
      <w:w w:val="100"/>
      <w:sz w:val="24"/>
      <w:szCs w:val="16"/>
    </w:rPr>
  </w:style>
  <w:style w:type="character" w:styleId="ListLabel45" w:customStyle="1">
    <w:name w:val="ListLabel 45"/>
    <w:qFormat/>
    <w:rPr>
      <w:rFonts w:cs="Symbol"/>
    </w:rPr>
  </w:style>
  <w:style w:type="character" w:styleId="ListLabel46" w:customStyle="1">
    <w:name w:val="ListLabel 46"/>
    <w:qFormat/>
    <w:rPr>
      <w:rFonts w:cs="Symbol"/>
    </w:rPr>
  </w:style>
  <w:style w:type="character" w:styleId="ListLabel47" w:customStyle="1">
    <w:name w:val="ListLabel 47"/>
    <w:qFormat/>
    <w:rPr>
      <w:rFonts w:cs="Symbol"/>
    </w:rPr>
  </w:style>
  <w:style w:type="character" w:styleId="ListLabel48" w:customStyle="1">
    <w:name w:val="ListLabel 48"/>
    <w:qFormat/>
    <w:rPr>
      <w:rFonts w:cs="Symbol"/>
    </w:rPr>
  </w:style>
  <w:style w:type="character" w:styleId="ListLabel49" w:customStyle="1">
    <w:name w:val="ListLabel 49"/>
    <w:qFormat/>
    <w:rPr>
      <w:rFonts w:cs="Symbol"/>
    </w:rPr>
  </w:style>
  <w:style w:type="character" w:styleId="ListLabel50" w:customStyle="1">
    <w:name w:val="ListLabel 50"/>
    <w:qFormat/>
    <w:rPr>
      <w:rFonts w:cs="Symbol"/>
    </w:rPr>
  </w:style>
  <w:style w:type="character" w:styleId="ListLabel51" w:customStyle="1">
    <w:name w:val="ListLabel 51"/>
    <w:qFormat/>
    <w:rPr>
      <w:rFonts w:cs="Symbol"/>
    </w:rPr>
  </w:style>
  <w:style w:type="character" w:styleId="ListLabel52" w:customStyle="1">
    <w:name w:val="ListLabel 52"/>
    <w:qFormat/>
    <w:rPr>
      <w:rFonts w:ascii="Times New Roman" w:hAnsi="Times New Roman" w:eastAsia="Times New Roman" w:cs="Times New Roman"/>
      <w:spacing w:val="0"/>
      <w:w w:val="100"/>
      <w:sz w:val="22"/>
      <w:szCs w:val="16"/>
    </w:rPr>
  </w:style>
  <w:style w:type="character" w:styleId="ListLabel53" w:customStyle="1">
    <w:name w:val="ListLabel 53"/>
    <w:qFormat/>
    <w:rPr>
      <w:rFonts w:cs="Symbol"/>
    </w:rPr>
  </w:style>
  <w:style w:type="character" w:styleId="ListLabel54" w:customStyle="1">
    <w:name w:val="ListLabel 54"/>
    <w:qFormat/>
    <w:rPr>
      <w:rFonts w:cs="Symbol"/>
    </w:rPr>
  </w:style>
  <w:style w:type="character" w:styleId="ListLabel55" w:customStyle="1">
    <w:name w:val="ListLabel 55"/>
    <w:qFormat/>
    <w:rPr>
      <w:rFonts w:cs="Symbol"/>
    </w:rPr>
  </w:style>
  <w:style w:type="character" w:styleId="ListLabel56" w:customStyle="1">
    <w:name w:val="ListLabel 56"/>
    <w:qFormat/>
    <w:rPr>
      <w:rFonts w:cs="Symbol"/>
    </w:rPr>
  </w:style>
  <w:style w:type="character" w:styleId="ListLabel57" w:customStyle="1">
    <w:name w:val="ListLabel 57"/>
    <w:qFormat/>
    <w:rPr>
      <w:rFonts w:cs="Symbol"/>
    </w:rPr>
  </w:style>
  <w:style w:type="character" w:styleId="ListLabel58" w:customStyle="1">
    <w:name w:val="ListLabel 58"/>
    <w:qFormat/>
    <w:rPr>
      <w:rFonts w:cs="Symbol"/>
    </w:rPr>
  </w:style>
  <w:style w:type="character" w:styleId="ListLabel59" w:customStyle="1">
    <w:name w:val="ListLabel 59"/>
    <w:qFormat/>
    <w:rPr>
      <w:rFonts w:cs="Symbol"/>
    </w:rPr>
  </w:style>
  <w:style w:type="character" w:styleId="ListLabel60" w:customStyle="1">
    <w:name w:val="ListLabel 60"/>
    <w:qFormat/>
    <w:rPr>
      <w:rFonts w:ascii="Century gothic" w:hAnsi="Century gothic" w:eastAsia="Times New Roman" w:cs="Times New Roman"/>
      <w:w w:val="100"/>
      <w:sz w:val="24"/>
      <w:szCs w:val="16"/>
    </w:rPr>
  </w:style>
  <w:style w:type="character" w:styleId="ListLabel61" w:customStyle="1">
    <w:name w:val="ListLabel 61"/>
    <w:qFormat/>
    <w:rPr>
      <w:rFonts w:cs="Symbol"/>
    </w:rPr>
  </w:style>
  <w:style w:type="character" w:styleId="ListLabel62" w:customStyle="1">
    <w:name w:val="ListLabel 62"/>
    <w:qFormat/>
    <w:rPr>
      <w:rFonts w:cs="Symbol"/>
    </w:rPr>
  </w:style>
  <w:style w:type="character" w:styleId="ListLabel63" w:customStyle="1">
    <w:name w:val="ListLabel 63"/>
    <w:qFormat/>
    <w:rPr>
      <w:rFonts w:cs="Symbol"/>
    </w:rPr>
  </w:style>
  <w:style w:type="character" w:styleId="ListLabel64" w:customStyle="1">
    <w:name w:val="ListLabel 64"/>
    <w:qFormat/>
    <w:rPr>
      <w:rFonts w:cs="Symbol"/>
    </w:rPr>
  </w:style>
  <w:style w:type="character" w:styleId="ListLabel65" w:customStyle="1">
    <w:name w:val="ListLabel 65"/>
    <w:qFormat/>
    <w:rPr>
      <w:rFonts w:cs="Symbol"/>
    </w:rPr>
  </w:style>
  <w:style w:type="character" w:styleId="ListLabel66" w:customStyle="1">
    <w:name w:val="ListLabel 66"/>
    <w:qFormat/>
    <w:rPr>
      <w:rFonts w:cs="Symbol"/>
    </w:rPr>
  </w:style>
  <w:style w:type="character" w:styleId="ListLabel67" w:customStyle="1">
    <w:name w:val="ListLabel 67"/>
    <w:qFormat/>
    <w:rPr>
      <w:rFonts w:cs="Symbol"/>
    </w:rPr>
  </w:style>
  <w:style w:type="character" w:styleId="ListLabel68" w:customStyle="1">
    <w:name w:val="ListLabel 68"/>
    <w:qFormat/>
    <w:rPr>
      <w:rFonts w:cs="Symbol"/>
    </w:rPr>
  </w:style>
  <w:style w:type="character" w:styleId="ListLabel69" w:customStyle="1">
    <w:name w:val="ListLabel 69"/>
    <w:qFormat/>
    <w:rPr>
      <w:rFonts w:ascii="Century gothic" w:hAnsi="Century gothic" w:eastAsia="Times New Roman" w:cs="Times New Roman"/>
      <w:spacing w:val="0"/>
      <w:w w:val="100"/>
      <w:sz w:val="24"/>
      <w:szCs w:val="16"/>
    </w:rPr>
  </w:style>
  <w:style w:type="character" w:styleId="ListLabel70" w:customStyle="1">
    <w:name w:val="ListLabel 70"/>
    <w:qFormat/>
    <w:rPr>
      <w:rFonts w:ascii="Times New Roman" w:hAnsi="Times New Roman" w:eastAsia="Times New Roman" w:cs="Times New Roman"/>
      <w:w w:val="100"/>
      <w:sz w:val="22"/>
      <w:szCs w:val="16"/>
    </w:rPr>
  </w:style>
  <w:style w:type="character" w:styleId="ListLabel71" w:customStyle="1">
    <w:name w:val="ListLabel 71"/>
    <w:qFormat/>
    <w:rPr>
      <w:rFonts w:cs="Symbol"/>
    </w:rPr>
  </w:style>
  <w:style w:type="character" w:styleId="ListLabel72" w:customStyle="1">
    <w:name w:val="ListLabel 72"/>
    <w:qFormat/>
    <w:rPr>
      <w:rFonts w:cs="Symbol"/>
    </w:rPr>
  </w:style>
  <w:style w:type="character" w:styleId="ListLabel73" w:customStyle="1">
    <w:name w:val="ListLabel 73"/>
    <w:qFormat/>
    <w:rPr>
      <w:rFonts w:cs="Symbol"/>
    </w:rPr>
  </w:style>
  <w:style w:type="character" w:styleId="ListLabel74" w:customStyle="1">
    <w:name w:val="ListLabel 74"/>
    <w:qFormat/>
    <w:rPr>
      <w:rFonts w:cs="Symbol"/>
    </w:rPr>
  </w:style>
  <w:style w:type="character" w:styleId="ListLabel75" w:customStyle="1">
    <w:name w:val="ListLabel 75"/>
    <w:qFormat/>
    <w:rPr>
      <w:rFonts w:cs="Symbol"/>
    </w:rPr>
  </w:style>
  <w:style w:type="character" w:styleId="ListLabel76" w:customStyle="1">
    <w:name w:val="ListLabel 76"/>
    <w:qFormat/>
    <w:rPr>
      <w:rFonts w:ascii="Century gothic" w:hAnsi="Century gothic" w:eastAsia="Times New Roman" w:cs="Times New Roman"/>
      <w:spacing w:val="0"/>
      <w:w w:val="100"/>
      <w:sz w:val="24"/>
      <w:szCs w:val="16"/>
    </w:rPr>
  </w:style>
  <w:style w:type="character" w:styleId="ListLabel77" w:customStyle="1">
    <w:name w:val="ListLabel 77"/>
    <w:qFormat/>
    <w:rPr>
      <w:rFonts w:ascii="Times New Roman" w:hAnsi="Times New Roman" w:eastAsia="Times New Roman" w:cs="Times New Roman"/>
      <w:spacing w:val="0"/>
      <w:w w:val="100"/>
      <w:sz w:val="22"/>
      <w:szCs w:val="16"/>
    </w:rPr>
  </w:style>
  <w:style w:type="character" w:styleId="ListLabel78" w:customStyle="1">
    <w:name w:val="ListLabel 78"/>
    <w:qFormat/>
    <w:rPr>
      <w:rFonts w:cs="Symbol"/>
    </w:rPr>
  </w:style>
  <w:style w:type="character" w:styleId="ListLabel79" w:customStyle="1">
    <w:name w:val="ListLabel 79"/>
    <w:qFormat/>
    <w:rPr>
      <w:rFonts w:cs="Symbol"/>
    </w:rPr>
  </w:style>
  <w:style w:type="character" w:styleId="ListLabel80" w:customStyle="1">
    <w:name w:val="ListLabel 80"/>
    <w:qFormat/>
    <w:rPr>
      <w:rFonts w:cs="Symbol"/>
    </w:rPr>
  </w:style>
  <w:style w:type="character" w:styleId="ListLabel81" w:customStyle="1">
    <w:name w:val="ListLabel 81"/>
    <w:qFormat/>
    <w:rPr>
      <w:rFonts w:cs="Symbol"/>
    </w:rPr>
  </w:style>
  <w:style w:type="character" w:styleId="ListLabel82" w:customStyle="1">
    <w:name w:val="ListLabel 82"/>
    <w:qFormat/>
    <w:rPr>
      <w:rFonts w:cs="Symbol"/>
    </w:rPr>
  </w:style>
  <w:style w:type="character" w:styleId="ListLabel83" w:customStyle="1">
    <w:name w:val="ListLabel 83"/>
    <w:qFormat/>
    <w:rPr>
      <w:rFonts w:ascii="Century gothic" w:hAnsi="Century gothic" w:eastAsia="Times New Roman" w:cs="Times New Roman"/>
      <w:spacing w:val="0"/>
      <w:w w:val="100"/>
      <w:sz w:val="24"/>
      <w:szCs w:val="16"/>
    </w:rPr>
  </w:style>
  <w:style w:type="character" w:styleId="ListLabel84" w:customStyle="1">
    <w:name w:val="ListLabel 84"/>
    <w:qFormat/>
    <w:rPr>
      <w:rFonts w:ascii="Times New Roman" w:hAnsi="Times New Roman" w:eastAsia="Times New Roman" w:cs="Times New Roman"/>
      <w:w w:val="100"/>
      <w:sz w:val="22"/>
      <w:szCs w:val="16"/>
    </w:rPr>
  </w:style>
  <w:style w:type="character" w:styleId="ListLabel85" w:customStyle="1">
    <w:name w:val="ListLabel 85"/>
    <w:qFormat/>
    <w:rPr>
      <w:rFonts w:cs="Symbol"/>
    </w:rPr>
  </w:style>
  <w:style w:type="character" w:styleId="ListLabel86" w:customStyle="1">
    <w:name w:val="ListLabel 86"/>
    <w:qFormat/>
    <w:rPr>
      <w:rFonts w:cs="Symbol"/>
    </w:rPr>
  </w:style>
  <w:style w:type="character" w:styleId="ListLabel87" w:customStyle="1">
    <w:name w:val="ListLabel 87"/>
    <w:qFormat/>
    <w:rPr>
      <w:rFonts w:cs="Symbol"/>
    </w:rPr>
  </w:style>
  <w:style w:type="character" w:styleId="ListLabel88" w:customStyle="1">
    <w:name w:val="ListLabel 88"/>
    <w:qFormat/>
    <w:rPr>
      <w:rFonts w:cs="Symbol"/>
    </w:rPr>
  </w:style>
  <w:style w:type="character" w:styleId="ListLabel89" w:customStyle="1">
    <w:name w:val="ListLabel 89"/>
    <w:qFormat/>
    <w:rPr>
      <w:rFonts w:cs="Symbol"/>
    </w:rPr>
  </w:style>
  <w:style w:type="character" w:styleId="ListLabel90" w:customStyle="1">
    <w:name w:val="ListLabel 90"/>
    <w:qFormat/>
    <w:rPr>
      <w:rFonts w:ascii="Century gothic" w:hAnsi="Century gothic" w:eastAsia="Times New Roman" w:cs="Times New Roman"/>
      <w:spacing w:val="0"/>
      <w:w w:val="100"/>
      <w:sz w:val="24"/>
      <w:szCs w:val="16"/>
    </w:rPr>
  </w:style>
  <w:style w:type="character" w:styleId="ListLabel91" w:customStyle="1">
    <w:name w:val="ListLabel 91"/>
    <w:qFormat/>
    <w:rPr>
      <w:rFonts w:ascii="Times New Roman" w:hAnsi="Times New Roman" w:eastAsia="Times New Roman" w:cs="Times New Roman"/>
      <w:w w:val="100"/>
      <w:sz w:val="22"/>
      <w:szCs w:val="16"/>
    </w:rPr>
  </w:style>
  <w:style w:type="character" w:styleId="ListLabel92" w:customStyle="1">
    <w:name w:val="ListLabel 92"/>
    <w:qFormat/>
    <w:rPr>
      <w:rFonts w:cs="Symbol"/>
    </w:rPr>
  </w:style>
  <w:style w:type="character" w:styleId="ListLabel93" w:customStyle="1">
    <w:name w:val="ListLabel 93"/>
    <w:qFormat/>
    <w:rPr>
      <w:rFonts w:cs="Symbol"/>
    </w:rPr>
  </w:style>
  <w:style w:type="character" w:styleId="ListLabel94" w:customStyle="1">
    <w:name w:val="ListLabel 94"/>
    <w:qFormat/>
    <w:rPr>
      <w:rFonts w:cs="Symbol"/>
    </w:rPr>
  </w:style>
  <w:style w:type="character" w:styleId="ListLabel95" w:customStyle="1">
    <w:name w:val="ListLabel 95"/>
    <w:qFormat/>
    <w:rPr>
      <w:rFonts w:cs="Symbol"/>
    </w:rPr>
  </w:style>
  <w:style w:type="character" w:styleId="ListLabel96" w:customStyle="1">
    <w:name w:val="ListLabel 96"/>
    <w:qFormat/>
    <w:rPr>
      <w:rFonts w:cs="Symbol"/>
    </w:rPr>
  </w:style>
  <w:style w:type="character" w:styleId="ListLabel97" w:customStyle="1">
    <w:name w:val="ListLabel 97"/>
    <w:qFormat/>
    <w:rPr>
      <w:rFonts w:ascii="Times New Roman" w:hAnsi="Times New Roman" w:eastAsia="Times New Roman" w:cs="Times New Roman"/>
      <w:spacing w:val="0"/>
      <w:w w:val="100"/>
      <w:sz w:val="22"/>
      <w:szCs w:val="16"/>
    </w:rPr>
  </w:style>
  <w:style w:type="character" w:styleId="ListLabel98" w:customStyle="1">
    <w:name w:val="ListLabel 98"/>
    <w:qFormat/>
    <w:rPr>
      <w:rFonts w:eastAsia="Times New Roman" w:cs="Times New Roman"/>
      <w:spacing w:val="0"/>
      <w:w w:val="100"/>
      <w:sz w:val="24"/>
      <w:szCs w:val="16"/>
    </w:rPr>
  </w:style>
  <w:style w:type="character" w:styleId="ListLabel99" w:customStyle="1">
    <w:name w:val="ListLabel 99"/>
    <w:qFormat/>
    <w:rPr>
      <w:rFonts w:cs="Symbol"/>
    </w:rPr>
  </w:style>
  <w:style w:type="character" w:styleId="ListLabel100" w:customStyle="1">
    <w:name w:val="ListLabel 100"/>
    <w:qFormat/>
    <w:rPr>
      <w:rFonts w:cs="Symbol"/>
    </w:rPr>
  </w:style>
  <w:style w:type="character" w:styleId="ListLabel101" w:customStyle="1">
    <w:name w:val="ListLabel 101"/>
    <w:qFormat/>
    <w:rPr>
      <w:rFonts w:cs="Symbol"/>
    </w:rPr>
  </w:style>
  <w:style w:type="character" w:styleId="ListLabel102" w:customStyle="1">
    <w:name w:val="ListLabel 102"/>
    <w:qFormat/>
    <w:rPr>
      <w:rFonts w:cs="Symbol"/>
    </w:rPr>
  </w:style>
  <w:style w:type="character" w:styleId="ListLabel103" w:customStyle="1">
    <w:name w:val="ListLabel 103"/>
    <w:qFormat/>
    <w:rPr>
      <w:rFonts w:cs="Symbol"/>
    </w:rPr>
  </w:style>
  <w:style w:type="character" w:styleId="ListLabel104" w:customStyle="1">
    <w:name w:val="ListLabel 104"/>
    <w:qFormat/>
    <w:rPr>
      <w:rFonts w:cs="Symbol"/>
    </w:rPr>
  </w:style>
  <w:style w:type="character" w:styleId="ListLabel105" w:customStyle="1">
    <w:name w:val="ListLabel 105"/>
    <w:qFormat/>
    <w:rPr>
      <w:rFonts w:ascii="Century gothic" w:hAnsi="Century gothic" w:eastAsia="Times New Roman" w:cs="Times New Roman"/>
      <w:b/>
      <w:bCs/>
      <w:spacing w:val="0"/>
      <w:w w:val="100"/>
      <w:sz w:val="24"/>
      <w:szCs w:val="16"/>
    </w:rPr>
  </w:style>
  <w:style w:type="character" w:styleId="ListLabel106" w:customStyle="1">
    <w:name w:val="ListLabel 106"/>
    <w:qFormat/>
    <w:rPr>
      <w:rFonts w:ascii="Arial" w:hAnsi="Arial" w:eastAsia="Times New Roman" w:cs="Times New Roman"/>
      <w:spacing w:val="0"/>
      <w:w w:val="100"/>
      <w:sz w:val="20"/>
      <w:szCs w:val="20"/>
    </w:rPr>
  </w:style>
  <w:style w:type="character" w:styleId="ListLabel107" w:customStyle="1">
    <w:name w:val="ListLabel 107"/>
    <w:qFormat/>
    <w:rPr>
      <w:rFonts w:ascii="Century gothic" w:hAnsi="Century gothic" w:eastAsia="Times New Roman" w:cs="Times New Roman"/>
      <w:b/>
      <w:w w:val="100"/>
      <w:sz w:val="24"/>
      <w:szCs w:val="16"/>
    </w:rPr>
  </w:style>
  <w:style w:type="character" w:styleId="ListLabel108" w:customStyle="1">
    <w:name w:val="ListLabel 108"/>
    <w:qFormat/>
    <w:rPr>
      <w:rFonts w:ascii="Century gothic" w:hAnsi="Century gothic" w:eastAsia="Times New Roman" w:cs="Times New Roman"/>
      <w:w w:val="100"/>
      <w:sz w:val="24"/>
      <w:szCs w:val="16"/>
    </w:rPr>
  </w:style>
  <w:style w:type="character" w:styleId="ListLabel109" w:customStyle="1">
    <w:name w:val="ListLabel 109"/>
    <w:qFormat/>
    <w:rPr>
      <w:rFonts w:cs="Symbol"/>
    </w:rPr>
  </w:style>
  <w:style w:type="character" w:styleId="ListLabel110" w:customStyle="1">
    <w:name w:val="ListLabel 110"/>
    <w:qFormat/>
    <w:rPr>
      <w:rFonts w:cs="Symbol"/>
    </w:rPr>
  </w:style>
  <w:style w:type="character" w:styleId="ListLabel111" w:customStyle="1">
    <w:name w:val="ListLabel 111"/>
    <w:qFormat/>
    <w:rPr>
      <w:rFonts w:cs="Symbol"/>
    </w:rPr>
  </w:style>
  <w:style w:type="character" w:styleId="ListLabel112" w:customStyle="1">
    <w:name w:val="ListLabel 112"/>
    <w:qFormat/>
    <w:rPr>
      <w:rFonts w:cs="Symbol"/>
    </w:rPr>
  </w:style>
  <w:style w:type="character" w:styleId="ListLabel113" w:customStyle="1">
    <w:name w:val="ListLabel 113"/>
    <w:qFormat/>
    <w:rPr>
      <w:rFonts w:cs="Symbol"/>
    </w:rPr>
  </w:style>
  <w:style w:type="character" w:styleId="ListLabel114" w:customStyle="1">
    <w:name w:val="ListLabel 114"/>
    <w:qFormat/>
    <w:rPr>
      <w:b w:val="false"/>
      <w:bCs w:val="false"/>
      <w:color w:val="00000A"/>
    </w:rPr>
  </w:style>
  <w:style w:type="character" w:styleId="Nfaseforte" w:customStyle="1">
    <w:name w:val="Ênfase forte"/>
    <w:qFormat/>
    <w:rPr>
      <w:b/>
      <w:bCs/>
    </w:rPr>
  </w:style>
  <w:style w:type="character" w:styleId="Smbolosdenumerao" w:customStyle="1">
    <w:name w:val="Símbolos de numeração"/>
    <w:qFormat/>
    <w:rPr/>
  </w:style>
  <w:style w:type="character" w:styleId="Marcas" w:customStyle="1">
    <w:name w:val="Marcas"/>
    <w:qFormat/>
    <w:rPr>
      <w:rFonts w:ascii="OpenSymbol;Arial Unicode MS" w:hAnsi="OpenSymbol;Arial Unicode MS" w:eastAsia="OpenSymbol;Arial Unicode MS" w:cs="OpenSymbol;Arial Unicode MS"/>
    </w:rPr>
  </w:style>
  <w:style w:type="character" w:styleId="WWAbsatzStandardschriftart111" w:customStyle="1">
    <w:name w:val="WW-Absatz-Standardschriftart111"/>
    <w:qFormat/>
    <w:rPr/>
  </w:style>
  <w:style w:type="character" w:styleId="WWAbsatzStandardschriftart11" w:customStyle="1">
    <w:name w:val="WW-Absatz-Standardschriftart11"/>
    <w:qFormat/>
    <w:rPr/>
  </w:style>
  <w:style w:type="character" w:styleId="WWAbsatzStandardschriftart1" w:customStyle="1">
    <w:name w:val="WW-Absatz-Standardschriftart1"/>
    <w:qFormat/>
    <w:rPr/>
  </w:style>
  <w:style w:type="character" w:styleId="WWAbsatzStandardschriftart" w:customStyle="1">
    <w:name w:val="WW-Absatz-Standardschriftart"/>
    <w:qFormat/>
    <w:rPr/>
  </w:style>
  <w:style w:type="character" w:styleId="AbsatzStandardschriftart" w:customStyle="1">
    <w:name w:val="Absatz-Standardschriftart"/>
    <w:qForma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style>
  <w:style w:type="character" w:styleId="WW8Num2z4" w:customStyle="1">
    <w:name w:val="WW8Num2z4"/>
    <w:qFormat/>
    <w:rPr/>
  </w:style>
  <w:style w:type="character" w:styleId="WW8Num2z3" w:customStyle="1">
    <w:name w:val="WW8Num2z3"/>
    <w:qFormat/>
    <w:rPr/>
  </w:style>
  <w:style w:type="character" w:styleId="WW8Num2z2" w:customStyle="1">
    <w:name w:val="WW8Num2z2"/>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rFonts w:ascii="Wingdings" w:hAnsi="Wingdings" w:cs="Wingdings"/>
    </w:rPr>
  </w:style>
  <w:style w:type="character" w:styleId="WW8Num3z8" w:customStyle="1">
    <w:name w:val="WW8Num3z8"/>
    <w:qFormat/>
    <w:rPr/>
  </w:style>
  <w:style w:type="character" w:styleId="WW8Num3z7" w:customStyle="1">
    <w:name w:val="WW8Num3z7"/>
    <w:qFormat/>
    <w:rPr/>
  </w:style>
  <w:style w:type="character" w:styleId="WW8Num3z6" w:customStyle="1">
    <w:name w:val="WW8Num3z6"/>
    <w:qFormat/>
    <w:rPr/>
  </w:style>
  <w:style w:type="character" w:styleId="WW8Num3z5" w:customStyle="1">
    <w:name w:val="WW8Num3z5"/>
    <w:qFormat/>
    <w:rPr/>
  </w:style>
  <w:style w:type="character" w:styleId="WW8Num3z4" w:customStyle="1">
    <w:name w:val="WW8Num3z4"/>
    <w:qFormat/>
    <w:rPr/>
  </w:style>
  <w:style w:type="character" w:styleId="WW8Num3z3" w:customStyle="1">
    <w:name w:val="WW8Num3z3"/>
    <w:qFormat/>
    <w:rPr/>
  </w:style>
  <w:style w:type="character" w:styleId="WW8Num3z2" w:customStyle="1">
    <w:name w:val="WW8Num3z2"/>
    <w:qFormat/>
    <w:rPr/>
  </w:style>
  <w:style w:type="character" w:styleId="WW8Num3z1" w:customStyle="1">
    <w:name w:val="WW8Num3z1"/>
    <w:qFormat/>
    <w:rPr/>
  </w:style>
  <w:style w:type="character" w:styleId="WW8Num3z0" w:customStyle="1">
    <w:name w:val="WW8Num3z0"/>
    <w:qFormat/>
    <w:rPr/>
  </w:style>
  <w:style w:type="character" w:styleId="WW8Num2z1" w:customStyle="1">
    <w:name w:val="WW8Num2z1"/>
    <w:qFormat/>
    <w:rPr>
      <w:rFonts w:ascii="OpenSymbol;Arial Unicode MS" w:hAnsi="OpenSymbol;Arial Unicode MS" w:cs="OpenSymbol;Arial Unicode MS"/>
    </w:rPr>
  </w:style>
  <w:style w:type="character" w:styleId="WW8Num2z0" w:customStyle="1">
    <w:name w:val="WW8Num2z0"/>
    <w:qFormat/>
    <w:rPr>
      <w:rFonts w:ascii="Symbol" w:hAnsi="Symbol" w:cs="OpenSymbol;Arial Unicode MS"/>
      <w:sz w:val="20"/>
      <w:szCs w:val="20"/>
    </w:rPr>
  </w:style>
  <w:style w:type="character" w:styleId="WW8Num1z1" w:customStyle="1">
    <w:name w:val="WW8Num1z1"/>
    <w:qFormat/>
    <w:rPr>
      <w:rFonts w:ascii="OpenSymbol;Arial Unicode MS" w:hAnsi="OpenSymbol;Arial Unicode MS" w:cs="OpenSymbol;Arial Unicode MS"/>
    </w:rPr>
  </w:style>
  <w:style w:type="character" w:styleId="WW8Num1z0" w:customStyle="1">
    <w:name w:val="WW8Num1z0"/>
    <w:qFormat/>
    <w:rPr>
      <w:rFonts w:ascii="Symbol" w:hAnsi="Symbol" w:cs="OpenSymbol;Arial Unicode MS"/>
    </w:rPr>
  </w:style>
  <w:style w:type="character" w:styleId="ListLabel115" w:customStyle="1">
    <w:name w:val="ListLabel 115"/>
    <w:qFormat/>
    <w:rPr>
      <w:rFonts w:ascii="Times New Roman" w:hAnsi="Times New Roman" w:eastAsia="Times New Roman" w:cs="Times New Roman"/>
      <w:spacing w:val="0"/>
      <w:w w:val="100"/>
      <w:sz w:val="22"/>
      <w:szCs w:val="16"/>
    </w:rPr>
  </w:style>
  <w:style w:type="character" w:styleId="ListLabel116" w:customStyle="1">
    <w:name w:val="ListLabel 116"/>
    <w:qFormat/>
    <w:rPr>
      <w:rFonts w:eastAsia="Times New Roman" w:cs="Times New Roman"/>
      <w:b/>
      <w:bCs/>
      <w:spacing w:val="0"/>
      <w:w w:val="100"/>
      <w:sz w:val="16"/>
      <w:szCs w:val="16"/>
    </w:rPr>
  </w:style>
  <w:style w:type="character" w:styleId="ListLabel117" w:customStyle="1">
    <w:name w:val="ListLabel 117"/>
    <w:qFormat/>
    <w:rPr>
      <w:rFonts w:eastAsia="Times New Roman" w:cs="Times New Roman"/>
      <w:spacing w:val="0"/>
      <w:w w:val="100"/>
      <w:sz w:val="16"/>
      <w:szCs w:val="16"/>
    </w:rPr>
  </w:style>
  <w:style w:type="character" w:styleId="ListLabel118" w:customStyle="1">
    <w:name w:val="ListLabel 118"/>
    <w:qFormat/>
    <w:rPr>
      <w:rFonts w:eastAsia="Times New Roman" w:cs="Times New Roman"/>
      <w:w w:val="100"/>
      <w:sz w:val="16"/>
      <w:szCs w:val="16"/>
    </w:rPr>
  </w:style>
  <w:style w:type="character" w:styleId="ListLabel119" w:customStyle="1">
    <w:name w:val="ListLabel 119"/>
    <w:qFormat/>
    <w:rPr>
      <w:rFonts w:cs="Symbol"/>
    </w:rPr>
  </w:style>
  <w:style w:type="character" w:styleId="ListLabel120" w:customStyle="1">
    <w:name w:val="ListLabel 120"/>
    <w:qFormat/>
    <w:rPr>
      <w:rFonts w:cs="Symbol"/>
    </w:rPr>
  </w:style>
  <w:style w:type="character" w:styleId="ListLabel121" w:customStyle="1">
    <w:name w:val="ListLabel 121"/>
    <w:qFormat/>
    <w:rPr>
      <w:rFonts w:cs="Symbol"/>
    </w:rPr>
  </w:style>
  <w:style w:type="character" w:styleId="ListLabel122" w:customStyle="1">
    <w:name w:val="ListLabel 122"/>
    <w:qFormat/>
    <w:rPr>
      <w:rFonts w:cs="Symbol"/>
    </w:rPr>
  </w:style>
  <w:style w:type="character" w:styleId="ListLabel123" w:customStyle="1">
    <w:name w:val="ListLabel 123"/>
    <w:qFormat/>
    <w:rPr>
      <w:rFonts w:ascii="Century gothic" w:hAnsi="Century gothic"/>
      <w:sz w:val="24"/>
    </w:rPr>
  </w:style>
  <w:style w:type="character" w:styleId="ListLabel124" w:customStyle="1">
    <w:name w:val="ListLabel 124"/>
    <w:qFormat/>
    <w:rPr>
      <w:rFonts w:ascii="Century gothic" w:hAnsi="Century gothic" w:eastAsia="Times New Roman" w:cs="Times New Roman"/>
      <w:spacing w:val="0"/>
      <w:w w:val="100"/>
      <w:sz w:val="24"/>
      <w:szCs w:val="16"/>
    </w:rPr>
  </w:style>
  <w:style w:type="character" w:styleId="ListLabel125" w:customStyle="1">
    <w:name w:val="ListLabel 125"/>
    <w:qFormat/>
    <w:rPr>
      <w:rFonts w:cs="Symbol"/>
    </w:rPr>
  </w:style>
  <w:style w:type="character" w:styleId="ListLabel126" w:customStyle="1">
    <w:name w:val="ListLabel 126"/>
    <w:qFormat/>
    <w:rPr>
      <w:rFonts w:cs="Symbol"/>
    </w:rPr>
  </w:style>
  <w:style w:type="character" w:styleId="ListLabel127" w:customStyle="1">
    <w:name w:val="ListLabel 127"/>
    <w:qFormat/>
    <w:rPr>
      <w:rFonts w:cs="Symbol"/>
    </w:rPr>
  </w:style>
  <w:style w:type="character" w:styleId="ListLabel128" w:customStyle="1">
    <w:name w:val="ListLabel 128"/>
    <w:qFormat/>
    <w:rPr>
      <w:rFonts w:cs="Symbol"/>
    </w:rPr>
  </w:style>
  <w:style w:type="character" w:styleId="ListLabel129" w:customStyle="1">
    <w:name w:val="ListLabel 129"/>
    <w:qFormat/>
    <w:rPr>
      <w:rFonts w:cs="Symbol"/>
    </w:rPr>
  </w:style>
  <w:style w:type="character" w:styleId="ListLabel130" w:customStyle="1">
    <w:name w:val="ListLabel 130"/>
    <w:qFormat/>
    <w:rPr>
      <w:rFonts w:cs="Symbol"/>
    </w:rPr>
  </w:style>
  <w:style w:type="character" w:styleId="ListLabel131" w:customStyle="1">
    <w:name w:val="ListLabel 131"/>
    <w:qFormat/>
    <w:rPr>
      <w:rFonts w:ascii="Century gothic" w:hAnsi="Century gothic" w:eastAsia="Times New Roman" w:cs="Times New Roman"/>
      <w:spacing w:val="0"/>
      <w:w w:val="100"/>
      <w:sz w:val="24"/>
      <w:szCs w:val="16"/>
    </w:rPr>
  </w:style>
  <w:style w:type="character" w:styleId="ListLabel132" w:customStyle="1">
    <w:name w:val="ListLabel 132"/>
    <w:qFormat/>
    <w:rPr>
      <w:rFonts w:ascii="Century gothic" w:hAnsi="Century gothic" w:eastAsia="Times New Roman" w:cs="Times New Roman"/>
      <w:w w:val="100"/>
      <w:sz w:val="24"/>
      <w:szCs w:val="16"/>
    </w:rPr>
  </w:style>
  <w:style w:type="character" w:styleId="ListLabel133" w:customStyle="1">
    <w:name w:val="ListLabel 133"/>
    <w:qFormat/>
    <w:rPr>
      <w:rFonts w:ascii="Century gothic" w:hAnsi="Century gothic" w:eastAsia="Times New Roman" w:cs="Times New Roman"/>
      <w:spacing w:val="0"/>
      <w:w w:val="100"/>
      <w:sz w:val="24"/>
      <w:szCs w:val="16"/>
    </w:rPr>
  </w:style>
  <w:style w:type="character" w:styleId="ListLabel134" w:customStyle="1">
    <w:name w:val="ListLabel 134"/>
    <w:qFormat/>
    <w:rPr>
      <w:rFonts w:cs="Symbol"/>
    </w:rPr>
  </w:style>
  <w:style w:type="character" w:styleId="ListLabel135" w:customStyle="1">
    <w:name w:val="ListLabel 135"/>
    <w:qFormat/>
    <w:rPr>
      <w:rFonts w:cs="Symbol"/>
    </w:rPr>
  </w:style>
  <w:style w:type="character" w:styleId="ListLabel136" w:customStyle="1">
    <w:name w:val="ListLabel 136"/>
    <w:qFormat/>
    <w:rPr>
      <w:rFonts w:cs="Symbol"/>
    </w:rPr>
  </w:style>
  <w:style w:type="character" w:styleId="ListLabel137" w:customStyle="1">
    <w:name w:val="ListLabel 137"/>
    <w:qFormat/>
    <w:rPr>
      <w:rFonts w:cs="Symbol"/>
    </w:rPr>
  </w:style>
  <w:style w:type="character" w:styleId="ListLabel138" w:customStyle="1">
    <w:name w:val="ListLabel 138"/>
    <w:qFormat/>
    <w:rPr>
      <w:rFonts w:cs="Symbol"/>
    </w:rPr>
  </w:style>
  <w:style w:type="character" w:styleId="ListLabel139" w:customStyle="1">
    <w:name w:val="ListLabel 139"/>
    <w:qFormat/>
    <w:rPr>
      <w:rFonts w:ascii="Century gothic" w:hAnsi="Century gothic" w:eastAsia="Times New Roman" w:cs="Times New Roman"/>
      <w:w w:val="100"/>
      <w:sz w:val="24"/>
      <w:szCs w:val="16"/>
    </w:rPr>
  </w:style>
  <w:style w:type="character" w:styleId="ListLabel140" w:customStyle="1">
    <w:name w:val="ListLabel 140"/>
    <w:qFormat/>
    <w:rPr>
      <w:rFonts w:cs="Symbol"/>
    </w:rPr>
  </w:style>
  <w:style w:type="character" w:styleId="ListLabel141" w:customStyle="1">
    <w:name w:val="ListLabel 141"/>
    <w:qFormat/>
    <w:rPr>
      <w:rFonts w:cs="Symbol"/>
    </w:rPr>
  </w:style>
  <w:style w:type="character" w:styleId="ListLabel142" w:customStyle="1">
    <w:name w:val="ListLabel 142"/>
    <w:qFormat/>
    <w:rPr>
      <w:rFonts w:cs="Symbol"/>
    </w:rPr>
  </w:style>
  <w:style w:type="character" w:styleId="ListLabel143" w:customStyle="1">
    <w:name w:val="ListLabel 143"/>
    <w:qFormat/>
    <w:rPr>
      <w:rFonts w:cs="Symbol"/>
    </w:rPr>
  </w:style>
  <w:style w:type="character" w:styleId="ListLabel144" w:customStyle="1">
    <w:name w:val="ListLabel 144"/>
    <w:qFormat/>
    <w:rPr>
      <w:rFonts w:cs="Symbol"/>
    </w:rPr>
  </w:style>
  <w:style w:type="character" w:styleId="ListLabel145" w:customStyle="1">
    <w:name w:val="ListLabel 145"/>
    <w:qFormat/>
    <w:rPr>
      <w:rFonts w:cs="Symbol"/>
    </w:rPr>
  </w:style>
  <w:style w:type="character" w:styleId="ListLabel146" w:customStyle="1">
    <w:name w:val="ListLabel 146"/>
    <w:qFormat/>
    <w:rPr>
      <w:rFonts w:ascii="Century gothic" w:hAnsi="Century gothic" w:eastAsia="Times New Roman" w:cs="Times New Roman"/>
      <w:spacing w:val="0"/>
      <w:w w:val="100"/>
      <w:sz w:val="24"/>
      <w:szCs w:val="16"/>
    </w:rPr>
  </w:style>
  <w:style w:type="character" w:styleId="ListLabel147" w:customStyle="1">
    <w:name w:val="ListLabel 147"/>
    <w:qFormat/>
    <w:rPr>
      <w:rFonts w:cs="Symbol"/>
    </w:rPr>
  </w:style>
  <w:style w:type="character" w:styleId="ListLabel148" w:customStyle="1">
    <w:name w:val="ListLabel 148"/>
    <w:qFormat/>
    <w:rPr>
      <w:rFonts w:cs="Symbol"/>
    </w:rPr>
  </w:style>
  <w:style w:type="character" w:styleId="ListLabel149" w:customStyle="1">
    <w:name w:val="ListLabel 149"/>
    <w:qFormat/>
    <w:rPr>
      <w:rFonts w:cs="Symbol"/>
    </w:rPr>
  </w:style>
  <w:style w:type="character" w:styleId="ListLabel150" w:customStyle="1">
    <w:name w:val="ListLabel 150"/>
    <w:qFormat/>
    <w:rPr>
      <w:rFonts w:cs="Symbol"/>
    </w:rPr>
  </w:style>
  <w:style w:type="character" w:styleId="ListLabel151" w:customStyle="1">
    <w:name w:val="ListLabel 151"/>
    <w:qFormat/>
    <w:rPr>
      <w:rFonts w:cs="Symbol"/>
    </w:rPr>
  </w:style>
  <w:style w:type="character" w:styleId="ListLabel152" w:customStyle="1">
    <w:name w:val="ListLabel 152"/>
    <w:qFormat/>
    <w:rPr>
      <w:rFonts w:cs="Symbol"/>
    </w:rPr>
  </w:style>
  <w:style w:type="character" w:styleId="ListLabel153" w:customStyle="1">
    <w:name w:val="ListLabel 153"/>
    <w:qFormat/>
    <w:rPr>
      <w:rFonts w:cs="Symbol"/>
    </w:rPr>
  </w:style>
  <w:style w:type="character" w:styleId="ListLabel154" w:customStyle="1">
    <w:name w:val="ListLabel 154"/>
    <w:qFormat/>
    <w:rPr>
      <w:rFonts w:ascii="Times New Roman" w:hAnsi="Times New Roman" w:eastAsia="Times New Roman" w:cs="Times New Roman"/>
      <w:spacing w:val="0"/>
      <w:w w:val="100"/>
      <w:sz w:val="22"/>
      <w:szCs w:val="16"/>
    </w:rPr>
  </w:style>
  <w:style w:type="character" w:styleId="ListLabel155" w:customStyle="1">
    <w:name w:val="ListLabel 155"/>
    <w:qFormat/>
    <w:rPr>
      <w:rFonts w:cs="Symbol"/>
    </w:rPr>
  </w:style>
  <w:style w:type="character" w:styleId="ListLabel156" w:customStyle="1">
    <w:name w:val="ListLabel 156"/>
    <w:qFormat/>
    <w:rPr>
      <w:rFonts w:cs="Symbol"/>
    </w:rPr>
  </w:style>
  <w:style w:type="character" w:styleId="ListLabel157" w:customStyle="1">
    <w:name w:val="ListLabel 157"/>
    <w:qFormat/>
    <w:rPr>
      <w:rFonts w:cs="Symbol"/>
    </w:rPr>
  </w:style>
  <w:style w:type="character" w:styleId="ListLabel158" w:customStyle="1">
    <w:name w:val="ListLabel 158"/>
    <w:qFormat/>
    <w:rPr>
      <w:rFonts w:cs="Symbol"/>
    </w:rPr>
  </w:style>
  <w:style w:type="character" w:styleId="ListLabel159" w:customStyle="1">
    <w:name w:val="ListLabel 159"/>
    <w:qFormat/>
    <w:rPr>
      <w:rFonts w:cs="Symbol"/>
    </w:rPr>
  </w:style>
  <w:style w:type="character" w:styleId="ListLabel160" w:customStyle="1">
    <w:name w:val="ListLabel 160"/>
    <w:qFormat/>
    <w:rPr>
      <w:rFonts w:cs="Symbol"/>
    </w:rPr>
  </w:style>
  <w:style w:type="character" w:styleId="ListLabel161" w:customStyle="1">
    <w:name w:val="ListLabel 161"/>
    <w:qFormat/>
    <w:rPr>
      <w:rFonts w:cs="Symbol"/>
    </w:rPr>
  </w:style>
  <w:style w:type="character" w:styleId="ListLabel162" w:customStyle="1">
    <w:name w:val="ListLabel 162"/>
    <w:qFormat/>
    <w:rPr>
      <w:rFonts w:ascii="Century gothic" w:hAnsi="Century gothic" w:eastAsia="Times New Roman" w:cs="Times New Roman"/>
      <w:w w:val="100"/>
      <w:sz w:val="24"/>
      <w:szCs w:val="16"/>
    </w:rPr>
  </w:style>
  <w:style w:type="character" w:styleId="ListLabel163" w:customStyle="1">
    <w:name w:val="ListLabel 163"/>
    <w:qFormat/>
    <w:rPr>
      <w:rFonts w:cs="Symbol"/>
    </w:rPr>
  </w:style>
  <w:style w:type="character" w:styleId="ListLabel164" w:customStyle="1">
    <w:name w:val="ListLabel 164"/>
    <w:qFormat/>
    <w:rPr>
      <w:rFonts w:cs="Symbol"/>
    </w:rPr>
  </w:style>
  <w:style w:type="character" w:styleId="ListLabel165" w:customStyle="1">
    <w:name w:val="ListLabel 165"/>
    <w:qFormat/>
    <w:rPr>
      <w:rFonts w:cs="Symbol"/>
    </w:rPr>
  </w:style>
  <w:style w:type="character" w:styleId="ListLabel166" w:customStyle="1">
    <w:name w:val="ListLabel 166"/>
    <w:qFormat/>
    <w:rPr>
      <w:rFonts w:cs="Symbol"/>
    </w:rPr>
  </w:style>
  <w:style w:type="character" w:styleId="ListLabel167" w:customStyle="1">
    <w:name w:val="ListLabel 167"/>
    <w:qFormat/>
    <w:rPr>
      <w:rFonts w:cs="Symbol"/>
    </w:rPr>
  </w:style>
  <w:style w:type="character" w:styleId="ListLabel168" w:customStyle="1">
    <w:name w:val="ListLabel 168"/>
    <w:qFormat/>
    <w:rPr>
      <w:rFonts w:cs="Symbol"/>
    </w:rPr>
  </w:style>
  <w:style w:type="character" w:styleId="ListLabel169" w:customStyle="1">
    <w:name w:val="ListLabel 169"/>
    <w:qFormat/>
    <w:rPr>
      <w:rFonts w:cs="Symbol"/>
    </w:rPr>
  </w:style>
  <w:style w:type="character" w:styleId="ListLabel170" w:customStyle="1">
    <w:name w:val="ListLabel 170"/>
    <w:qFormat/>
    <w:rPr>
      <w:rFonts w:cs="Symbol"/>
    </w:rPr>
  </w:style>
  <w:style w:type="character" w:styleId="ListLabel171" w:customStyle="1">
    <w:name w:val="ListLabel 171"/>
    <w:qFormat/>
    <w:rPr>
      <w:rFonts w:ascii="Century gothic" w:hAnsi="Century gothic" w:eastAsia="Times New Roman" w:cs="Times New Roman"/>
      <w:spacing w:val="0"/>
      <w:w w:val="100"/>
      <w:sz w:val="24"/>
      <w:szCs w:val="16"/>
    </w:rPr>
  </w:style>
  <w:style w:type="character" w:styleId="ListLabel172" w:customStyle="1">
    <w:name w:val="ListLabel 172"/>
    <w:qFormat/>
    <w:rPr>
      <w:rFonts w:ascii="Times New Roman" w:hAnsi="Times New Roman" w:eastAsia="Times New Roman" w:cs="Times New Roman"/>
      <w:w w:val="100"/>
      <w:sz w:val="22"/>
      <w:szCs w:val="16"/>
    </w:rPr>
  </w:style>
  <w:style w:type="character" w:styleId="ListLabel173" w:customStyle="1">
    <w:name w:val="ListLabel 173"/>
    <w:qFormat/>
    <w:rPr>
      <w:rFonts w:cs="Symbol"/>
    </w:rPr>
  </w:style>
  <w:style w:type="character" w:styleId="ListLabel174" w:customStyle="1">
    <w:name w:val="ListLabel 174"/>
    <w:qFormat/>
    <w:rPr>
      <w:rFonts w:cs="Symbol"/>
    </w:rPr>
  </w:style>
  <w:style w:type="character" w:styleId="ListLabel175" w:customStyle="1">
    <w:name w:val="ListLabel 175"/>
    <w:qFormat/>
    <w:rPr>
      <w:rFonts w:cs="Symbol"/>
    </w:rPr>
  </w:style>
  <w:style w:type="character" w:styleId="ListLabel176" w:customStyle="1">
    <w:name w:val="ListLabel 176"/>
    <w:qFormat/>
    <w:rPr>
      <w:rFonts w:cs="Symbol"/>
    </w:rPr>
  </w:style>
  <w:style w:type="character" w:styleId="ListLabel177" w:customStyle="1">
    <w:name w:val="ListLabel 177"/>
    <w:qFormat/>
    <w:rPr>
      <w:rFonts w:cs="Symbol"/>
    </w:rPr>
  </w:style>
  <w:style w:type="character" w:styleId="ListLabel178" w:customStyle="1">
    <w:name w:val="ListLabel 178"/>
    <w:qFormat/>
    <w:rPr>
      <w:rFonts w:ascii="Century gothic" w:hAnsi="Century gothic" w:eastAsia="Times New Roman" w:cs="Times New Roman"/>
      <w:spacing w:val="0"/>
      <w:w w:val="100"/>
      <w:sz w:val="24"/>
      <w:szCs w:val="16"/>
    </w:rPr>
  </w:style>
  <w:style w:type="character" w:styleId="ListLabel179" w:customStyle="1">
    <w:name w:val="ListLabel 179"/>
    <w:qFormat/>
    <w:rPr>
      <w:rFonts w:ascii="Times New Roman" w:hAnsi="Times New Roman" w:eastAsia="Times New Roman" w:cs="Times New Roman"/>
      <w:spacing w:val="0"/>
      <w:w w:val="100"/>
      <w:sz w:val="22"/>
      <w:szCs w:val="16"/>
    </w:rPr>
  </w:style>
  <w:style w:type="character" w:styleId="ListLabel180" w:customStyle="1">
    <w:name w:val="ListLabel 180"/>
    <w:qFormat/>
    <w:rPr>
      <w:rFonts w:cs="Symbol"/>
    </w:rPr>
  </w:style>
  <w:style w:type="character" w:styleId="ListLabel181" w:customStyle="1">
    <w:name w:val="ListLabel 181"/>
    <w:qFormat/>
    <w:rPr>
      <w:rFonts w:cs="Symbol"/>
    </w:rPr>
  </w:style>
  <w:style w:type="character" w:styleId="ListLabel182" w:customStyle="1">
    <w:name w:val="ListLabel 182"/>
    <w:qFormat/>
    <w:rPr>
      <w:rFonts w:cs="Symbol"/>
    </w:rPr>
  </w:style>
  <w:style w:type="character" w:styleId="ListLabel183" w:customStyle="1">
    <w:name w:val="ListLabel 183"/>
    <w:qFormat/>
    <w:rPr>
      <w:rFonts w:cs="Symbol"/>
    </w:rPr>
  </w:style>
  <w:style w:type="character" w:styleId="ListLabel184" w:customStyle="1">
    <w:name w:val="ListLabel 184"/>
    <w:qFormat/>
    <w:rPr>
      <w:rFonts w:cs="Symbol"/>
    </w:rPr>
  </w:style>
  <w:style w:type="character" w:styleId="ListLabel185" w:customStyle="1">
    <w:name w:val="ListLabel 185"/>
    <w:qFormat/>
    <w:rPr>
      <w:rFonts w:ascii="Century gothic" w:hAnsi="Century gothic" w:eastAsia="Times New Roman" w:cs="Times New Roman"/>
      <w:spacing w:val="0"/>
      <w:w w:val="100"/>
      <w:sz w:val="24"/>
      <w:szCs w:val="16"/>
    </w:rPr>
  </w:style>
  <w:style w:type="character" w:styleId="ListLabel186" w:customStyle="1">
    <w:name w:val="ListLabel 186"/>
    <w:qFormat/>
    <w:rPr>
      <w:rFonts w:ascii="Times New Roman" w:hAnsi="Times New Roman" w:eastAsia="Times New Roman" w:cs="Times New Roman"/>
      <w:w w:val="100"/>
      <w:sz w:val="22"/>
      <w:szCs w:val="16"/>
    </w:rPr>
  </w:style>
  <w:style w:type="character" w:styleId="ListLabel187" w:customStyle="1">
    <w:name w:val="ListLabel 187"/>
    <w:qFormat/>
    <w:rPr>
      <w:rFonts w:cs="Symbol"/>
    </w:rPr>
  </w:style>
  <w:style w:type="character" w:styleId="ListLabel188" w:customStyle="1">
    <w:name w:val="ListLabel 188"/>
    <w:qFormat/>
    <w:rPr>
      <w:rFonts w:cs="Symbol"/>
    </w:rPr>
  </w:style>
  <w:style w:type="character" w:styleId="ListLabel189" w:customStyle="1">
    <w:name w:val="ListLabel 189"/>
    <w:qFormat/>
    <w:rPr>
      <w:rFonts w:cs="Symbol"/>
    </w:rPr>
  </w:style>
  <w:style w:type="character" w:styleId="ListLabel190" w:customStyle="1">
    <w:name w:val="ListLabel 190"/>
    <w:qFormat/>
    <w:rPr>
      <w:rFonts w:cs="Symbol"/>
    </w:rPr>
  </w:style>
  <w:style w:type="character" w:styleId="ListLabel191" w:customStyle="1">
    <w:name w:val="ListLabel 191"/>
    <w:qFormat/>
    <w:rPr>
      <w:rFonts w:cs="Symbol"/>
    </w:rPr>
  </w:style>
  <w:style w:type="character" w:styleId="ListLabel192" w:customStyle="1">
    <w:name w:val="ListLabel 192"/>
    <w:qFormat/>
    <w:rPr>
      <w:rFonts w:ascii="Century gothic" w:hAnsi="Century gothic" w:eastAsia="Times New Roman" w:cs="Times New Roman"/>
      <w:spacing w:val="0"/>
      <w:w w:val="100"/>
      <w:sz w:val="24"/>
      <w:szCs w:val="16"/>
    </w:rPr>
  </w:style>
  <w:style w:type="character" w:styleId="ListLabel193" w:customStyle="1">
    <w:name w:val="ListLabel 193"/>
    <w:qFormat/>
    <w:rPr>
      <w:rFonts w:ascii="Times New Roman" w:hAnsi="Times New Roman" w:eastAsia="Times New Roman" w:cs="Times New Roman"/>
      <w:w w:val="100"/>
      <w:sz w:val="22"/>
      <w:szCs w:val="16"/>
    </w:rPr>
  </w:style>
  <w:style w:type="character" w:styleId="ListLabel194" w:customStyle="1">
    <w:name w:val="ListLabel 194"/>
    <w:qFormat/>
    <w:rPr>
      <w:rFonts w:cs="Symbol"/>
    </w:rPr>
  </w:style>
  <w:style w:type="character" w:styleId="ListLabel195" w:customStyle="1">
    <w:name w:val="ListLabel 195"/>
    <w:qFormat/>
    <w:rPr>
      <w:rFonts w:cs="Symbol"/>
    </w:rPr>
  </w:style>
  <w:style w:type="character" w:styleId="ListLabel196" w:customStyle="1">
    <w:name w:val="ListLabel 196"/>
    <w:qFormat/>
    <w:rPr>
      <w:rFonts w:cs="Symbol"/>
    </w:rPr>
  </w:style>
  <w:style w:type="character" w:styleId="ListLabel197" w:customStyle="1">
    <w:name w:val="ListLabel 197"/>
    <w:qFormat/>
    <w:rPr>
      <w:rFonts w:cs="Symbol"/>
    </w:rPr>
  </w:style>
  <w:style w:type="character" w:styleId="ListLabel198" w:customStyle="1">
    <w:name w:val="ListLabel 198"/>
    <w:qFormat/>
    <w:rPr>
      <w:rFonts w:cs="Symbol"/>
    </w:rPr>
  </w:style>
  <w:style w:type="character" w:styleId="ListLabel199" w:customStyle="1">
    <w:name w:val="ListLabel 199"/>
    <w:qFormat/>
    <w:rPr>
      <w:rFonts w:ascii="Times New Roman" w:hAnsi="Times New Roman" w:eastAsia="Times New Roman" w:cs="Times New Roman"/>
      <w:spacing w:val="0"/>
      <w:w w:val="100"/>
      <w:sz w:val="22"/>
      <w:szCs w:val="16"/>
    </w:rPr>
  </w:style>
  <w:style w:type="character" w:styleId="ListLabel200" w:customStyle="1">
    <w:name w:val="ListLabel 200"/>
    <w:qFormat/>
    <w:rPr>
      <w:rFonts w:eastAsia="Times New Roman" w:cs="Times New Roman"/>
      <w:spacing w:val="0"/>
      <w:w w:val="100"/>
      <w:sz w:val="24"/>
      <w:szCs w:val="16"/>
    </w:rPr>
  </w:style>
  <w:style w:type="character" w:styleId="ListLabel201" w:customStyle="1">
    <w:name w:val="ListLabel 201"/>
    <w:qFormat/>
    <w:rPr>
      <w:rFonts w:cs="Symbol"/>
    </w:rPr>
  </w:style>
  <w:style w:type="character" w:styleId="ListLabel202" w:customStyle="1">
    <w:name w:val="ListLabel 202"/>
    <w:qFormat/>
    <w:rPr>
      <w:rFonts w:cs="Symbol"/>
    </w:rPr>
  </w:style>
  <w:style w:type="character" w:styleId="ListLabel203" w:customStyle="1">
    <w:name w:val="ListLabel 203"/>
    <w:qFormat/>
    <w:rPr>
      <w:rFonts w:cs="Symbol"/>
    </w:rPr>
  </w:style>
  <w:style w:type="character" w:styleId="ListLabel204" w:customStyle="1">
    <w:name w:val="ListLabel 204"/>
    <w:qFormat/>
    <w:rPr>
      <w:rFonts w:cs="Symbol"/>
    </w:rPr>
  </w:style>
  <w:style w:type="character" w:styleId="ListLabel205" w:customStyle="1">
    <w:name w:val="ListLabel 205"/>
    <w:qFormat/>
    <w:rPr>
      <w:rFonts w:cs="Symbol"/>
    </w:rPr>
  </w:style>
  <w:style w:type="character" w:styleId="ListLabel206" w:customStyle="1">
    <w:name w:val="ListLabel 206"/>
    <w:qFormat/>
    <w:rPr>
      <w:rFonts w:cs="Symbol"/>
    </w:rPr>
  </w:style>
  <w:style w:type="character" w:styleId="ListLabel207" w:customStyle="1">
    <w:name w:val="ListLabel 207"/>
    <w:qFormat/>
    <w:rPr>
      <w:rFonts w:ascii="Century gothic" w:hAnsi="Century gothic" w:eastAsia="Times New Roman" w:cs="Times New Roman"/>
      <w:b/>
      <w:bCs/>
      <w:spacing w:val="0"/>
      <w:w w:val="100"/>
      <w:sz w:val="24"/>
      <w:szCs w:val="16"/>
    </w:rPr>
  </w:style>
  <w:style w:type="character" w:styleId="ListLabel208" w:customStyle="1">
    <w:name w:val="ListLabel 208"/>
    <w:qFormat/>
    <w:rPr>
      <w:rFonts w:ascii="Century gothic" w:hAnsi="Century gothic" w:eastAsia="Times New Roman" w:cs="Times New Roman"/>
      <w:spacing w:val="0"/>
      <w:w w:val="100"/>
      <w:sz w:val="24"/>
      <w:szCs w:val="20"/>
    </w:rPr>
  </w:style>
  <w:style w:type="character" w:styleId="ListLabel209" w:customStyle="1">
    <w:name w:val="ListLabel 209"/>
    <w:qFormat/>
    <w:rPr>
      <w:rFonts w:ascii="Century gothic" w:hAnsi="Century gothic" w:eastAsia="Times New Roman" w:cs="Times New Roman"/>
      <w:b/>
      <w:w w:val="100"/>
      <w:sz w:val="24"/>
      <w:szCs w:val="16"/>
    </w:rPr>
  </w:style>
  <w:style w:type="character" w:styleId="ListLabel210" w:customStyle="1">
    <w:name w:val="ListLabel 210"/>
    <w:qFormat/>
    <w:rPr>
      <w:rFonts w:ascii="Arial" w:hAnsi="Arial" w:eastAsia="Times New Roman" w:cs="Times New Roman"/>
      <w:w w:val="100"/>
      <w:sz w:val="20"/>
      <w:szCs w:val="16"/>
    </w:rPr>
  </w:style>
  <w:style w:type="character" w:styleId="ListLabel211" w:customStyle="1">
    <w:name w:val="ListLabel 211"/>
    <w:qFormat/>
    <w:rPr>
      <w:rFonts w:cs="Symbol"/>
    </w:rPr>
  </w:style>
  <w:style w:type="character" w:styleId="ListLabel212" w:customStyle="1">
    <w:name w:val="ListLabel 212"/>
    <w:qFormat/>
    <w:rPr>
      <w:rFonts w:cs="Symbol"/>
    </w:rPr>
  </w:style>
  <w:style w:type="character" w:styleId="ListLabel213" w:customStyle="1">
    <w:name w:val="ListLabel 213"/>
    <w:qFormat/>
    <w:rPr>
      <w:rFonts w:cs="Symbol"/>
    </w:rPr>
  </w:style>
  <w:style w:type="character" w:styleId="ListLabel214" w:customStyle="1">
    <w:name w:val="ListLabel 214"/>
    <w:qFormat/>
    <w:rPr>
      <w:rFonts w:cs="Symbol"/>
    </w:rPr>
  </w:style>
  <w:style w:type="character" w:styleId="ListLabel215" w:customStyle="1">
    <w:name w:val="ListLabel 215"/>
    <w:qFormat/>
    <w:rPr>
      <w:rFonts w:cs="Symbol"/>
    </w:rPr>
  </w:style>
  <w:style w:type="character" w:styleId="ListLabel216" w:customStyle="1">
    <w:name w:val="ListLabel 216"/>
    <w:qFormat/>
    <w:rPr>
      <w:rFonts w:ascii="Arial" w:hAnsi="Arial"/>
      <w:b w:val="false"/>
      <w:bCs w:val="false"/>
      <w:color w:val="00000A"/>
      <w:sz w:val="20"/>
    </w:rPr>
  </w:style>
  <w:style w:type="character" w:styleId="ListLabel217" w:customStyle="1">
    <w:name w:val="ListLabel 217"/>
    <w:qFormat/>
    <w:rPr>
      <w:rFonts w:eastAsia="Times New Roman" w:cs="Times New Roman"/>
      <w:spacing w:val="0"/>
      <w:w w:val="100"/>
      <w:sz w:val="22"/>
      <w:szCs w:val="16"/>
    </w:rPr>
  </w:style>
  <w:style w:type="character" w:styleId="ListLabel218" w:customStyle="1">
    <w:name w:val="ListLabel 218"/>
    <w:qFormat/>
    <w:rPr>
      <w:rFonts w:eastAsia="Times New Roman" w:cs="Times New Roman"/>
      <w:b/>
      <w:bCs/>
      <w:spacing w:val="0"/>
      <w:w w:val="100"/>
      <w:sz w:val="16"/>
      <w:szCs w:val="16"/>
    </w:rPr>
  </w:style>
  <w:style w:type="character" w:styleId="ListLabel219" w:customStyle="1">
    <w:name w:val="ListLabel 219"/>
    <w:qFormat/>
    <w:rPr>
      <w:rFonts w:eastAsia="Times New Roman" w:cs="Times New Roman"/>
      <w:spacing w:val="0"/>
      <w:w w:val="100"/>
      <w:sz w:val="16"/>
      <w:szCs w:val="16"/>
    </w:rPr>
  </w:style>
  <w:style w:type="character" w:styleId="ListLabel220" w:customStyle="1">
    <w:name w:val="ListLabel 220"/>
    <w:qFormat/>
    <w:rPr>
      <w:rFonts w:eastAsia="Times New Roman" w:cs="Times New Roman"/>
      <w:w w:val="100"/>
      <w:sz w:val="16"/>
      <w:szCs w:val="16"/>
    </w:rPr>
  </w:style>
  <w:style w:type="character" w:styleId="ListLabel221" w:customStyle="1">
    <w:name w:val="ListLabel 221"/>
    <w:qFormat/>
    <w:rPr>
      <w:rFonts w:cs="Symbol"/>
    </w:rPr>
  </w:style>
  <w:style w:type="character" w:styleId="ListLabel222" w:customStyle="1">
    <w:name w:val="ListLabel 222"/>
    <w:qFormat/>
    <w:rPr>
      <w:rFonts w:cs="Symbol"/>
    </w:rPr>
  </w:style>
  <w:style w:type="character" w:styleId="ListLabel223" w:customStyle="1">
    <w:name w:val="ListLabel 223"/>
    <w:qFormat/>
    <w:rPr>
      <w:rFonts w:cs="Symbol"/>
    </w:rPr>
  </w:style>
  <w:style w:type="character" w:styleId="ListLabel224" w:customStyle="1">
    <w:name w:val="ListLabel 224"/>
    <w:qFormat/>
    <w:rPr>
      <w:rFonts w:cs="Symbol"/>
    </w:rPr>
  </w:style>
  <w:style w:type="character" w:styleId="ListLabel225" w:customStyle="1">
    <w:name w:val="ListLabel 225"/>
    <w:qFormat/>
    <w:rPr>
      <w:sz w:val="24"/>
    </w:rPr>
  </w:style>
  <w:style w:type="character" w:styleId="ListLabel226" w:customStyle="1">
    <w:name w:val="ListLabel 226"/>
    <w:qFormat/>
    <w:rPr>
      <w:rFonts w:eastAsia="Times New Roman" w:cs="Times New Roman"/>
      <w:spacing w:val="0"/>
      <w:w w:val="100"/>
      <w:sz w:val="24"/>
      <w:szCs w:val="16"/>
    </w:rPr>
  </w:style>
  <w:style w:type="character" w:styleId="ListLabel227" w:customStyle="1">
    <w:name w:val="ListLabel 227"/>
    <w:qFormat/>
    <w:rPr>
      <w:rFonts w:cs="Symbol"/>
    </w:rPr>
  </w:style>
  <w:style w:type="character" w:styleId="ListLabel228" w:customStyle="1">
    <w:name w:val="ListLabel 228"/>
    <w:qFormat/>
    <w:rPr>
      <w:rFonts w:cs="Symbol"/>
    </w:rPr>
  </w:style>
  <w:style w:type="character" w:styleId="ListLabel229" w:customStyle="1">
    <w:name w:val="ListLabel 229"/>
    <w:qFormat/>
    <w:rPr>
      <w:rFonts w:cs="Symbol"/>
    </w:rPr>
  </w:style>
  <w:style w:type="character" w:styleId="ListLabel230" w:customStyle="1">
    <w:name w:val="ListLabel 230"/>
    <w:qFormat/>
    <w:rPr>
      <w:rFonts w:cs="Symbol"/>
    </w:rPr>
  </w:style>
  <w:style w:type="character" w:styleId="ListLabel231" w:customStyle="1">
    <w:name w:val="ListLabel 231"/>
    <w:qFormat/>
    <w:rPr>
      <w:rFonts w:cs="Symbol"/>
    </w:rPr>
  </w:style>
  <w:style w:type="character" w:styleId="ListLabel232" w:customStyle="1">
    <w:name w:val="ListLabel 232"/>
    <w:qFormat/>
    <w:rPr>
      <w:rFonts w:cs="Symbol"/>
    </w:rPr>
  </w:style>
  <w:style w:type="character" w:styleId="ListLabel233" w:customStyle="1">
    <w:name w:val="ListLabel 233"/>
    <w:qFormat/>
    <w:rPr>
      <w:rFonts w:eastAsia="Times New Roman" w:cs="Times New Roman"/>
      <w:spacing w:val="0"/>
      <w:w w:val="100"/>
      <w:sz w:val="24"/>
      <w:szCs w:val="16"/>
    </w:rPr>
  </w:style>
  <w:style w:type="character" w:styleId="ListLabel234" w:customStyle="1">
    <w:name w:val="ListLabel 234"/>
    <w:qFormat/>
    <w:rPr>
      <w:rFonts w:eastAsia="Times New Roman" w:cs="Times New Roman"/>
      <w:w w:val="100"/>
      <w:sz w:val="24"/>
      <w:szCs w:val="16"/>
    </w:rPr>
  </w:style>
  <w:style w:type="character" w:styleId="ListLabel235" w:customStyle="1">
    <w:name w:val="ListLabel 235"/>
    <w:qFormat/>
    <w:rPr>
      <w:rFonts w:eastAsia="Times New Roman" w:cs="Times New Roman"/>
      <w:spacing w:val="0"/>
      <w:w w:val="100"/>
      <w:sz w:val="24"/>
      <w:szCs w:val="16"/>
    </w:rPr>
  </w:style>
  <w:style w:type="character" w:styleId="ListLabel236" w:customStyle="1">
    <w:name w:val="ListLabel 236"/>
    <w:qFormat/>
    <w:rPr>
      <w:rFonts w:cs="Symbol"/>
    </w:rPr>
  </w:style>
  <w:style w:type="character" w:styleId="ListLabel237" w:customStyle="1">
    <w:name w:val="ListLabel 237"/>
    <w:qFormat/>
    <w:rPr>
      <w:rFonts w:cs="Symbol"/>
    </w:rPr>
  </w:style>
  <w:style w:type="character" w:styleId="ListLabel238" w:customStyle="1">
    <w:name w:val="ListLabel 238"/>
    <w:qFormat/>
    <w:rPr>
      <w:rFonts w:cs="Symbol"/>
    </w:rPr>
  </w:style>
  <w:style w:type="character" w:styleId="ListLabel239" w:customStyle="1">
    <w:name w:val="ListLabel 239"/>
    <w:qFormat/>
    <w:rPr>
      <w:rFonts w:cs="Symbol"/>
    </w:rPr>
  </w:style>
  <w:style w:type="character" w:styleId="ListLabel240" w:customStyle="1">
    <w:name w:val="ListLabel 240"/>
    <w:qFormat/>
    <w:rPr>
      <w:rFonts w:cs="Symbol"/>
    </w:rPr>
  </w:style>
  <w:style w:type="character" w:styleId="ListLabel241" w:customStyle="1">
    <w:name w:val="ListLabel 241"/>
    <w:qFormat/>
    <w:rPr>
      <w:rFonts w:eastAsia="Times New Roman" w:cs="Times New Roman"/>
      <w:w w:val="100"/>
      <w:sz w:val="24"/>
      <w:szCs w:val="16"/>
    </w:rPr>
  </w:style>
  <w:style w:type="character" w:styleId="ListLabel242" w:customStyle="1">
    <w:name w:val="ListLabel 242"/>
    <w:qFormat/>
    <w:rPr>
      <w:rFonts w:cs="Symbol"/>
    </w:rPr>
  </w:style>
  <w:style w:type="character" w:styleId="ListLabel243" w:customStyle="1">
    <w:name w:val="ListLabel 243"/>
    <w:qFormat/>
    <w:rPr>
      <w:rFonts w:cs="Symbol"/>
    </w:rPr>
  </w:style>
  <w:style w:type="character" w:styleId="ListLabel244" w:customStyle="1">
    <w:name w:val="ListLabel 244"/>
    <w:qFormat/>
    <w:rPr>
      <w:rFonts w:cs="Symbol"/>
    </w:rPr>
  </w:style>
  <w:style w:type="character" w:styleId="ListLabel245" w:customStyle="1">
    <w:name w:val="ListLabel 245"/>
    <w:qFormat/>
    <w:rPr>
      <w:rFonts w:cs="Symbol"/>
    </w:rPr>
  </w:style>
  <w:style w:type="character" w:styleId="ListLabel246" w:customStyle="1">
    <w:name w:val="ListLabel 246"/>
    <w:qFormat/>
    <w:rPr>
      <w:rFonts w:cs="Symbol"/>
    </w:rPr>
  </w:style>
  <w:style w:type="character" w:styleId="ListLabel247" w:customStyle="1">
    <w:name w:val="ListLabel 247"/>
    <w:qFormat/>
    <w:rPr>
      <w:rFonts w:cs="Symbol"/>
    </w:rPr>
  </w:style>
  <w:style w:type="character" w:styleId="ListLabel248" w:customStyle="1">
    <w:name w:val="ListLabel 248"/>
    <w:qFormat/>
    <w:rPr>
      <w:rFonts w:eastAsia="Times New Roman" w:cs="Times New Roman"/>
      <w:spacing w:val="0"/>
      <w:w w:val="100"/>
      <w:sz w:val="24"/>
      <w:szCs w:val="16"/>
    </w:rPr>
  </w:style>
  <w:style w:type="character" w:styleId="ListLabel249" w:customStyle="1">
    <w:name w:val="ListLabel 249"/>
    <w:qFormat/>
    <w:rPr>
      <w:rFonts w:cs="Symbol"/>
    </w:rPr>
  </w:style>
  <w:style w:type="character" w:styleId="ListLabel250" w:customStyle="1">
    <w:name w:val="ListLabel 250"/>
    <w:qFormat/>
    <w:rPr>
      <w:rFonts w:cs="Symbol"/>
    </w:rPr>
  </w:style>
  <w:style w:type="character" w:styleId="ListLabel251" w:customStyle="1">
    <w:name w:val="ListLabel 251"/>
    <w:qFormat/>
    <w:rPr>
      <w:rFonts w:cs="Symbol"/>
    </w:rPr>
  </w:style>
  <w:style w:type="character" w:styleId="ListLabel252" w:customStyle="1">
    <w:name w:val="ListLabel 252"/>
    <w:qFormat/>
    <w:rPr>
      <w:rFonts w:cs="Symbol"/>
    </w:rPr>
  </w:style>
  <w:style w:type="character" w:styleId="ListLabel253" w:customStyle="1">
    <w:name w:val="ListLabel 253"/>
    <w:qFormat/>
    <w:rPr>
      <w:rFonts w:cs="Symbol"/>
    </w:rPr>
  </w:style>
  <w:style w:type="character" w:styleId="ListLabel254" w:customStyle="1">
    <w:name w:val="ListLabel 254"/>
    <w:qFormat/>
    <w:rPr>
      <w:rFonts w:cs="Symbol"/>
    </w:rPr>
  </w:style>
  <w:style w:type="character" w:styleId="ListLabel255" w:customStyle="1">
    <w:name w:val="ListLabel 255"/>
    <w:qFormat/>
    <w:rPr>
      <w:rFonts w:cs="Symbol"/>
    </w:rPr>
  </w:style>
  <w:style w:type="character" w:styleId="ListLabel256" w:customStyle="1">
    <w:name w:val="ListLabel 256"/>
    <w:qFormat/>
    <w:rPr>
      <w:rFonts w:eastAsia="Times New Roman" w:cs="Times New Roman"/>
      <w:spacing w:val="0"/>
      <w:w w:val="100"/>
      <w:sz w:val="22"/>
      <w:szCs w:val="16"/>
    </w:rPr>
  </w:style>
  <w:style w:type="character" w:styleId="ListLabel257" w:customStyle="1">
    <w:name w:val="ListLabel 257"/>
    <w:qFormat/>
    <w:rPr>
      <w:rFonts w:cs="Symbol"/>
    </w:rPr>
  </w:style>
  <w:style w:type="character" w:styleId="ListLabel258" w:customStyle="1">
    <w:name w:val="ListLabel 258"/>
    <w:qFormat/>
    <w:rPr>
      <w:rFonts w:cs="Symbol"/>
    </w:rPr>
  </w:style>
  <w:style w:type="character" w:styleId="ListLabel259" w:customStyle="1">
    <w:name w:val="ListLabel 259"/>
    <w:qFormat/>
    <w:rPr>
      <w:rFonts w:cs="Symbol"/>
    </w:rPr>
  </w:style>
  <w:style w:type="character" w:styleId="ListLabel260" w:customStyle="1">
    <w:name w:val="ListLabel 260"/>
    <w:qFormat/>
    <w:rPr>
      <w:rFonts w:cs="Symbol"/>
    </w:rPr>
  </w:style>
  <w:style w:type="character" w:styleId="ListLabel261" w:customStyle="1">
    <w:name w:val="ListLabel 261"/>
    <w:qFormat/>
    <w:rPr>
      <w:rFonts w:cs="Symbol"/>
    </w:rPr>
  </w:style>
  <w:style w:type="character" w:styleId="ListLabel262" w:customStyle="1">
    <w:name w:val="ListLabel 262"/>
    <w:qFormat/>
    <w:rPr>
      <w:rFonts w:cs="Symbol"/>
    </w:rPr>
  </w:style>
  <w:style w:type="character" w:styleId="ListLabel263" w:customStyle="1">
    <w:name w:val="ListLabel 263"/>
    <w:qFormat/>
    <w:rPr>
      <w:rFonts w:cs="Symbol"/>
    </w:rPr>
  </w:style>
  <w:style w:type="character" w:styleId="ListLabel264" w:customStyle="1">
    <w:name w:val="ListLabel 264"/>
    <w:qFormat/>
    <w:rPr>
      <w:rFonts w:eastAsia="Times New Roman" w:cs="Times New Roman"/>
      <w:w w:val="100"/>
      <w:sz w:val="24"/>
      <w:szCs w:val="16"/>
    </w:rPr>
  </w:style>
  <w:style w:type="character" w:styleId="ListLabel265" w:customStyle="1">
    <w:name w:val="ListLabel 265"/>
    <w:qFormat/>
    <w:rPr>
      <w:rFonts w:cs="Symbol"/>
    </w:rPr>
  </w:style>
  <w:style w:type="character" w:styleId="ListLabel266" w:customStyle="1">
    <w:name w:val="ListLabel 266"/>
    <w:qFormat/>
    <w:rPr>
      <w:rFonts w:cs="Symbol"/>
    </w:rPr>
  </w:style>
  <w:style w:type="character" w:styleId="ListLabel267" w:customStyle="1">
    <w:name w:val="ListLabel 267"/>
    <w:qFormat/>
    <w:rPr>
      <w:rFonts w:cs="Symbol"/>
    </w:rPr>
  </w:style>
  <w:style w:type="character" w:styleId="ListLabel268" w:customStyle="1">
    <w:name w:val="ListLabel 268"/>
    <w:qFormat/>
    <w:rPr>
      <w:rFonts w:cs="Symbol"/>
    </w:rPr>
  </w:style>
  <w:style w:type="character" w:styleId="ListLabel269" w:customStyle="1">
    <w:name w:val="ListLabel 269"/>
    <w:qFormat/>
    <w:rPr>
      <w:rFonts w:cs="Symbol"/>
    </w:rPr>
  </w:style>
  <w:style w:type="character" w:styleId="ListLabel270" w:customStyle="1">
    <w:name w:val="ListLabel 270"/>
    <w:qFormat/>
    <w:rPr>
      <w:rFonts w:cs="Symbol"/>
    </w:rPr>
  </w:style>
  <w:style w:type="character" w:styleId="ListLabel271" w:customStyle="1">
    <w:name w:val="ListLabel 271"/>
    <w:qFormat/>
    <w:rPr>
      <w:rFonts w:cs="Symbol"/>
    </w:rPr>
  </w:style>
  <w:style w:type="character" w:styleId="ListLabel272" w:customStyle="1">
    <w:name w:val="ListLabel 272"/>
    <w:qFormat/>
    <w:rPr>
      <w:rFonts w:cs="Symbol"/>
    </w:rPr>
  </w:style>
  <w:style w:type="character" w:styleId="ListLabel273" w:customStyle="1">
    <w:name w:val="ListLabel 273"/>
    <w:qFormat/>
    <w:rPr>
      <w:rFonts w:eastAsia="Times New Roman" w:cs="Times New Roman"/>
      <w:spacing w:val="0"/>
      <w:w w:val="100"/>
      <w:sz w:val="24"/>
      <w:szCs w:val="16"/>
    </w:rPr>
  </w:style>
  <w:style w:type="character" w:styleId="ListLabel274" w:customStyle="1">
    <w:name w:val="ListLabel 274"/>
    <w:qFormat/>
    <w:rPr>
      <w:rFonts w:eastAsia="Times New Roman" w:cs="Times New Roman"/>
      <w:w w:val="100"/>
      <w:sz w:val="22"/>
      <w:szCs w:val="16"/>
    </w:rPr>
  </w:style>
  <w:style w:type="character" w:styleId="ListLabel275" w:customStyle="1">
    <w:name w:val="ListLabel 275"/>
    <w:qFormat/>
    <w:rPr>
      <w:rFonts w:cs="Symbol"/>
    </w:rPr>
  </w:style>
  <w:style w:type="character" w:styleId="ListLabel276" w:customStyle="1">
    <w:name w:val="ListLabel 276"/>
    <w:qFormat/>
    <w:rPr>
      <w:rFonts w:cs="Symbol"/>
    </w:rPr>
  </w:style>
  <w:style w:type="character" w:styleId="ListLabel277" w:customStyle="1">
    <w:name w:val="ListLabel 277"/>
    <w:qFormat/>
    <w:rPr>
      <w:rFonts w:cs="Symbol"/>
    </w:rPr>
  </w:style>
  <w:style w:type="character" w:styleId="ListLabel278" w:customStyle="1">
    <w:name w:val="ListLabel 278"/>
    <w:qFormat/>
    <w:rPr>
      <w:rFonts w:cs="Symbol"/>
    </w:rPr>
  </w:style>
  <w:style w:type="character" w:styleId="ListLabel279" w:customStyle="1">
    <w:name w:val="ListLabel 279"/>
    <w:qFormat/>
    <w:rPr>
      <w:rFonts w:cs="Symbol"/>
    </w:rPr>
  </w:style>
  <w:style w:type="character" w:styleId="ListLabel280" w:customStyle="1">
    <w:name w:val="ListLabel 280"/>
    <w:qFormat/>
    <w:rPr>
      <w:rFonts w:eastAsia="Times New Roman" w:cs="Times New Roman"/>
      <w:spacing w:val="0"/>
      <w:w w:val="100"/>
      <w:sz w:val="24"/>
      <w:szCs w:val="16"/>
    </w:rPr>
  </w:style>
  <w:style w:type="character" w:styleId="ListLabel281" w:customStyle="1">
    <w:name w:val="ListLabel 281"/>
    <w:qFormat/>
    <w:rPr>
      <w:rFonts w:eastAsia="Times New Roman" w:cs="Times New Roman"/>
      <w:spacing w:val="0"/>
      <w:w w:val="100"/>
      <w:sz w:val="22"/>
      <w:szCs w:val="16"/>
    </w:rPr>
  </w:style>
  <w:style w:type="character" w:styleId="ListLabel282" w:customStyle="1">
    <w:name w:val="ListLabel 282"/>
    <w:qFormat/>
    <w:rPr>
      <w:rFonts w:cs="Symbol"/>
    </w:rPr>
  </w:style>
  <w:style w:type="character" w:styleId="ListLabel283" w:customStyle="1">
    <w:name w:val="ListLabel 283"/>
    <w:qFormat/>
    <w:rPr>
      <w:rFonts w:cs="Symbol"/>
    </w:rPr>
  </w:style>
  <w:style w:type="character" w:styleId="ListLabel284" w:customStyle="1">
    <w:name w:val="ListLabel 284"/>
    <w:qFormat/>
    <w:rPr>
      <w:rFonts w:cs="Symbol"/>
    </w:rPr>
  </w:style>
  <w:style w:type="character" w:styleId="ListLabel285" w:customStyle="1">
    <w:name w:val="ListLabel 285"/>
    <w:qFormat/>
    <w:rPr>
      <w:rFonts w:cs="Symbol"/>
    </w:rPr>
  </w:style>
  <w:style w:type="character" w:styleId="ListLabel286" w:customStyle="1">
    <w:name w:val="ListLabel 286"/>
    <w:qFormat/>
    <w:rPr>
      <w:rFonts w:cs="Symbol"/>
    </w:rPr>
  </w:style>
  <w:style w:type="character" w:styleId="ListLabel287" w:customStyle="1">
    <w:name w:val="ListLabel 287"/>
    <w:qFormat/>
    <w:rPr>
      <w:rFonts w:eastAsia="Times New Roman" w:cs="Times New Roman"/>
      <w:spacing w:val="0"/>
      <w:w w:val="100"/>
      <w:sz w:val="24"/>
      <w:szCs w:val="16"/>
    </w:rPr>
  </w:style>
  <w:style w:type="character" w:styleId="ListLabel288" w:customStyle="1">
    <w:name w:val="ListLabel 288"/>
    <w:qFormat/>
    <w:rPr>
      <w:rFonts w:eastAsia="Times New Roman" w:cs="Times New Roman"/>
      <w:w w:val="100"/>
      <w:sz w:val="22"/>
      <w:szCs w:val="16"/>
    </w:rPr>
  </w:style>
  <w:style w:type="character" w:styleId="ListLabel289" w:customStyle="1">
    <w:name w:val="ListLabel 289"/>
    <w:qFormat/>
    <w:rPr>
      <w:rFonts w:cs="Symbol"/>
    </w:rPr>
  </w:style>
  <w:style w:type="character" w:styleId="ListLabel290" w:customStyle="1">
    <w:name w:val="ListLabel 290"/>
    <w:qFormat/>
    <w:rPr>
      <w:rFonts w:cs="Symbol"/>
    </w:rPr>
  </w:style>
  <w:style w:type="character" w:styleId="ListLabel291" w:customStyle="1">
    <w:name w:val="ListLabel 291"/>
    <w:qFormat/>
    <w:rPr>
      <w:rFonts w:cs="Symbol"/>
    </w:rPr>
  </w:style>
  <w:style w:type="character" w:styleId="ListLabel292" w:customStyle="1">
    <w:name w:val="ListLabel 292"/>
    <w:qFormat/>
    <w:rPr>
      <w:rFonts w:cs="Symbol"/>
    </w:rPr>
  </w:style>
  <w:style w:type="character" w:styleId="ListLabel293" w:customStyle="1">
    <w:name w:val="ListLabel 293"/>
    <w:qFormat/>
    <w:rPr>
      <w:rFonts w:cs="Symbol"/>
    </w:rPr>
  </w:style>
  <w:style w:type="character" w:styleId="ListLabel294" w:customStyle="1">
    <w:name w:val="ListLabel 294"/>
    <w:qFormat/>
    <w:rPr>
      <w:rFonts w:eastAsia="Times New Roman" w:cs="Times New Roman"/>
      <w:spacing w:val="0"/>
      <w:w w:val="100"/>
      <w:sz w:val="24"/>
      <w:szCs w:val="16"/>
    </w:rPr>
  </w:style>
  <w:style w:type="character" w:styleId="ListLabel295" w:customStyle="1">
    <w:name w:val="ListLabel 295"/>
    <w:qFormat/>
    <w:rPr>
      <w:rFonts w:eastAsia="Times New Roman" w:cs="Times New Roman"/>
      <w:w w:val="100"/>
      <w:sz w:val="22"/>
      <w:szCs w:val="16"/>
    </w:rPr>
  </w:style>
  <w:style w:type="character" w:styleId="ListLabel296" w:customStyle="1">
    <w:name w:val="ListLabel 296"/>
    <w:qFormat/>
    <w:rPr>
      <w:rFonts w:cs="Symbol"/>
    </w:rPr>
  </w:style>
  <w:style w:type="character" w:styleId="ListLabel297" w:customStyle="1">
    <w:name w:val="ListLabel 297"/>
    <w:qFormat/>
    <w:rPr>
      <w:rFonts w:cs="Symbol"/>
    </w:rPr>
  </w:style>
  <w:style w:type="character" w:styleId="ListLabel298" w:customStyle="1">
    <w:name w:val="ListLabel 298"/>
    <w:qFormat/>
    <w:rPr>
      <w:rFonts w:cs="Symbol"/>
    </w:rPr>
  </w:style>
  <w:style w:type="character" w:styleId="ListLabel299" w:customStyle="1">
    <w:name w:val="ListLabel 299"/>
    <w:qFormat/>
    <w:rPr>
      <w:rFonts w:cs="Symbol"/>
    </w:rPr>
  </w:style>
  <w:style w:type="character" w:styleId="ListLabel300" w:customStyle="1">
    <w:name w:val="ListLabel 300"/>
    <w:qFormat/>
    <w:rPr>
      <w:rFonts w:cs="Symbol"/>
    </w:rPr>
  </w:style>
  <w:style w:type="character" w:styleId="ListLabel301" w:customStyle="1">
    <w:name w:val="ListLabel 301"/>
    <w:qFormat/>
    <w:rPr>
      <w:rFonts w:eastAsia="Times New Roman" w:cs="Times New Roman"/>
      <w:spacing w:val="0"/>
      <w:w w:val="100"/>
      <w:sz w:val="22"/>
      <w:szCs w:val="16"/>
    </w:rPr>
  </w:style>
  <w:style w:type="character" w:styleId="ListLabel302" w:customStyle="1">
    <w:name w:val="ListLabel 302"/>
    <w:qFormat/>
    <w:rPr>
      <w:rFonts w:eastAsia="Times New Roman" w:cs="Times New Roman"/>
      <w:spacing w:val="0"/>
      <w:w w:val="100"/>
      <w:sz w:val="24"/>
      <w:szCs w:val="16"/>
    </w:rPr>
  </w:style>
  <w:style w:type="character" w:styleId="ListLabel303" w:customStyle="1">
    <w:name w:val="ListLabel 303"/>
    <w:qFormat/>
    <w:rPr>
      <w:rFonts w:cs="Symbol"/>
    </w:rPr>
  </w:style>
  <w:style w:type="character" w:styleId="ListLabel304" w:customStyle="1">
    <w:name w:val="ListLabel 304"/>
    <w:qFormat/>
    <w:rPr>
      <w:rFonts w:cs="Symbol"/>
    </w:rPr>
  </w:style>
  <w:style w:type="character" w:styleId="ListLabel305" w:customStyle="1">
    <w:name w:val="ListLabel 305"/>
    <w:qFormat/>
    <w:rPr>
      <w:rFonts w:cs="Symbol"/>
    </w:rPr>
  </w:style>
  <w:style w:type="character" w:styleId="ListLabel306" w:customStyle="1">
    <w:name w:val="ListLabel 306"/>
    <w:qFormat/>
    <w:rPr>
      <w:rFonts w:cs="Symbol"/>
    </w:rPr>
  </w:style>
  <w:style w:type="character" w:styleId="ListLabel307" w:customStyle="1">
    <w:name w:val="ListLabel 307"/>
    <w:qFormat/>
    <w:rPr>
      <w:rFonts w:cs="Symbol"/>
    </w:rPr>
  </w:style>
  <w:style w:type="character" w:styleId="ListLabel308" w:customStyle="1">
    <w:name w:val="ListLabel 308"/>
    <w:qFormat/>
    <w:rPr>
      <w:rFonts w:cs="Symbol"/>
    </w:rPr>
  </w:style>
  <w:style w:type="character" w:styleId="ListLabel309" w:customStyle="1">
    <w:name w:val="ListLabel 309"/>
    <w:qFormat/>
    <w:rPr>
      <w:rFonts w:eastAsia="Times New Roman" w:cs="Times New Roman"/>
      <w:b/>
      <w:bCs/>
      <w:spacing w:val="0"/>
      <w:w w:val="100"/>
      <w:sz w:val="24"/>
      <w:szCs w:val="16"/>
    </w:rPr>
  </w:style>
  <w:style w:type="character" w:styleId="ListLabel310" w:customStyle="1">
    <w:name w:val="ListLabel 310"/>
    <w:qFormat/>
    <w:rPr>
      <w:rFonts w:eastAsia="Times New Roman" w:cs="Times New Roman"/>
      <w:spacing w:val="0"/>
      <w:w w:val="100"/>
      <w:sz w:val="24"/>
      <w:szCs w:val="20"/>
    </w:rPr>
  </w:style>
  <w:style w:type="character" w:styleId="ListLabel311" w:customStyle="1">
    <w:name w:val="ListLabel 311"/>
    <w:qFormat/>
    <w:rPr>
      <w:rFonts w:eastAsia="Times New Roman" w:cs="Times New Roman"/>
      <w:b/>
      <w:w w:val="100"/>
      <w:sz w:val="24"/>
      <w:szCs w:val="16"/>
    </w:rPr>
  </w:style>
  <w:style w:type="character" w:styleId="ListLabel312" w:customStyle="1">
    <w:name w:val="ListLabel 312"/>
    <w:qFormat/>
    <w:rPr>
      <w:rFonts w:eastAsia="Times New Roman" w:cs="Times New Roman"/>
      <w:w w:val="100"/>
      <w:sz w:val="20"/>
      <w:szCs w:val="16"/>
    </w:rPr>
  </w:style>
  <w:style w:type="character" w:styleId="ListLabel313" w:customStyle="1">
    <w:name w:val="ListLabel 313"/>
    <w:qFormat/>
    <w:rPr>
      <w:rFonts w:cs="Symbol"/>
    </w:rPr>
  </w:style>
  <w:style w:type="character" w:styleId="ListLabel314" w:customStyle="1">
    <w:name w:val="ListLabel 314"/>
    <w:qFormat/>
    <w:rPr>
      <w:rFonts w:cs="Symbol"/>
    </w:rPr>
  </w:style>
  <w:style w:type="character" w:styleId="ListLabel315" w:customStyle="1">
    <w:name w:val="ListLabel 315"/>
    <w:qFormat/>
    <w:rPr>
      <w:rFonts w:cs="Symbol"/>
    </w:rPr>
  </w:style>
  <w:style w:type="character" w:styleId="ListLabel316" w:customStyle="1">
    <w:name w:val="ListLabel 316"/>
    <w:qFormat/>
    <w:rPr>
      <w:rFonts w:cs="Symbol"/>
    </w:rPr>
  </w:style>
  <w:style w:type="character" w:styleId="ListLabel317" w:customStyle="1">
    <w:name w:val="ListLabel 317"/>
    <w:qFormat/>
    <w:rPr>
      <w:rFonts w:cs="Symbol"/>
    </w:rPr>
  </w:style>
  <w:style w:type="character" w:styleId="ListLabel318" w:customStyle="1">
    <w:name w:val="ListLabel 318"/>
    <w:qFormat/>
    <w:rPr>
      <w:b w:val="false"/>
      <w:bCs w:val="false"/>
      <w:color w:val="00000A"/>
      <w:sz w:val="20"/>
    </w:rPr>
  </w:style>
  <w:style w:type="character" w:styleId="ListLabel319" w:customStyle="1">
    <w:name w:val="ListLabel 319"/>
    <w:rPr>
      <w:rFonts w:eastAsia="Times New Roman" w:cs="Times New Roman"/>
      <w:spacing w:val="0"/>
      <w:w w:val="100"/>
      <w:sz w:val="22"/>
      <w:szCs w:val="16"/>
    </w:rPr>
  </w:style>
  <w:style w:type="character" w:styleId="ListLabel320" w:customStyle="1">
    <w:name w:val="ListLabel 320"/>
    <w:rPr>
      <w:rFonts w:eastAsia="Times New Roman" w:cs="Times New Roman"/>
      <w:b/>
      <w:bCs/>
      <w:spacing w:val="0"/>
      <w:w w:val="100"/>
      <w:sz w:val="16"/>
      <w:szCs w:val="16"/>
    </w:rPr>
  </w:style>
  <w:style w:type="character" w:styleId="ListLabel321" w:customStyle="1">
    <w:name w:val="ListLabel 321"/>
    <w:rPr>
      <w:rFonts w:eastAsia="Times New Roman" w:cs="Times New Roman"/>
      <w:spacing w:val="0"/>
      <w:w w:val="100"/>
      <w:sz w:val="16"/>
      <w:szCs w:val="16"/>
    </w:rPr>
  </w:style>
  <w:style w:type="character" w:styleId="ListLabel322" w:customStyle="1">
    <w:name w:val="ListLabel 322"/>
    <w:rPr>
      <w:rFonts w:eastAsia="Times New Roman" w:cs="Times New Roman"/>
      <w:w w:val="100"/>
      <w:sz w:val="16"/>
      <w:szCs w:val="16"/>
    </w:rPr>
  </w:style>
  <w:style w:type="character" w:styleId="ListLabel323" w:customStyle="1">
    <w:name w:val="ListLabel 323"/>
    <w:rPr>
      <w:rFonts w:cs="Symbol"/>
    </w:rPr>
  </w:style>
  <w:style w:type="character" w:styleId="ListLabel324" w:customStyle="1">
    <w:name w:val="ListLabel 324"/>
    <w:rPr>
      <w:sz w:val="24"/>
    </w:rPr>
  </w:style>
  <w:style w:type="character" w:styleId="ListLabel325" w:customStyle="1">
    <w:name w:val="ListLabel 325"/>
    <w:rPr>
      <w:rFonts w:eastAsia="Times New Roman" w:cs="Times New Roman"/>
      <w:spacing w:val="0"/>
      <w:w w:val="100"/>
      <w:sz w:val="24"/>
      <w:szCs w:val="16"/>
    </w:rPr>
  </w:style>
  <w:style w:type="character" w:styleId="ListLabel326" w:customStyle="1">
    <w:name w:val="ListLabel 326"/>
    <w:rPr>
      <w:rFonts w:eastAsia="Times New Roman" w:cs="Times New Roman"/>
      <w:w w:val="100"/>
      <w:sz w:val="24"/>
      <w:szCs w:val="16"/>
    </w:rPr>
  </w:style>
  <w:style w:type="character" w:styleId="ListLabel327" w:customStyle="1">
    <w:name w:val="ListLabel 327"/>
    <w:rPr>
      <w:rFonts w:eastAsia="Times New Roman" w:cs="Times New Roman"/>
      <w:w w:val="100"/>
      <w:sz w:val="22"/>
      <w:szCs w:val="16"/>
    </w:rPr>
  </w:style>
  <w:style w:type="character" w:styleId="ListLabel328" w:customStyle="1">
    <w:name w:val="ListLabel 328"/>
    <w:rPr>
      <w:rFonts w:eastAsia="Times New Roman" w:cs="Times New Roman"/>
      <w:b/>
      <w:bCs/>
      <w:spacing w:val="0"/>
      <w:w w:val="100"/>
      <w:sz w:val="24"/>
      <w:szCs w:val="16"/>
    </w:rPr>
  </w:style>
  <w:style w:type="character" w:styleId="ListLabel329" w:customStyle="1">
    <w:name w:val="ListLabel 329"/>
    <w:rPr>
      <w:rFonts w:eastAsia="Times New Roman" w:cs="Times New Roman"/>
      <w:spacing w:val="0"/>
      <w:w w:val="100"/>
      <w:sz w:val="24"/>
      <w:szCs w:val="20"/>
    </w:rPr>
  </w:style>
  <w:style w:type="character" w:styleId="ListLabel330" w:customStyle="1">
    <w:name w:val="ListLabel 330"/>
    <w:rPr>
      <w:rFonts w:eastAsia="Times New Roman" w:cs="Times New Roman"/>
      <w:b/>
      <w:w w:val="100"/>
      <w:sz w:val="24"/>
      <w:szCs w:val="16"/>
    </w:rPr>
  </w:style>
  <w:style w:type="character" w:styleId="ListLabel331" w:customStyle="1">
    <w:name w:val="ListLabel 331"/>
    <w:rPr>
      <w:rFonts w:eastAsia="Times New Roman" w:cs="Times New Roman"/>
      <w:w w:val="100"/>
      <w:sz w:val="20"/>
      <w:szCs w:val="16"/>
    </w:rPr>
  </w:style>
  <w:style w:type="character" w:styleId="ListLabel332" w:customStyle="1">
    <w:name w:val="ListLabel 332"/>
    <w:rPr>
      <w:b w:val="false"/>
      <w:bCs w:val="false"/>
      <w:color w:val="00000A"/>
      <w:sz w:val="20"/>
    </w:rPr>
  </w:style>
  <w:style w:type="character" w:styleId="ListLabel333" w:customStyle="1">
    <w:name w:val="ListLabel 333"/>
    <w:rPr>
      <w:spacing w:val="0"/>
      <w:w w:val="100"/>
      <w:sz w:val="22"/>
      <w:szCs w:val="16"/>
    </w:rPr>
  </w:style>
  <w:style w:type="character" w:styleId="ListLabel334" w:customStyle="1">
    <w:name w:val="ListLabel 334"/>
    <w:rPr>
      <w:b/>
      <w:bCs/>
      <w:spacing w:val="0"/>
      <w:w w:val="100"/>
      <w:sz w:val="16"/>
      <w:szCs w:val="16"/>
    </w:rPr>
  </w:style>
  <w:style w:type="character" w:styleId="ListLabel335" w:customStyle="1">
    <w:name w:val="ListLabel 335"/>
    <w:rPr>
      <w:spacing w:val="0"/>
      <w:w w:val="100"/>
      <w:sz w:val="16"/>
      <w:szCs w:val="16"/>
    </w:rPr>
  </w:style>
  <w:style w:type="character" w:styleId="ListLabel336" w:customStyle="1">
    <w:name w:val="ListLabel 336"/>
    <w:rPr>
      <w:w w:val="100"/>
      <w:sz w:val="16"/>
      <w:szCs w:val="16"/>
    </w:rPr>
  </w:style>
  <w:style w:type="character" w:styleId="ListLabel337" w:customStyle="1">
    <w:name w:val="ListLabel 337"/>
    <w:rPr>
      <w:rFonts w:cs="Symbol"/>
    </w:rPr>
  </w:style>
  <w:style w:type="character" w:styleId="ListLabel338" w:customStyle="1">
    <w:name w:val="ListLabel 338"/>
    <w:rPr>
      <w:sz w:val="24"/>
    </w:rPr>
  </w:style>
  <w:style w:type="character" w:styleId="ListLabel339" w:customStyle="1">
    <w:name w:val="ListLabel 339"/>
    <w:rPr>
      <w:spacing w:val="0"/>
      <w:w w:val="100"/>
      <w:sz w:val="24"/>
      <w:szCs w:val="16"/>
    </w:rPr>
  </w:style>
  <w:style w:type="character" w:styleId="ListLabel340" w:customStyle="1">
    <w:name w:val="ListLabel 340"/>
    <w:rPr>
      <w:w w:val="100"/>
      <w:sz w:val="24"/>
      <w:szCs w:val="16"/>
    </w:rPr>
  </w:style>
  <w:style w:type="character" w:styleId="ListLabel341" w:customStyle="1">
    <w:name w:val="ListLabel 341"/>
    <w:rPr>
      <w:w w:val="100"/>
      <w:sz w:val="22"/>
      <w:szCs w:val="16"/>
    </w:rPr>
  </w:style>
  <w:style w:type="character" w:styleId="ListLabel342" w:customStyle="1">
    <w:name w:val="ListLabel 342"/>
    <w:rPr>
      <w:b/>
      <w:bCs/>
      <w:spacing w:val="0"/>
      <w:w w:val="100"/>
      <w:sz w:val="24"/>
      <w:szCs w:val="16"/>
    </w:rPr>
  </w:style>
  <w:style w:type="character" w:styleId="ListLabel343" w:customStyle="1">
    <w:name w:val="ListLabel 343"/>
    <w:rPr>
      <w:spacing w:val="0"/>
      <w:w w:val="100"/>
      <w:sz w:val="24"/>
      <w:szCs w:val="20"/>
    </w:rPr>
  </w:style>
  <w:style w:type="character" w:styleId="ListLabel344" w:customStyle="1">
    <w:name w:val="ListLabel 344"/>
    <w:rPr>
      <w:b/>
      <w:w w:val="100"/>
      <w:sz w:val="24"/>
      <w:szCs w:val="16"/>
    </w:rPr>
  </w:style>
  <w:style w:type="character" w:styleId="ListLabel345" w:customStyle="1">
    <w:name w:val="ListLabel 345"/>
    <w:rPr>
      <w:w w:val="100"/>
      <w:sz w:val="20"/>
      <w:szCs w:val="16"/>
    </w:rPr>
  </w:style>
  <w:style w:type="character" w:styleId="ListLabel346" w:customStyle="1">
    <w:name w:val="ListLabel 346"/>
    <w:rPr>
      <w:b w:val="false"/>
      <w:bCs w:val="false"/>
      <w:color w:val="00000A"/>
      <w:sz w:val="20"/>
    </w:rPr>
  </w:style>
  <w:style w:type="character" w:styleId="ListLabel347">
    <w:name w:val="ListLabel 347"/>
    <w:rPr>
      <w:spacing w:val="0"/>
      <w:w w:val="100"/>
      <w:sz w:val="22"/>
      <w:szCs w:val="16"/>
    </w:rPr>
  </w:style>
  <w:style w:type="character" w:styleId="ListLabel348">
    <w:name w:val="ListLabel 348"/>
    <w:rPr>
      <w:b/>
      <w:bCs/>
      <w:spacing w:val="0"/>
      <w:w w:val="100"/>
      <w:sz w:val="16"/>
      <w:szCs w:val="16"/>
    </w:rPr>
  </w:style>
  <w:style w:type="character" w:styleId="ListLabel349">
    <w:name w:val="ListLabel 349"/>
    <w:rPr>
      <w:spacing w:val="0"/>
      <w:w w:val="100"/>
      <w:sz w:val="16"/>
      <w:szCs w:val="16"/>
    </w:rPr>
  </w:style>
  <w:style w:type="character" w:styleId="ListLabel350">
    <w:name w:val="ListLabel 350"/>
    <w:rPr>
      <w:w w:val="100"/>
      <w:sz w:val="16"/>
      <w:szCs w:val="16"/>
    </w:rPr>
  </w:style>
  <w:style w:type="character" w:styleId="ListLabel351">
    <w:name w:val="ListLabel 351"/>
    <w:rPr>
      <w:rFonts w:cs="Symbol"/>
    </w:rPr>
  </w:style>
  <w:style w:type="character" w:styleId="ListLabel352">
    <w:name w:val="ListLabel 352"/>
    <w:rPr>
      <w:sz w:val="24"/>
    </w:rPr>
  </w:style>
  <w:style w:type="character" w:styleId="ListLabel353">
    <w:name w:val="ListLabel 353"/>
    <w:rPr>
      <w:spacing w:val="0"/>
      <w:w w:val="100"/>
      <w:sz w:val="24"/>
      <w:szCs w:val="16"/>
    </w:rPr>
  </w:style>
  <w:style w:type="character" w:styleId="ListLabel354">
    <w:name w:val="ListLabel 354"/>
    <w:rPr>
      <w:w w:val="100"/>
      <w:sz w:val="24"/>
      <w:szCs w:val="16"/>
    </w:rPr>
  </w:style>
  <w:style w:type="character" w:styleId="ListLabel355">
    <w:name w:val="ListLabel 355"/>
    <w:rPr>
      <w:w w:val="100"/>
      <w:sz w:val="22"/>
      <w:szCs w:val="16"/>
    </w:rPr>
  </w:style>
  <w:style w:type="character" w:styleId="ListLabel356">
    <w:name w:val="ListLabel 356"/>
    <w:rPr>
      <w:b/>
      <w:bCs/>
      <w:spacing w:val="0"/>
      <w:w w:val="100"/>
      <w:sz w:val="24"/>
      <w:szCs w:val="16"/>
    </w:rPr>
  </w:style>
  <w:style w:type="character" w:styleId="ListLabel357">
    <w:name w:val="ListLabel 357"/>
    <w:rPr>
      <w:spacing w:val="0"/>
      <w:w w:val="100"/>
      <w:sz w:val="24"/>
      <w:szCs w:val="20"/>
    </w:rPr>
  </w:style>
  <w:style w:type="character" w:styleId="ListLabel358">
    <w:name w:val="ListLabel 358"/>
    <w:rPr>
      <w:b/>
      <w:w w:val="100"/>
      <w:sz w:val="24"/>
      <w:szCs w:val="16"/>
    </w:rPr>
  </w:style>
  <w:style w:type="character" w:styleId="ListLabel359">
    <w:name w:val="ListLabel 359"/>
    <w:rPr>
      <w:w w:val="100"/>
      <w:sz w:val="20"/>
      <w:szCs w:val="16"/>
    </w:rPr>
  </w:style>
  <w:style w:type="character" w:styleId="ListLabel360">
    <w:name w:val="ListLabel 360"/>
    <w:rPr>
      <w:b w:val="false"/>
      <w:bCs w:val="false"/>
      <w:color w:val="00000A"/>
      <w:sz w:val="20"/>
    </w:rPr>
  </w:style>
  <w:style w:type="character" w:styleId="ListLabel361">
    <w:name w:val="ListLabel 361"/>
    <w:rPr>
      <w:spacing w:val="0"/>
      <w:w w:val="100"/>
      <w:sz w:val="22"/>
      <w:szCs w:val="16"/>
    </w:rPr>
  </w:style>
  <w:style w:type="character" w:styleId="ListLabel362">
    <w:name w:val="ListLabel 362"/>
    <w:rPr>
      <w:b/>
      <w:bCs/>
      <w:spacing w:val="0"/>
      <w:w w:val="100"/>
      <w:sz w:val="16"/>
      <w:szCs w:val="16"/>
    </w:rPr>
  </w:style>
  <w:style w:type="character" w:styleId="ListLabel363">
    <w:name w:val="ListLabel 363"/>
    <w:rPr>
      <w:spacing w:val="0"/>
      <w:w w:val="100"/>
      <w:sz w:val="16"/>
      <w:szCs w:val="16"/>
    </w:rPr>
  </w:style>
  <w:style w:type="character" w:styleId="ListLabel364">
    <w:name w:val="ListLabel 364"/>
    <w:rPr>
      <w:w w:val="100"/>
      <w:sz w:val="16"/>
      <w:szCs w:val="16"/>
    </w:rPr>
  </w:style>
  <w:style w:type="character" w:styleId="ListLabel365">
    <w:name w:val="ListLabel 365"/>
    <w:rPr>
      <w:rFonts w:cs="Symbol"/>
    </w:rPr>
  </w:style>
  <w:style w:type="character" w:styleId="ListLabel366">
    <w:name w:val="ListLabel 366"/>
    <w:rPr>
      <w:sz w:val="24"/>
    </w:rPr>
  </w:style>
  <w:style w:type="character" w:styleId="ListLabel367">
    <w:name w:val="ListLabel 367"/>
    <w:rPr>
      <w:spacing w:val="0"/>
      <w:w w:val="100"/>
      <w:sz w:val="24"/>
      <w:szCs w:val="16"/>
    </w:rPr>
  </w:style>
  <w:style w:type="character" w:styleId="ListLabel368">
    <w:name w:val="ListLabel 368"/>
    <w:rPr>
      <w:w w:val="100"/>
      <w:sz w:val="24"/>
      <w:szCs w:val="16"/>
    </w:rPr>
  </w:style>
  <w:style w:type="character" w:styleId="ListLabel369">
    <w:name w:val="ListLabel 369"/>
    <w:rPr>
      <w:w w:val="100"/>
      <w:sz w:val="22"/>
      <w:szCs w:val="16"/>
    </w:rPr>
  </w:style>
  <w:style w:type="character" w:styleId="ListLabel370">
    <w:name w:val="ListLabel 370"/>
    <w:rPr>
      <w:b/>
      <w:bCs/>
      <w:spacing w:val="0"/>
      <w:w w:val="100"/>
      <w:sz w:val="24"/>
      <w:szCs w:val="16"/>
    </w:rPr>
  </w:style>
  <w:style w:type="character" w:styleId="ListLabel371">
    <w:name w:val="ListLabel 371"/>
    <w:rPr>
      <w:spacing w:val="0"/>
      <w:w w:val="100"/>
      <w:sz w:val="24"/>
      <w:szCs w:val="20"/>
    </w:rPr>
  </w:style>
  <w:style w:type="character" w:styleId="ListLabel372">
    <w:name w:val="ListLabel 372"/>
    <w:rPr>
      <w:b/>
      <w:w w:val="100"/>
      <w:sz w:val="24"/>
      <w:szCs w:val="16"/>
    </w:rPr>
  </w:style>
  <w:style w:type="character" w:styleId="ListLabel373">
    <w:name w:val="ListLabel 373"/>
    <w:rPr>
      <w:w w:val="100"/>
      <w:sz w:val="20"/>
      <w:szCs w:val="16"/>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customStyle="1">
    <w:name w:val="Corpo do texto"/>
    <w:basedOn w:val="Normal"/>
    <w:pPr>
      <w:spacing w:lineRule="auto" w:line="288" w:before="0" w:after="140"/>
    </w:pPr>
    <w:rPr/>
  </w:style>
  <w:style w:type="paragraph" w:styleId="Lista">
    <w:name w:val="Lista"/>
    <w:basedOn w:val="Corpodotexto"/>
    <w:pPr/>
    <w:rPr>
      <w:rFonts w:cs="Lucida Sans"/>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qFormat/>
    <w:basedOn w:val="Normal"/>
    <w:pPr>
      <w:suppressLineNumbers/>
    </w:pPr>
    <w:rPr>
      <w:rFonts w:cs="Lucida Sans"/>
    </w:rPr>
  </w:style>
  <w:style w:type="paragraph" w:styleId="Ttulododocumento" w:customStyle="1">
    <w:name w:val="Título do documento"/>
    <w:qFormat/>
    <w:basedOn w:val="Normal"/>
    <w:pPr>
      <w:keepNext/>
      <w:spacing w:before="240" w:after="120"/>
      <w:jc w:val="left"/>
    </w:pPr>
    <w:rPr>
      <w:rFonts w:ascii="Liberation Sans" w:hAnsi="Liberation Sans" w:eastAsia="Microsoft YaHei" w:cs="Lucida Sans"/>
      <w:sz w:val="28"/>
      <w:szCs w:val="28"/>
    </w:rPr>
  </w:style>
  <w:style w:type="paragraph" w:styleId="Caption">
    <w:name w:val="caption"/>
    <w:qFormat/>
    <w:basedOn w:val="Normal"/>
    <w:pPr>
      <w:suppressLineNumbers/>
      <w:spacing w:before="120" w:after="120"/>
    </w:pPr>
    <w:rPr>
      <w:rFonts w:cs="Lucida Sans"/>
      <w:i/>
      <w:iCs/>
      <w:sz w:val="24"/>
    </w:rPr>
  </w:style>
  <w:style w:type="paragraph" w:styleId="ListParagraph">
    <w:name w:val="List Paragraph"/>
    <w:uiPriority w:val="34"/>
    <w:qFormat/>
    <w:rsid w:val="004773fc"/>
    <w:basedOn w:val="Normal"/>
    <w:pPr>
      <w:spacing w:before="0" w:after="0"/>
      <w:ind w:left="720" w:right="0" w:hanging="0"/>
      <w:contextualSpacing/>
    </w:pPr>
    <w:rPr/>
  </w:style>
  <w:style w:type="paragraph" w:styleId="NormalWeb">
    <w:name w:val="Normal (Web)"/>
    <w:uiPriority w:val="99"/>
    <w:qFormat/>
    <w:rsid w:val="006b156a"/>
    <w:basedOn w:val="Normal"/>
    <w:pPr>
      <w:spacing w:before="0" w:after="280"/>
    </w:pPr>
    <w:rPr>
      <w:rFonts w:ascii="Times New Roman" w:hAnsi="Times New Roman" w:cs="Times New Roman"/>
    </w:rPr>
  </w:style>
  <w:style w:type="paragraph" w:styleId="BalloonText">
    <w:name w:val="Balloon Text"/>
    <w:qFormat/>
    <w:link w:val="TextodebaloChar"/>
    <w:basedOn w:val="Normal"/>
    <w:pPr/>
    <w:rPr>
      <w:rFonts w:ascii="Tahoma" w:hAnsi="Tahoma"/>
      <w:sz w:val="16"/>
      <w:szCs w:val="16"/>
    </w:rPr>
  </w:style>
  <w:style w:type="paragraph" w:styleId="Nvel2" w:customStyle="1">
    <w:name w:val="Nível 2"/>
    <w:qFormat/>
    <w:rsid w:val="004b460a"/>
    <w:basedOn w:val="Normal"/>
    <w:next w:val="Normal"/>
    <w:pPr>
      <w:spacing w:before="0" w:after="120"/>
      <w:jc w:val="both"/>
    </w:pPr>
    <w:rPr>
      <w:rFonts w:cs="Times New Roman"/>
      <w:b/>
      <w:szCs w:val="20"/>
    </w:rPr>
  </w:style>
  <w:style w:type="paragraph" w:styleId="Quote">
    <w:name w:val="Quote"/>
    <w:uiPriority w:val="29"/>
    <w:qFormat/>
    <w:link w:val="CitaoChar"/>
    <w:rsid w:val="00c322f1"/>
    <w:basedOn w:val="Normal"/>
    <w:next w:val="Normal"/>
    <w:pPr>
      <w:pBdr>
        <w:top w:val="single" w:sz="4" w:space="1" w:color="1F497D"/>
        <w:left w:val="single" w:sz="4" w:space="4" w:color="1F497D"/>
        <w:bottom w:val="single" w:sz="4" w:space="1" w:color="1F497D"/>
        <w:right w:val="single" w:sz="4" w:space="4" w:color="1F497D"/>
      </w:pBdr>
      <w:shd w:fill="FFFFCC" w:val="clear"/>
      <w:spacing w:before="120" w:after="0"/>
      <w:jc w:val="both"/>
    </w:pPr>
    <w:rPr>
      <w:rFonts w:eastAsia="Calibri"/>
      <w:i/>
      <w:iCs/>
      <w:color w:val="000000"/>
      <w:lang w:eastAsia="en-US"/>
    </w:rPr>
  </w:style>
  <w:style w:type="paragraph" w:styleId="ListBullet5">
    <w:name w:val="List Bullet 5"/>
    <w:qFormat/>
    <w:rsid w:val="001a3a05"/>
    <w:basedOn w:val="Normal"/>
    <w:pPr>
      <w:spacing w:before="0" w:after="0"/>
      <w:contextualSpacing/>
    </w:pPr>
    <w:rPr/>
  </w:style>
  <w:style w:type="paragraph" w:styleId="Citao2" w:customStyle="1">
    <w:name w:val="citação 2"/>
    <w:qFormat/>
    <w:rsid w:val="000a23da"/>
    <w:basedOn w:val="Quote"/>
    <w:pPr/>
    <w:rPr>
      <w:szCs w:val="20"/>
    </w:rPr>
  </w:style>
  <w:style w:type="paragraph" w:styleId="Cabealho">
    <w:name w:val="Cabeçalho"/>
    <w:link w:val="CabealhoChar"/>
    <w:rsid w:val="000f104d"/>
    <w:basedOn w:val="Normal"/>
    <w:pPr>
      <w:tabs>
        <w:tab w:val="center" w:pos="4252" w:leader="none"/>
        <w:tab w:val="right" w:pos="8504" w:leader="none"/>
      </w:tabs>
    </w:pPr>
    <w:rPr/>
  </w:style>
  <w:style w:type="paragraph" w:styleId="Rodap">
    <w:name w:val="Rodapé"/>
    <w:link w:val="RodapChar"/>
    <w:rsid w:val="000f104d"/>
    <w:basedOn w:val="Normal"/>
    <w:pPr>
      <w:tabs>
        <w:tab w:val="center" w:pos="4252" w:leader="none"/>
        <w:tab w:val="right" w:pos="8504" w:leader="none"/>
      </w:tabs>
    </w:pPr>
    <w:rPr/>
  </w:style>
  <w:style w:type="paragraph" w:styleId="Em0020ementa" w:customStyle="1">
    <w:name w:val="em_0020ementa"/>
    <w:qFormat/>
    <w:rsid w:val="000f104d"/>
    <w:basedOn w:val="Normal"/>
    <w:pPr>
      <w:ind w:left="4160" w:right="0" w:hanging="0"/>
      <w:jc w:val="both"/>
    </w:pPr>
    <w:rPr>
      <w:rFonts w:ascii="Times New Roman" w:hAnsi="Times New Roman" w:cs="Times New Roman"/>
      <w:sz w:val="28"/>
      <w:szCs w:val="28"/>
    </w:rPr>
  </w:style>
  <w:style w:type="paragraph" w:styleId="Nivel1" w:customStyle="1">
    <w:name w:val="Nivel1"/>
    <w:qFormat/>
    <w:link w:val="Nivel1Char"/>
    <w:rsid w:val="00976da1"/>
    <w:basedOn w:val="Ttulo1"/>
    <w:next w:val="Normal"/>
    <w:pPr>
      <w:spacing w:lineRule="auto" w:line="276" w:before="480" w:after="120"/>
      <w:jc w:val="both"/>
    </w:pPr>
    <w:rPr>
      <w:rFonts w:ascii="Arial" w:hAnsi="Arial" w:cs="Arial"/>
      <w:b/>
      <w:color w:val="000000"/>
      <w:sz w:val="20"/>
      <w:szCs w:val="20"/>
    </w:rPr>
  </w:style>
  <w:style w:type="paragraph" w:styleId="Nivel01" w:customStyle="1">
    <w:name w:val="Nivel 01"/>
    <w:qFormat/>
    <w:link w:val="Nivel01Char"/>
    <w:rsid w:val="00976da1"/>
    <w:basedOn w:val="Ttulo1"/>
    <w:next w:val="Normal"/>
    <w:pPr>
      <w:spacing w:lineRule="auto" w:line="276" w:before="480" w:after="120"/>
      <w:ind w:left="360" w:right="-15" w:hanging="360"/>
      <w:jc w:val="both"/>
    </w:pPr>
    <w:rPr>
      <w:rFonts w:ascii="Arial" w:hAnsi="Arial" w:cs="Times New Roman"/>
      <w:b/>
      <w:bCs/>
      <w:color w:val="000000"/>
      <w:sz w:val="20"/>
      <w:szCs w:val="20"/>
    </w:rPr>
  </w:style>
  <w:style w:type="paragraph" w:styleId="Annotationtext">
    <w:name w:val="annotation text"/>
    <w:qFormat/>
    <w:unhideWhenUsed/>
    <w:link w:val="TextodecomentrioChar"/>
    <w:rsid w:val="009d787b"/>
    <w:basedOn w:val="Normal"/>
    <w:pPr/>
    <w:rPr>
      <w:szCs w:val="20"/>
    </w:rPr>
  </w:style>
  <w:style w:type="paragraph" w:styleId="Annotationsubject">
    <w:name w:val="annotation subject"/>
    <w:qFormat/>
    <w:semiHidden/>
    <w:unhideWhenUsed/>
    <w:link w:val="AssuntodocomentrioChar"/>
    <w:rsid w:val="009d787b"/>
    <w:basedOn w:val="Annotationtext"/>
    <w:pPr/>
    <w:rPr>
      <w:b/>
      <w:bCs/>
    </w:rPr>
  </w:style>
  <w:style w:type="paragraph" w:styleId="GradeColoridanfase11" w:customStyle="1">
    <w:name w:val="Grade Colorida - Ênfase 11"/>
    <w:uiPriority w:val="29"/>
    <w:qFormat/>
    <w:rsid w:val="0034193b"/>
    <w:basedOn w:val="Normal"/>
    <w:next w:val="Normal"/>
    <w:pPr>
      <w:pBdr>
        <w:top w:val="single" w:sz="4" w:space="1" w:color="1F497D"/>
        <w:left w:val="single" w:sz="4" w:space="4" w:color="1F497D"/>
        <w:bottom w:val="single" w:sz="4" w:space="1" w:color="1F497D"/>
        <w:right w:val="single" w:sz="4" w:space="4" w:color="1F497D"/>
      </w:pBdr>
      <w:shd w:fill="FFFFCC" w:val="clear"/>
      <w:spacing w:before="120" w:after="0"/>
      <w:jc w:val="both"/>
    </w:pPr>
    <w:rPr>
      <w:rFonts w:eastAsia="Calibri" w:cs="Times New Roman"/>
      <w:i/>
      <w:iCs/>
      <w:color w:val="000000"/>
      <w:lang w:val="x-none" w:eastAsia="en-US"/>
    </w:rPr>
  </w:style>
  <w:style w:type="paragraph" w:styleId="PADRO" w:customStyle="1">
    <w:name w:val="PADRÃO"/>
    <w:qFormat/>
    <w:rsid w:val="007454cf"/>
    <w:pPr>
      <w:keepNext/>
      <w:widowControl w:val="false"/>
      <w:shd w:fill="FFFFFF" w:val="clear"/>
      <w:suppressAutoHyphens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4"/>
      <w:szCs w:val="24"/>
      <w:lang w:val="pt-BR" w:eastAsia="zh-CN" w:bidi="hi-IN"/>
    </w:rPr>
  </w:style>
  <w:style w:type="paragraph" w:styleId="Western" w:customStyle="1">
    <w:name w:val="western"/>
    <w:qFormat/>
    <w:rsid w:val="009f2d47"/>
    <w:basedOn w:val="Normal"/>
    <w:pPr>
      <w:spacing w:before="0" w:after="119"/>
    </w:pPr>
    <w:rPr>
      <w:rFonts w:ascii="Times New Roman" w:hAnsi="Times New Roman" w:cs="Times New Roman"/>
      <w:color w:val="000000"/>
      <w:sz w:val="24"/>
    </w:rPr>
  </w:style>
  <w:style w:type="paragraph" w:styleId="Contedodatabela" w:customStyle="1">
    <w:name w:val="Conteúdo da tabela"/>
    <w:qFormat/>
    <w:basedOn w:val="Normal"/>
    <w:pPr>
      <w:suppressLineNumbers/>
    </w:pPr>
    <w:rPr/>
  </w:style>
  <w:style w:type="paragraph" w:styleId="Ttulodetabela" w:customStyle="1">
    <w:name w:val="Título de tabela"/>
    <w:qFormat/>
    <w:basedOn w:val="Normal"/>
    <w:pPr>
      <w:widowControl w:val="false"/>
      <w:suppressLineNumbers/>
      <w:jc w:val="center"/>
    </w:pPr>
    <w:rPr>
      <w:rFonts w:ascii="Liberation Serif" w:hAnsi="Liberation Serif" w:cs="Lucida Sans"/>
      <w:b/>
      <w:bCs/>
      <w:sz w:val="24"/>
    </w:rPr>
  </w:style>
  <w:style w:type="paragraph" w:styleId="Contedodetabela" w:customStyle="1">
    <w:name w:val="Conteúdo de tabela"/>
    <w:qFormat/>
    <w:basedOn w:val="Normal"/>
    <w:pPr>
      <w:suppressLineNumbers/>
    </w:pPr>
    <w:rPr/>
  </w:style>
  <w:style w:type="numbering" w:styleId="NoList" w:default="1">
    <w:name w:val="No List"/>
    <w:uiPriority w:val="99"/>
    <w:semiHidden/>
    <w:unhideWhenUsed/>
  </w:style>
  <w:style w:type="numbering" w:styleId="Estilo1" w:customStyle="1">
    <w:name w:val="Estilo1"/>
    <w:uiPriority w:val="99"/>
    <w:qFormat/>
    <w:rsid w:val="00fe56b1"/>
  </w:style>
  <w:style w:type="numbering" w:styleId="Estilo2" w:customStyle="1">
    <w:name w:val="Estilo2"/>
    <w:uiPriority w:val="99"/>
    <w:qFormat/>
    <w:rsid w:val="00fe56b1"/>
  </w:style>
  <w:style w:type="numbering" w:styleId="Estilo3" w:customStyle="1">
    <w:name w:val="Estilo3"/>
    <w:uiPriority w:val="99"/>
    <w:qFormat/>
    <w:rsid w:val="008e673b"/>
  </w:style>
  <w:style w:type="numbering" w:styleId="Estilo4" w:customStyle="1">
    <w:name w:val="Estilo4"/>
    <w:uiPriority w:val="99"/>
    <w:qFormat/>
    <w:rsid w:val="001c5cea"/>
  </w:style>
  <w:style w:type="numbering" w:styleId="Estilo5" w:customStyle="1">
    <w:name w:val="Estilo5"/>
    <w:uiPriority w:val="99"/>
    <w:qFormat/>
    <w:rsid w:val="00e66296"/>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Lista1" w:customStyle="1">
    <w:name w:val="Lista 1"/>
    <w:qFormat/>
  </w:style>
  <w:style w:type="table" w:default="1" w:styleId="Tabelanormal">
    <w:name w:val="Normal Table"/>
    <w:uiPriority w:val="99"/>
    <w:semiHidden/>
    <w:unhideWhenUsed/>
    <w:tblPr>
      <w:tblInd w:type="dxa" w:w="0"/>
      <w:tblCellMar>
        <w:top w:w="0" w:type="dxa"/>
        <w:left w:w="108" w:type="dxa"/>
        <w:bottom w:w="0" w:type="dxa"/>
        <w:right w:w="108" w:type="dxa"/>
      </w:tblCellMar>
    </w:tblPr>
  </w:style>
  <w:style w:type="table" w:styleId="Tabelacomgrade">
    <w:name w:val="Table Grid"/>
    <w:basedOn w:val="Tabelanormal"/>
    <w:rsid w:val="00976da1"/>
    <w:rPr>
      <w:rFonts w:eastAsiaTheme="minorEastAsia"/>
      <w:lang w:eastAsia="en-US"/>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type="table" w:customStyle="1" w:styleId="TableNormal">
    <w:name w:val="Table Normal"/>
    <w:uiPriority w:val="2"/>
    <w:qFormat/>
    <w:semiHidden/>
    <w:unhideWhenUsed/>
    <w:rsid w:val="00e9310f"/>
    <w:rPr>
      <w:lang w:eastAsia="en-US" w:val="en-US"/>
      <w:szCs w:val="22"/>
    </w:rPr>
    <w:tblPr>
      <w:tblInd w:type="dxa" w:w="0"/>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omprasnet.gov.br/" TargetMode="External"/><Relationship Id="rId3" Type="http://schemas.openxmlformats.org/officeDocument/2006/relationships/hyperlink" Target="http://www.comprasnet.gov.br/" TargetMode="External"/><Relationship Id="rId4" Type="http://schemas.openxmlformats.org/officeDocument/2006/relationships/hyperlink" Target="http://www.ufvjm.edu.br/" TargetMode="External"/><Relationship Id="rId5" Type="http://schemas.openxmlformats.org/officeDocument/2006/relationships/hyperlink" Target="mailto:rosalina.cruz@ufvjm.edu.br" TargetMode="External"/><Relationship Id="rId6" Type="http://schemas.openxmlformats.org/officeDocument/2006/relationships/hyperlink" Target="mailto:licita.to@ufvjm.edu.br" TargetMode="External"/><Relationship Id="rId7" Type="http://schemas.openxmlformats.org/officeDocument/2006/relationships/hyperlink" Target="mailto:rosalina.cruz@ufvjm.edu.br" TargetMode="External"/><Relationship Id="rId8" Type="http://schemas.openxmlformats.org/officeDocument/2006/relationships/hyperlink" Target="mailto:licita.to@ufvjm.edu.br" TargetMode="External"/><Relationship Id="rId9" Type="http://schemas.openxmlformats.org/officeDocument/2006/relationships/hyperlink" Target="http://www.portaldatransparencia.gov.br/ceis" TargetMode="External"/><Relationship Id="rId10" Type="http://schemas.openxmlformats.org/officeDocument/2006/relationships/hyperlink" Target="http://www.cnj.jus.br/improbidade_adm/consultar_requerido.php" TargetMode="External"/><Relationship Id="rId11" Type="http://schemas.openxmlformats.org/officeDocument/2006/relationships/hyperlink" Target="http://www.portaldoempreendedor.gov.br/" TargetMode="External"/><Relationship Id="rId12" Type="http://schemas.openxmlformats.org/officeDocument/2006/relationships/hyperlink" Target="mailto:gilson.oliveira@ufvjm.edu.br E licita.to@ufvjm.edu.br" TargetMode="External"/><Relationship Id="rId13" Type="http://schemas.openxmlformats.org/officeDocument/2006/relationships/hyperlink" Target="http://www.ufvjm.edu.br/"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ufvjm.edu.br/" TargetMode="External"/><Relationship Id="rId3" Type="http://schemas.openxmlformats.org/officeDocument/2006/relationships/image" Target="media/image2.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DF925-DADA-4424-A64B-B1558AEBE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2018-08-27T12:45:00Z</dcterms:created>
  <dc:creator>Adriano</dc:creator>
  <dc:language>pt-BR</dc:language>
  <cp:lastModifiedBy>Administrativo</cp:lastModifiedBy>
  <cp:lastPrinted>2010-11-03T19:07:00Z</cp:lastPrinted>
  <dcterms:modified xsi:type="dcterms:W3CDTF">2018-10-05T12:30:00Z</dcterms:modified>
  <cp:revision>4</cp:revision>
  <dc:title>NOTAS EXPLICATIVAS</dc:title>
</cp:coreProperties>
</file>