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80" w:type="dxa"/>
        <w:tblCellMar>
          <w:top w:w="0" w:type="dxa"/>
          <w:left w:w="28" w:type="dxa"/>
          <w:bottom w:w="0" w:type="dxa"/>
          <w:right w:w="108" w:type="dxa"/>
        </w:tblCellMar>
        <w:tblLook w:val="04a0"/>
      </w:tblPr>
      <w:tblGrid>
        <w:gridCol w:w="1668"/>
        <w:gridCol w:w="6194"/>
        <w:gridCol w:w="11"/>
        <w:gridCol w:w="1611"/>
        <w:gridCol w:w="1"/>
        <w:gridCol w:w="1141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1517" y="0"/>
                      <wp:lineTo x="-1517" y="19438"/>
                      <wp:lineTo x="20909" y="19438"/>
                      <wp:lineTo x="20909" y="0"/>
                      <wp:lineTo x="-1517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9.3.1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2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Diretoria de Administração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Divisão de Protocolo 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Theme="minorHAnsi" w:hAnsiTheme="minorHAnsi" w:ascii="Calibri" w:hAnsi="Calibri"/>
                <w:b/>
              </w:rPr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  <w:lang w:val="pt-BR" w:eastAsia="en-US" w:bidi="ar-SA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5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1" w:type="dxa"/>
            <w:tcBorders/>
            <w:shd w:fill="auto" w:val="clear"/>
            <w:tcMar>
              <w:left w:w="2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19/01/2016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28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ORGANIZAÇÃO FÍSICA DO ARQUIVO E APOIO AOS SETORES DA UFVJM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80" w:type="dxa"/>
        <w:tblCellMar>
          <w:top w:w="0" w:type="dxa"/>
          <w:left w:w="28" w:type="dxa"/>
          <w:bottom w:w="0" w:type="dxa"/>
          <w:right w:w="108" w:type="dxa"/>
        </w:tblCellMar>
        <w:tblLook w:val="04a0"/>
      </w:tblPr>
      <w:tblGrid>
        <w:gridCol w:w="10606"/>
      </w:tblGrid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bookmarkStart w:id="0" w:name="_GoBack"/>
            <w:bookmarkEnd w:id="0"/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>A organização física do arquivo é necessária para o armazenamento, controle e acessos mais adequados e consequentemente a melhor realização de consultas e empréstimos dos documentos. O apoio especializado aos setores da UFVJM é uma das atividades na qual a Divisão de Protocolo é responsável e este é realizado através das informações-chave que cada setor considera importante (Exemplo: para o DRCA são os números de matrículas dos alunos). Sendo assim, o setor que necessitar de disponibilização de documentos e informações a Divisão será a responsável por prestar este suporte.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/>
              <w:t>A Divisão de Protocolos tem por objetivo controlar de forma organizada os materiais arquivados e também prestar apoio especializado aos setores da UFVJM.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UFVJM (setores) 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Cada setor tem uma peculiaridade quanto a sua necessidade de apoio. Logo, não existe um padrão de apoio especializado único.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sz w:val="22"/>
                <w:szCs w:val="22"/>
              </w:rPr>
              <w:t xml:space="preserve"> –</w:t>
            </w:r>
            <w:r>
              <w:rPr/>
              <w:t xml:space="preserve"> Arquivo Geral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2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23" w:type="dxa"/>
                <w:bottom w:w="0" w:type="dxa"/>
                <w:right w:w="108" w:type="dxa"/>
              </w:tblCellMar>
              <w:tblLook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Os documentos são arquivados por setor, tipo de documento e data.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bookmarkStart w:id="1" w:name="__DdeLink__11166_2094373474"/>
                  <w:bookmarkEnd w:id="1"/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Os documentos têm prazo de guarda (temporalidade) de acordo com o CONAC.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03</w:t>
                  </w:r>
                </w:p>
              </w:tc>
              <w:tc>
                <w:tcPr>
                  <w:tcW w:w="6378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 suporte é realizado por requisição(telefone, e-mail, ou pessoalmente) do representante de um setor ao Arquivo Geral.</w:t>
                  </w:r>
                </w:p>
              </w:tc>
              <w:tc>
                <w:tcPr>
                  <w:tcW w:w="1418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04</w:t>
                  </w:r>
                </w:p>
              </w:tc>
              <w:tc>
                <w:tcPr>
                  <w:tcW w:w="6378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 apoio é agendado e realizado de acordo com a necessidade do setor.</w:t>
                  </w:r>
                </w:p>
              </w:tc>
              <w:tc>
                <w:tcPr>
                  <w:tcW w:w="1418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>
                    <w:top w:val="nil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23" w:type="dxa"/>
                <w:bottom w:w="0" w:type="dxa"/>
                <w:right w:w="108" w:type="dxa"/>
              </w:tblCellMar>
              <w:tblLook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2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>
                <w:trHeight w:val="339" w:hRule="atLeast"/>
              </w:trPr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Default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ascii="Calibri" w:hAnsi="Calibri" w:asciiTheme="minorHAnsi" w:hAnsiTheme="minorHAnsi"/>
                      <w:b w:val="false"/>
                      <w:bCs/>
                      <w:i w:val="false"/>
                      <w:caps w:val="false"/>
                      <w:smallCaps w:val="false"/>
                      <w:color w:val="333333"/>
                      <w:spacing w:val="0"/>
                      <w:sz w:val="24"/>
                      <w:szCs w:val="24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CONAC  - Conselho Nacional de Arquivos.</w:t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366510" cy="3277235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2001" t="2550" r="1496" b="213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6510" cy="3277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drawing>
                <wp:anchor behindDoc="0" distT="0" distB="0" distL="0" distR="0" simplePos="0" locked="0" layoutInCell="1" allowOverlap="1" relativeHeight="5">
                  <wp:simplePos x="0" y="0"/>
                  <wp:positionH relativeFrom="column">
                    <wp:posOffset>1164590</wp:posOffset>
                  </wp:positionH>
                  <wp:positionV relativeFrom="paragraph">
                    <wp:posOffset>98425</wp:posOffset>
                  </wp:positionV>
                  <wp:extent cx="4225290" cy="4388485"/>
                  <wp:effectExtent l="0" t="0" r="0" b="0"/>
                  <wp:wrapSquare wrapText="largest"/>
                  <wp:docPr id="4" name="Figura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igura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5290" cy="438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23" w:type="dxa"/>
                <w:bottom w:w="0" w:type="dxa"/>
                <w:right w:w="108" w:type="dxa"/>
              </w:tblCellMar>
              <w:tblLook w:val="04a0"/>
            </w:tblPr>
            <w:tblGrid>
              <w:gridCol w:w="1814"/>
              <w:gridCol w:w="735"/>
              <w:gridCol w:w="5261"/>
              <w:gridCol w:w="2133"/>
            </w:tblGrid>
            <w:tr>
              <w:trPr/>
              <w:tc>
                <w:tcPr>
                  <w:tcW w:w="1814" w:type="dxa"/>
                  <w:tcBorders/>
                  <w:shd w:fill="auto" w:val="clear"/>
                  <w:tcMar>
                    <w:left w:w="23" w:type="dxa"/>
                  </w:tcMar>
                </w:tcPr>
                <w:tbl>
                  <w:tblPr>
                    <w:tblW w:w="1695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1185"/>
                    <w:gridCol w:w="43"/>
                    <w:gridCol w:w="236"/>
                    <w:gridCol w:w="230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18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43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0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7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7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7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6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2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23" w:type="dxa"/>
                <w:bottom w:w="0" w:type="dxa"/>
                <w:right w:w="108" w:type="dxa"/>
              </w:tblCellMar>
              <w:tblLook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2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2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6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635099532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cs="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Symbol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Wingdings"/>
    </w:rPr>
  </w:style>
  <w:style w:type="character" w:styleId="ListLabel109">
    <w:name w:val="ListLabel 109"/>
    <w:qFormat/>
    <w:rPr>
      <w:rFonts w:cs="Symbol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Symbol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cs="Symbol"/>
    </w:rPr>
  </w:style>
  <w:style w:type="character" w:styleId="ListLabel119">
    <w:name w:val="ListLabel 119"/>
    <w:qFormat/>
    <w:rPr>
      <w:rFonts w:cs="Courier New"/>
    </w:rPr>
  </w:style>
  <w:style w:type="character" w:styleId="ListLabel120">
    <w:name w:val="ListLabel 120"/>
    <w:qFormat/>
    <w:rPr>
      <w:rFonts w:cs="Wingdings"/>
    </w:rPr>
  </w:style>
  <w:style w:type="character" w:styleId="ListLabel121">
    <w:name w:val="ListLabel 121"/>
    <w:qFormat/>
    <w:rPr>
      <w:rFonts w:cs=""/>
    </w:rPr>
  </w:style>
  <w:style w:type="character" w:styleId="ListLabel122">
    <w:name w:val="ListLabel 122"/>
    <w:qFormat/>
    <w:rPr>
      <w:rFonts w:cs="Courier New"/>
    </w:rPr>
  </w:style>
  <w:style w:type="character" w:styleId="ListLabel123">
    <w:name w:val="ListLabel 123"/>
    <w:qFormat/>
    <w:rPr>
      <w:rFonts w:cs="Wingdings"/>
    </w:rPr>
  </w:style>
  <w:style w:type="character" w:styleId="ListLabel124">
    <w:name w:val="ListLabel 124"/>
    <w:qFormat/>
    <w:rPr>
      <w:rFonts w:cs="Symbol"/>
    </w:rPr>
  </w:style>
  <w:style w:type="character" w:styleId="ListLabel125">
    <w:name w:val="ListLabel 125"/>
    <w:qFormat/>
    <w:rPr>
      <w:rFonts w:cs="Courier New"/>
    </w:rPr>
  </w:style>
  <w:style w:type="character" w:styleId="ListLabel126">
    <w:name w:val="ListLabel 126"/>
    <w:qFormat/>
    <w:rPr>
      <w:rFonts w:cs="Wingdings"/>
    </w:rPr>
  </w:style>
  <w:style w:type="character" w:styleId="ListLabel127">
    <w:name w:val="ListLabel 127"/>
    <w:qFormat/>
    <w:rPr>
      <w:rFonts w:cs="Symbol"/>
    </w:rPr>
  </w:style>
  <w:style w:type="character" w:styleId="ListLabel128">
    <w:name w:val="ListLabel 128"/>
    <w:qFormat/>
    <w:rPr>
      <w:rFonts w:cs="Courier New"/>
    </w:rPr>
  </w:style>
  <w:style w:type="character" w:styleId="ListLabel129">
    <w:name w:val="ListLabel 129"/>
    <w:qFormat/>
    <w:rPr>
      <w:rFonts w:cs="Wingdings"/>
    </w:rPr>
  </w:style>
  <w:style w:type="character" w:styleId="ListLabel130">
    <w:name w:val="ListLabel 130"/>
    <w:qFormat/>
    <w:rPr>
      <w:rFonts w:cs=""/>
    </w:rPr>
  </w:style>
  <w:style w:type="character" w:styleId="ListLabel131">
    <w:name w:val="ListLabel 131"/>
    <w:qFormat/>
    <w:rPr>
      <w:rFonts w:cs="Courier New"/>
    </w:rPr>
  </w:style>
  <w:style w:type="character" w:styleId="ListLabel132">
    <w:name w:val="ListLabel 132"/>
    <w:qFormat/>
    <w:rPr>
      <w:rFonts w:cs="Wingdings"/>
    </w:rPr>
  </w:style>
  <w:style w:type="character" w:styleId="ListLabel133">
    <w:name w:val="ListLabel 133"/>
    <w:qFormat/>
    <w:rPr>
      <w:rFonts w:cs="Symbol"/>
    </w:rPr>
  </w:style>
  <w:style w:type="character" w:styleId="ListLabel134">
    <w:name w:val="ListLabel 134"/>
    <w:qFormat/>
    <w:rPr>
      <w:rFonts w:cs="Courier New"/>
    </w:rPr>
  </w:style>
  <w:style w:type="character" w:styleId="ListLabel135">
    <w:name w:val="ListLabel 135"/>
    <w:qFormat/>
    <w:rPr>
      <w:rFonts w:cs="Wingdings"/>
    </w:rPr>
  </w:style>
  <w:style w:type="character" w:styleId="ListLabel136">
    <w:name w:val="ListLabel 136"/>
    <w:qFormat/>
    <w:rPr>
      <w:rFonts w:cs="Symbol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Wingdings"/>
    </w:rPr>
  </w:style>
  <w:style w:type="character" w:styleId="ListLabel139">
    <w:name w:val="ListLabel 139"/>
    <w:qFormat/>
    <w:rPr>
      <w:rFonts w:cs="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Wingdings"/>
    </w:rPr>
  </w:style>
  <w:style w:type="character" w:styleId="ListLabel142">
    <w:name w:val="ListLabel 142"/>
    <w:qFormat/>
    <w:rPr>
      <w:rFonts w:cs="Symbol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Wingdings"/>
    </w:rPr>
  </w:style>
  <w:style w:type="character" w:styleId="ListLabel145">
    <w:name w:val="ListLabel 145"/>
    <w:qFormat/>
    <w:rPr>
      <w:rFonts w:cs="Symbol"/>
    </w:rPr>
  </w:style>
  <w:style w:type="character" w:styleId="ListLabel146">
    <w:name w:val="ListLabel 146"/>
    <w:qFormat/>
    <w:rPr>
      <w:rFonts w:cs="Courier New"/>
    </w:rPr>
  </w:style>
  <w:style w:type="character" w:styleId="ListLabel147">
    <w:name w:val="ListLabel 147"/>
    <w:qFormat/>
    <w:rPr>
      <w:rFonts w:cs="Wingdings"/>
    </w:rPr>
  </w:style>
  <w:style w:type="character" w:styleId="ListLabel148">
    <w:name w:val="ListLabel 148"/>
    <w:qFormat/>
    <w:rPr>
      <w:rFonts w:cs=""/>
    </w:rPr>
  </w:style>
  <w:style w:type="character" w:styleId="ListLabel149">
    <w:name w:val="ListLabel 149"/>
    <w:qFormat/>
    <w:rPr>
      <w:rFonts w:cs="Courier New"/>
    </w:rPr>
  </w:style>
  <w:style w:type="character" w:styleId="ListLabel150">
    <w:name w:val="ListLabel 150"/>
    <w:qFormat/>
    <w:rPr>
      <w:rFonts w:cs="Wingdings"/>
    </w:rPr>
  </w:style>
  <w:style w:type="character" w:styleId="ListLabel151">
    <w:name w:val="ListLabel 151"/>
    <w:qFormat/>
    <w:rPr>
      <w:rFonts w:cs="Symbol"/>
    </w:rPr>
  </w:style>
  <w:style w:type="character" w:styleId="ListLabel152">
    <w:name w:val="ListLabel 152"/>
    <w:qFormat/>
    <w:rPr>
      <w:rFonts w:cs="Courier New"/>
    </w:rPr>
  </w:style>
  <w:style w:type="character" w:styleId="ListLabel153">
    <w:name w:val="ListLabel 153"/>
    <w:qFormat/>
    <w:rPr>
      <w:rFonts w:cs="Wingdings"/>
    </w:rPr>
  </w:style>
  <w:style w:type="character" w:styleId="ListLabel154">
    <w:name w:val="ListLabel 154"/>
    <w:qFormat/>
    <w:rPr>
      <w:rFonts w:cs="Symbol"/>
    </w:rPr>
  </w:style>
  <w:style w:type="character" w:styleId="ListLabel155">
    <w:name w:val="ListLabel 155"/>
    <w:qFormat/>
    <w:rPr>
      <w:rFonts w:cs="Courier New"/>
    </w:rPr>
  </w:style>
  <w:style w:type="character" w:styleId="ListLabel156">
    <w:name w:val="ListLabel 156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Application>LibreOffice/5.0.6.3$Windows_x86 LibreOffice_project/490fc03b25318460cfc54456516ea2519c11d1aa</Application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2018-09-05T13:24:22Z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