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2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68"/>
        <w:gridCol w:w="6195"/>
        <w:gridCol w:w="2"/>
        <w:gridCol w:w="1611"/>
        <w:gridCol w:w="1"/>
        <w:gridCol w:w="1149"/>
      </w:tblGrid>
      <w:tr>
        <w:trPr/>
        <w:tc>
          <w:tcPr>
            <w:tcW w:w="10626" w:type="dxa"/>
            <w:gridSpan w:val="6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jc w:val="center"/>
              <w:rPr>
                <w:rFonts w:ascii="Times New Roman" w:hAnsi="Times New Roman" w:eastAsia="Times New Roman"/>
                <w:sz w:val="10"/>
                <w:szCs w:val="20"/>
                <w:lang w:eastAsia="zh-CN"/>
              </w:rPr>
            </w:pPr>
            <w:r>
              <w:rPr>
                <w:rFonts w:eastAsia="Times New Roman" w:ascii="Times New Roman" w:hAnsi="Times New Roman"/>
                <w:sz w:val="10"/>
                <w:szCs w:val="20"/>
                <w:lang w:eastAsia="zh-CN"/>
              </w:rPr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sz w:val="20"/>
                <w:szCs w:val="20"/>
                <w:lang w:eastAsia="zh-CN"/>
              </w:rPr>
            </w:pPr>
            <w:r>
              <w:drawing>
                <wp:anchor behindDoc="0" distT="0" distB="9525" distL="114300" distR="117475" simplePos="0" locked="0" layoutInCell="1" allowOverlap="1" relativeHeight="2">
                  <wp:simplePos x="0" y="0"/>
                  <wp:positionH relativeFrom="column">
                    <wp:posOffset>4361180</wp:posOffset>
                  </wp:positionH>
                  <wp:positionV relativeFrom="paragraph">
                    <wp:posOffset>92075</wp:posOffset>
                  </wp:positionV>
                  <wp:extent cx="930275" cy="542925"/>
                  <wp:effectExtent l="0" t="0" r="0" b="0"/>
                  <wp:wrapNone/>
                  <wp:docPr id="1" name="Imagem 9" descr="logo_pr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9" descr="logo_pr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7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 xml:space="preserve"> 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 xml:space="preserve">                                     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MINISTÉRIO DA EDUCAÇÃO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 xml:space="preserve">                      </w:t>
            </w:r>
            <w:r>
              <w:rPr>
                <w:rFonts w:eastAsia="Times New Roman" w:ascii="Times New Roman" w:hAnsi="Times New Roman"/>
                <w:b/>
                <w:lang w:eastAsia="zh-CN"/>
              </w:rPr>
              <w:t>UNIVERSIDADE FEDERAL DOS VALES DO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 xml:space="preserve">                                   </w:t>
            </w:r>
            <w:r>
              <w:rPr>
                <w:rFonts w:eastAsia="Times New Roman" w:ascii="Times New Roman" w:hAnsi="Times New Roman"/>
                <w:b/>
                <w:lang w:eastAsia="zh-CN"/>
              </w:rPr>
              <w:t>JEQUITINHONHA E MUCURI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sz w:val="10"/>
                <w:szCs w:val="10"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sz w:val="10"/>
                <w:szCs w:val="10"/>
                <w:lang w:eastAsia="zh-CN"/>
              </w:rPr>
            </w:r>
          </w:p>
          <w:p>
            <w:pPr>
              <w:pStyle w:val="Normal"/>
              <w:spacing w:before="0" w:after="0"/>
              <w:rPr/>
            </w:pPr>
            <w:r>
              <w:drawing>
                <wp:anchor behindDoc="1" distT="0" distB="3810" distL="114300" distR="114300" simplePos="0" locked="0" layoutInCell="1" allowOverlap="1" relativeHeight="3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-572770</wp:posOffset>
                  </wp:positionV>
                  <wp:extent cx="914400" cy="701040"/>
                  <wp:effectExtent l="0" t="0" r="0" b="0"/>
                  <wp:wrapTight wrapText="bothSides">
                    <wp:wrapPolygon edited="0">
                      <wp:start x="-98" y="0"/>
                      <wp:lineTo x="-98" y="21040"/>
                      <wp:lineTo x="21142" y="21040"/>
                      <wp:lineTo x="21142" y="0"/>
                      <wp:lineTo x="-98" y="0"/>
                    </wp:wrapPolygon>
                  </wp:wrapTight>
                  <wp:docPr id="2" name="Imagem 8" descr="logomarca ufvjm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8" descr="logomarca ufvjm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 xml:space="preserve">                       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PRÓ-REITORIA DE ADMINISTRAÇÃO</w:t>
            </w:r>
            <w:r>
              <w:rPr/>
              <w:t xml:space="preserve">  </w:t>
            </w:r>
          </w:p>
        </w:tc>
      </w:tr>
      <w:tr>
        <w:trPr/>
        <w:tc>
          <w:tcPr>
            <w:tcW w:w="7863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13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Lao UI" w:hAnsi="Lao UI" w:cs="Lao UI"/>
              </w:rPr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5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4"/>
                <w:szCs w:val="24"/>
              </w:rPr>
              <w:t xml:space="preserve">Nº </w:t>
            </w:r>
            <w:r>
              <w:rPr>
                <w:b/>
                <w:bCs/>
                <w:sz w:val="24"/>
                <w:szCs w:val="24"/>
              </w:rPr>
              <w:t>11.3.1</w:t>
            </w:r>
          </w:p>
        </w:tc>
      </w:tr>
      <w:tr>
        <w:trPr>
          <w:trHeight w:val="418" w:hRule="atLeast"/>
        </w:trPr>
        <w:tc>
          <w:tcPr>
            <w:tcW w:w="7863" w:type="dxa"/>
            <w:gridSpan w:val="2"/>
            <w:vMerge w:val="restart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Ministério da Educação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Universidade Federal dos Vales do Jequitinhonha e Mucuri – UFVJM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Pró-Reitoria de Administração – PROAd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 xml:space="preserve">Diretoria de Administração 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 xml:space="preserve">Divisão de Protocolo </w:t>
            </w:r>
          </w:p>
        </w:tc>
        <w:tc>
          <w:tcPr>
            <w:tcW w:w="1613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5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11.3.1</w:t>
            </w:r>
          </w:p>
        </w:tc>
      </w:tr>
      <w:tr>
        <w:trPr>
          <w:trHeight w:val="422" w:hRule="atLeast"/>
        </w:trPr>
        <w:tc>
          <w:tcPr>
            <w:tcW w:w="7863" w:type="dxa"/>
            <w:gridSpan w:val="2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13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5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cs="" w:cstheme="minorBidi"/>
                <w:color w:val="00000A"/>
                <w:sz w:val="16"/>
                <w:szCs w:val="16"/>
              </w:rPr>
              <w:t>05/09/2018</w:t>
            </w:r>
          </w:p>
        </w:tc>
      </w:tr>
      <w:tr>
        <w:trPr>
          <w:trHeight w:val="426" w:hRule="atLeast"/>
        </w:trPr>
        <w:tc>
          <w:tcPr>
            <w:tcW w:w="7863" w:type="dxa"/>
            <w:gridSpan w:val="2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13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5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3" w:type="dxa"/>
            <w:gridSpan w:val="2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13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5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Elaborador por</w:t>
            </w:r>
          </w:p>
        </w:tc>
        <w:tc>
          <w:tcPr>
            <w:tcW w:w="619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Cs/>
                <w:sz w:val="22"/>
                <w:szCs w:val="22"/>
              </w:rPr>
              <w:t>Sandra Aparecida Azevedo</w:t>
            </w:r>
          </w:p>
        </w:tc>
        <w:tc>
          <w:tcPr>
            <w:tcW w:w="1612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9" w:type="dxa"/>
            <w:tcBorders/>
            <w:shd w:fill="auto" w:val="clear"/>
            <w:tcMar>
              <w:left w:w="10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cs="" w:ascii="Calibri" w:hAnsi="Calibri" w:asciiTheme="minorHAnsi" w:cstheme="minorBidi" w:hAnsiTheme="minorHAnsi"/>
                <w:color w:val="00000A"/>
                <w:sz w:val="16"/>
                <w:szCs w:val="16"/>
              </w:rPr>
              <w:t>01/09/2016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Gestor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Cinthia Pereira Bernardino 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Título 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ENVIO E RECEBIMENTO DE CORRESPONDÊNCIAS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5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658"/>
      </w:tblGrid>
      <w:tr>
        <w:trPr/>
        <w:tc>
          <w:tcPr>
            <w:tcW w:w="106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cs="Calibri"/>
              </w:rPr>
              <w:t>O envio e recebimento de correspondências ocorrem através dos serviços de Correios.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cs="Calibri"/>
              </w:rPr>
              <w:t>CORRESPONDÊNCIA – Toda e qualquer forma de comunicação escrita, independentemente do suporte, expedida ou recebida por pessoas jurídicas ou físicas, inclusive aquela que se processa entre órgãos, entidades e servidores de uma instituição, à exceção dos processos. Quanto à natureza a correspondência classifica-se em: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cs="Calibri"/>
              </w:rPr>
              <w:t>a) interna e externa: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cs="Symbol" w:ascii="Symbol" w:hAnsi="Symbol"/>
              </w:rPr>
              <w:t></w:t>
            </w:r>
            <w:r>
              <w:rPr>
                <w:rFonts w:cs="Calibri"/>
              </w:rPr>
              <w:t>a Correspondência Interna (CI) é mantida entre as Unidades da UFVJM.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cs="Symbol" w:ascii="Symbol" w:hAnsi="Symbol"/>
              </w:rPr>
              <w:t></w:t>
            </w:r>
            <w:r>
              <w:rPr>
                <w:rFonts w:cs="Calibri"/>
              </w:rPr>
              <w:t>a correspondência externa é mantida entre a UFVJM e as entidades da Administração Pública Federal ou  empresas privadas.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cs="Calibri"/>
              </w:rPr>
              <w:t>b) oficial e particular: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cs="Symbol" w:ascii="Symbol" w:hAnsi="Symbol"/>
              </w:rPr>
              <w:t></w:t>
            </w:r>
            <w:r>
              <w:rPr>
                <w:rFonts w:cs="Calibri"/>
              </w:rPr>
              <w:t>a correspondência oficial é a espécie formal de comunicação mantida entre a UVFJM e os órgãos ou entidades da  Administração Pública Federal ou, ainda para outros órgãos públicos e empresas privadas.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cs="Symbol" w:ascii="Symbol" w:hAnsi="Symbol"/>
              </w:rPr>
              <w:t></w:t>
            </w:r>
            <w:r>
              <w:rPr>
                <w:rFonts w:cs="Calibri"/>
              </w:rPr>
              <w:t>a correspondência particular é a espécie informal de comunicação utilizada entre autoridades ou servidores e instituições ou pessoas estranhas a UFJM.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cs="Calibri"/>
              </w:rPr>
              <w:t>c) recebida e expedida: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cs="Symbol" w:ascii="Symbol" w:hAnsi="Symbol"/>
              </w:rPr>
              <w:t></w:t>
            </w:r>
            <w:r>
              <w:rPr>
                <w:rFonts w:cs="Calibri"/>
              </w:rPr>
              <w:t>a correspondência recebida é aquela de origem interna ou externa recebida pelo Protocolo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cs="Symbol" w:ascii="Symbol" w:hAnsi="Symbol"/>
              </w:rPr>
              <w:t></w:t>
            </w:r>
            <w:r>
              <w:rPr>
                <w:rFonts w:cs="Calibri"/>
              </w:rPr>
              <w:t>a expedição é a remessa da correspondência interna ou externa no âmbito da UFVJM.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Calibri"/>
                <w:iCs/>
              </w:rPr>
            </w:pPr>
            <w:r>
              <w:rPr>
                <w:rFonts w:cs="Calibri"/>
              </w:rPr>
              <w:t xml:space="preserve">MALOTE – é o serviço de envio de documentos entre os campi da UFVJM. </w:t>
            </w:r>
          </w:p>
          <w:p>
            <w:pPr>
              <w:pStyle w:val="ListParagraph"/>
              <w:spacing w:lineRule="auto" w:line="240" w:before="0" w:after="0"/>
              <w:contextualSpacing/>
              <w:jc w:val="both"/>
              <w:rPr>
                <w:rFonts w:cs="Calibri"/>
                <w:iCs/>
              </w:rPr>
            </w:pPr>
            <w:r>
              <w:rPr>
                <w:rFonts w:cs="Calibri"/>
                <w:iCs/>
              </w:rPr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Objetivos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cs="TimesNewRomanPSMT"/>
              </w:rPr>
            </w:pPr>
            <w:r>
              <w:rPr>
                <w:rFonts w:cs="TimesNewRomanPSMT"/>
              </w:rPr>
              <w:t>Tem como objetivo: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 xml:space="preserve"> </w:t>
            </w:r>
            <w:r>
              <w:rPr>
                <w:rFonts w:cs="TimesNewRomanPSMT"/>
              </w:rPr>
              <w:t>Receber a correspondência através de malotes, correio;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 xml:space="preserve"> </w:t>
            </w:r>
            <w:r>
              <w:rPr>
                <w:rFonts w:cs="TimesNewRomanPSMT"/>
              </w:rPr>
              <w:t>Separar, classificar, registrar, e distribuir as correspondências e demais documentos;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 xml:space="preserve"> </w:t>
            </w:r>
            <w:r>
              <w:rPr>
                <w:rFonts w:cs="TimesNewRomanPSMT"/>
              </w:rPr>
              <w:t>Receber, conferir e registrar as correspondências recebidas e expedidas pela instituição;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cs="TimesNewRomanPSMT"/>
              </w:rPr>
            </w:pPr>
            <w:r>
              <w:rPr>
                <w:rFonts w:cs="OpenSymbol"/>
              </w:rPr>
              <w:t xml:space="preserve"> </w:t>
            </w:r>
            <w:r>
              <w:rPr>
                <w:rFonts w:cs="TimesNewRomanPSMT"/>
              </w:rPr>
              <w:t>Coletar e entregar documentos, encomendas, volumes e outros, interna e externamente;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cs="TimesNewRomanPSMT"/>
              </w:rPr>
            </w:pPr>
            <w:r>
              <w:rPr>
                <w:rFonts w:cs="OpenSymbol"/>
              </w:rPr>
              <w:t xml:space="preserve"> </w:t>
            </w:r>
            <w:r>
              <w:rPr>
                <w:rFonts w:cs="TimesNewRomanPSMT"/>
              </w:rPr>
              <w:t>Controlar o fluxo documental entre as unidades/subunidades por meio do registro de entrada e saída de documentos;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/>
            </w:pPr>
            <w:r>
              <w:rPr>
                <w:rFonts w:cs="TimesNewRomanPSMT"/>
              </w:rPr>
              <w:t>Administrar despesas com postagens, bem como o controle de fluxo das correspondências enviadas diariamente ao correio das unidades da Instituição.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3.1- Administração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3.2- Servidores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3.3- Comunidade universitária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  <w:t>4.1- Correspondências em envelopes abertos para a devida identificação.</w:t>
            </w:r>
          </w:p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Cinthia Pereira Bernardino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/>
              <w:t xml:space="preserve"> </w:t>
            </w:r>
          </w:p>
          <w:tbl>
            <w:tblPr>
              <w:tblStyle w:val="Tabelacomgrade"/>
              <w:tblW w:w="10348" w:type="dxa"/>
              <w:jc w:val="left"/>
              <w:tblInd w:w="0" w:type="dxa"/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567"/>
              <w:gridCol w:w="6516"/>
              <w:gridCol w:w="1416"/>
              <w:gridCol w:w="1848"/>
            </w:tblGrid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Atividade/ Descrição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>
                <w:trHeight w:val="630" w:hRule="atLeast"/>
              </w:trPr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01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 xml:space="preserve">Solicitante providencia a correspondência a ser enviada. 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 xml:space="preserve">No caso dos Correios, as correspondências serão postadas nas seguintes modalidades: Carta simples, carta registrada, PAC ,  Sedex e através de Malotes.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 ser enviada pelo Correio, entregar até às 10:00 horas.</w:t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02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Ao receber a correspondência o Protocolo deverá observar se está assinado, se está acompanhado dos respectivos anexos, se correspondem ao declarado no instrumento principal.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03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>O preenchimento do envelope é de inteira responsabilidade do remetente, não devendo o Setor de Protocolo ser responsabilizado pelo mau preenchimento, bem como a decorrente falha na entrega.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04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r>
                    <w:rPr>
                      <w:rFonts w:cs="Calibri"/>
                      <w:color w:val="000000"/>
                    </w:rPr>
                    <w:t>Nenhuma correspondência poderá permanecer por mais de vinte e quatro horas no protocolo, salvo aquelas recebidas às sextas-feiras, véspera de feriados ou pontos facultativos;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05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/>
                  </w:pPr>
                  <w:r>
                    <w:rPr>
                      <w:rFonts w:cs="Calibri"/>
                      <w:color w:val="000000"/>
                    </w:rPr>
                    <w:t>Os processos que devam sair da UFJM serão relacionados e entregues diretamente nos órgãos ou entidades a que se destinem, ou enviados pelos Correios, mediante comprovação.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06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r>
                    <w:rPr>
                      <w:rFonts w:cs="Calibri"/>
                      <w:color w:val="000000"/>
                    </w:rPr>
                    <w:t xml:space="preserve">Nenhum documento dirigido à UFVJM ou às suas autoridades constituídas poderá ter andamento sem que tenha sido previamente registrado e protocolado em sistema próprio ;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70" w:hRule="atLeast"/>
              </w:trPr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07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r>
                    <w:rPr>
                      <w:rFonts w:cs="TimesNewRomanPSMT"/>
                    </w:rPr>
                    <w:t xml:space="preserve"> </w:t>
                  </w:r>
                  <w:r>
                    <w:rPr>
                      <w:rFonts w:cs="TimesNewRomanPSMT"/>
                    </w:rPr>
                    <w:t>Ao receber correspondência, o Protocolo deve verificar se o destinatário ou a unidade pertencem ou não à UFVJM; em caso negativo, devolverá a correspondência ao remetente, apondo o “CARIMBO DE DEVOLUÇÃO DE CORRESPONDÊNCIA”, que será usado pelos órgãos para comunicar ao serviço dos correios a não localização do interessado, identificando o motivo da devolução.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08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 xml:space="preserve">Registrar o recebimento de todas as correspondências: o protocolo remeterá a correspondência lacrada às unidades de registro e movimentação dos setores à qual pertença o destinatário, controlando por meio de sistema próprio.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09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  <w:t xml:space="preserve">Distribuir a correspondência às unidades destinatárias.  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/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r>
                    <w:rPr>
                      <w:rFonts w:cs="Arial"/>
                    </w:rPr>
                    <w:t>O protocolo manterá um controle de expedição de correspondência, a fim de informar os usuários, sua localização, em tempo real.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11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r>
                    <w:rPr/>
                    <w:t xml:space="preserve">O envio de documentação via malote ocorrerá com o registro de todo material a ser enviado às Unidades: 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uto" w:line="240" w:before="0" w:after="0"/>
                    <w:ind w:left="454" w:hanging="360"/>
                    <w:contextualSpacing/>
                    <w:jc w:val="both"/>
                    <w:rPr/>
                  </w:pPr>
                  <w:r>
                    <w:rPr/>
                    <w:t>Às terças e quintas-feiras, malotes para o Campi de Teófilo Otoni.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uto" w:line="240" w:before="0" w:after="0"/>
                    <w:ind w:left="454" w:hanging="360"/>
                    <w:contextualSpacing/>
                    <w:jc w:val="both"/>
                    <w:rPr/>
                  </w:pPr>
                  <w:r>
                    <w:rPr/>
                    <w:t xml:space="preserve">Às quartas-feiras, o envio será para os Campi de Janaúba e Unaí.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12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cs="TimesNewRomanPSMT"/>
                    </w:rPr>
                  </w:pPr>
                  <w:r>
                    <w:rPr>
                      <w:rFonts w:cs="TimesNewRomanPSMT"/>
                    </w:rPr>
                    <w:t xml:space="preserve">O protocolo recebe os malotes dos outros campi sem dia determinado para isso.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13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cs="TimesNewRomanPSMT"/>
                    </w:rPr>
                  </w:pPr>
                  <w:r>
                    <w:rPr>
                      <w:rFonts w:cs="TimesNewRomanPSMT"/>
                    </w:rPr>
                    <w:t>O protocolo manterá permanente registro de todas as correspondências enviadas e recebidas.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14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cs="TimesNewRomanPSMT"/>
                    </w:rPr>
                  </w:pPr>
                  <w:r>
                    <w:rPr>
                      <w:rFonts w:cs="TimesNewRomanPSMT"/>
                    </w:rPr>
                    <w:t xml:space="preserve">O responsável pelo recebimento de Correspondências do Setor de Protocolo confere junto com o funcionário dos Correios: discrimina o tipo de correspondência e protocola. </w:t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15</w:t>
                  </w:r>
                </w:p>
              </w:tc>
              <w:tc>
                <w:tcPr>
                  <w:tcW w:w="65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cs="TimesNewRomanPSMT"/>
                    </w:rPr>
                  </w:pPr>
                  <w:r>
                    <w:rPr>
                      <w:rFonts w:cs="TimesNewRomanPSMT"/>
                    </w:rPr>
                    <w:t xml:space="preserve">O destinatário (ou responsável) deverá assinar ao receber as correspondências. </w:t>
                  </w:r>
                </w:p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cs="TimesNewRomanPSMT"/>
                    </w:rPr>
                  </w:pPr>
                  <w:r>
                    <w:rPr>
                      <w:rFonts w:cs="TimesNewRomanPSMT"/>
                    </w:rPr>
                  </w:r>
                </w:p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cs="TimesNewRomanPSMT"/>
                    </w:rPr>
                  </w:pPr>
                  <w:r>
                    <w:rPr>
                      <w:rFonts w:cs="TimesNewRomanPSMT"/>
                    </w:rPr>
                  </w:r>
                </w:p>
              </w:tc>
              <w:tc>
                <w:tcPr>
                  <w:tcW w:w="1416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848" w:type="dxa"/>
                  <w:tcBorders/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Lista de contatos para realização da ação</w:t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2976"/>
              <w:gridCol w:w="992"/>
              <w:gridCol w:w="1701"/>
              <w:gridCol w:w="4132"/>
            </w:tblGrid>
            <w:tr>
              <w:trPr/>
              <w:tc>
                <w:tcPr>
                  <w:tcW w:w="2976" w:type="dxa"/>
                  <w:tcBorders/>
                  <w:shd w:fill="auto" w:val="clear"/>
                  <w:tcMar>
                    <w:left w:w="10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Nome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voip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telefone</w:t>
                  </w:r>
                </w:p>
              </w:tc>
              <w:tc>
                <w:tcPr>
                  <w:tcW w:w="4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297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Cinthia Pereira Bernardino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8059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(38) 3532-1271</w:t>
                  </w:r>
                </w:p>
              </w:tc>
              <w:tc>
                <w:tcPr>
                  <w:tcW w:w="4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hyperlink r:id="rId4">
                    <w:r>
                      <w:rPr>
                        <w:rStyle w:val="LinkdaInternet"/>
                        <w:u w:val="single"/>
                      </w:rPr>
                      <w:t>protocolo@ufvjm.edu.br</w:t>
                    </w:r>
                  </w:hyperlink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  <w:t xml:space="preserve">  </w:t>
            </w:r>
          </w:p>
        </w:tc>
      </w:tr>
      <w:tr>
        <w:trPr>
          <w:trHeight w:val="12634" w:hRule="atLeast"/>
        </w:trPr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Definições / Legenda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A.R. – Aviso de Recebimento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SEDEX - Serviço de encomenda expressa de documentos e mercadorias.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PAC – é um serviço de encomenda da linha econômica para o envio exclusivo de mercadoria.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bookmarkStart w:id="0" w:name="_GoBack"/>
            <w:bookmarkStart w:id="1" w:name="_GoBack"/>
            <w:bookmarkEnd w:id="1"/>
            <w:r>
              <w:rPr/>
            </w:r>
          </w:p>
        </w:tc>
      </w:tr>
      <w:tr>
        <w:trPr>
          <w:trHeight w:val="19389" w:hRule="atLeast"/>
        </w:trPr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drawing>
                <wp:anchor behindDoc="0" distT="0" distB="0" distL="114300" distR="118110" simplePos="0" locked="0" layoutInCell="1" allowOverlap="1" relativeHeight="4">
                  <wp:simplePos x="0" y="0"/>
                  <wp:positionH relativeFrom="margin">
                    <wp:posOffset>133985</wp:posOffset>
                  </wp:positionH>
                  <wp:positionV relativeFrom="margin">
                    <wp:posOffset>358775</wp:posOffset>
                  </wp:positionV>
                  <wp:extent cx="6130290" cy="8650605"/>
                  <wp:effectExtent l="0" t="0" r="0" b="0"/>
                  <wp:wrapSquare wrapText="bothSides"/>
                  <wp:docPr id="3" name="Imagem 2" descr="D:\SANDRA\POP\DIVISÃO DE PROTOCOLO\ENVIO E RECEBIMENTO DE CORRESPONDÊNCIA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m 2" descr="D:\SANDRA\POP\DIVISÃO DE PROTOCOLO\ENVIO E RECEBIMENTO DE CORRESPONDÊNCIA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0290" cy="8650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</w:rPr>
              <w:t>F</w:t>
            </w:r>
            <w:r>
              <w:rPr>
                <w:b/>
              </w:rPr>
              <w:t>luxograma do processo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944" w:type="dxa"/>
              <w:jc w:val="left"/>
              <w:tblInd w:w="137" w:type="dxa"/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418"/>
              <w:gridCol w:w="1133"/>
              <w:gridCol w:w="5245"/>
              <w:gridCol w:w="2147"/>
            </w:tblGrid>
            <w:tr>
              <w:trPr/>
              <w:tc>
                <w:tcPr>
                  <w:tcW w:w="1418" w:type="dxa"/>
                  <w:tcBorders/>
                  <w:shd w:fill="auto" w:val="clear"/>
                  <w:tcMar>
                    <w:left w:w="10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ind w:right="0" w:hanging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Atividade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1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2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52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xxxxxxxxxx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Pró-reitora</w:t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1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134"/>
              <w:gridCol w:w="992"/>
              <w:gridCol w:w="5528"/>
              <w:gridCol w:w="2147"/>
            </w:tblGrid>
            <w:tr>
              <w:trPr/>
              <w:tc>
                <w:tcPr>
                  <w:tcW w:w="1134" w:type="dxa"/>
                  <w:tcBorders/>
                  <w:shd w:fill="auto" w:val="clear"/>
                  <w:tcMar>
                    <w:left w:w="10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6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Lao UI">
    <w:charset w:val="00"/>
    <w:family w:val="roman"/>
    <w:pitch w:val="variable"/>
  </w:font>
  <w:font w:name="Symbol">
    <w:charset w:val="00"/>
    <w:family w:val="roman"/>
    <w:pitch w:val="variable"/>
  </w:font>
  <w:font w:name="Arial Narrow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1696161349"/>
    </w:sdtPr>
    <w:sdtContent>
      <w:p>
        <w:pPr>
          <w:pStyle w:val="Rodap"/>
          <w:jc w:val="right"/>
          <w:rPr>
            <w:color w:val="76923C" w:themeColor="accent3" w:themeShade="bf"/>
          </w:rPr>
        </w:pPr>
        <w:r>
          <w:rPr>
            <w:color w:val="76923C" w:themeColor="accent3" w:themeShade="bf"/>
          </w:rPr>
          <w:t>_______________________________________________________________________________________________</w:t>
        </w:r>
      </w:p>
      <w:p>
        <w:pPr>
          <w:pStyle w:val="Rodap"/>
          <w:jc w:val="right"/>
          <w:rPr/>
        </w:pPr>
        <w:r>
          <w:rPr/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instrText> PAGE </w:instrText>
        </w:r>
        <w:r>
          <w:fldChar w:fldCharType="separate"/>
        </w:r>
        <w:r>
          <w:t>6</w:t>
        </w:r>
        <w:r>
          <w:fldChar w:fldCharType="end"/>
        </w:r>
        <w:r>
          <w:rPr/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instrText> NUMPAGES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>
    <w:pPr>
      <w:pStyle w:val="Standard"/>
      <w:ind w:left="0" w:right="0" w:hanging="0"/>
      <w:jc w:val="center"/>
      <w:rPr>
        <w:rFonts w:ascii="Arial Narrow" w:hAnsi="Arial Narrow" w:cs="Arial Narrow"/>
        <w:sz w:val="14"/>
        <w:szCs w:val="14"/>
      </w:rPr>
    </w:pPr>
    <w:r>
      <w:rPr>
        <w:rFonts w:cs="Arial Narrow" w:ascii="Arial Narrow" w:hAnsi="Arial Narrow"/>
        <w:sz w:val="14"/>
        <w:szCs w:val="14"/>
      </w:rPr>
      <w:t>PROAD/UFVJM:  Rodovia MGT 367- km 583, nº 5000 – Alto da Jacuba / CEP: 39100-000  Diamantina-MG-Brasil / PABX: (38) 3532-1256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63da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32ef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32ef1"/>
    <w:rPr/>
  </w:style>
  <w:style w:type="character" w:styleId="WW8Num1ztrue" w:customStyle="1">
    <w:name w:val="WW8Num1ztrue"/>
    <w:qFormat/>
    <w:rsid w:val="00172fbc"/>
    <w:rPr/>
  </w:style>
  <w:style w:type="character" w:styleId="LinkdaInternet">
    <w:name w:val="Link da Internet"/>
    <w:basedOn w:val="DefaultParagraphFont"/>
    <w:uiPriority w:val="99"/>
    <w:unhideWhenUsed/>
    <w:rsid w:val="00160f39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e6713c"/>
    <w:rPr/>
  </w:style>
  <w:style w:type="character" w:styleId="Nfase">
    <w:name w:val="Ênfase"/>
    <w:basedOn w:val="DefaultParagraphFont"/>
    <w:uiPriority w:val="20"/>
    <w:qFormat/>
    <w:rsid w:val="00e6713c"/>
    <w:rPr>
      <w:i/>
      <w:i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Arial"/>
      <w:color w:val="000000"/>
      <w:sz w:val="21"/>
    </w:rPr>
  </w:style>
  <w:style w:type="character" w:styleId="ListLabel5">
    <w:name w:val="ListLabel 5"/>
    <w:qFormat/>
    <w:rPr>
      <w:rFonts w:eastAsia="Calibri" w:cs="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Calibri" w:cs="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eastAsia="Calibri" w:cs="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eastAsia="Times New Roman" w:cs="Times New Roman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b/>
    </w:rPr>
  </w:style>
  <w:style w:type="character" w:styleId="ListLabel22">
    <w:name w:val="ListLabel 22"/>
    <w:qFormat/>
    <w:rPr>
      <w:rFonts w:eastAsia="Calibri" w:cs="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a263da"/>
    <w:pPr>
      <w:widowControl/>
      <w:bidi w:val="0"/>
      <w:spacing w:lineRule="auto" w:line="240" w:before="0" w:after="0"/>
      <w:jc w:val="left"/>
    </w:pPr>
    <w:rPr>
      <w:rFonts w:ascii="Verdana" w:hAnsi="Verdana" w:cs="Verdana" w:eastAsia="Calibri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63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753"/>
    <w:pPr>
      <w:spacing w:before="0" w:after="200"/>
      <w:ind w:left="720" w:hanging="0"/>
      <w:contextualSpacing/>
    </w:pPr>
    <w:rPr/>
  </w:style>
  <w:style w:type="paragraph" w:styleId="Cabealho">
    <w:name w:val="Cabeçalho"/>
    <w:basedOn w:val="Normal"/>
    <w:link w:val="Cabealho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1" w:customStyle="1">
    <w:name w:val="Normal1"/>
    <w:qFormat/>
    <w:rsid w:val="00172fb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eastAsia="zh-CN" w:val="pt-BR" w:bidi="ar-SA"/>
    </w:rPr>
  </w:style>
  <w:style w:type="paragraph" w:styleId="Standard" w:customStyle="1">
    <w:name w:val="Standard"/>
    <w:qFormat/>
    <w:rsid w:val="006b7a6e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auto"/>
      <w:sz w:val="24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263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mentoClaro">
    <w:name w:val="Light Shading"/>
    <w:basedOn w:val="Tabelanormal"/>
    <w:uiPriority w:val="60"/>
    <w:rsid w:val="003a105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yperlink" Target="mailto:protocolo@ufvjm.edu.br" TargetMode="External"/><Relationship Id="rId5" Type="http://schemas.openxmlformats.org/officeDocument/2006/relationships/image" Target="media/image3.png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Application>LibreOffice/5.0.6.3$Windows_x86 LibreOffice_project/490fc03b25318460cfc54456516ea2519c11d1aa</Application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2016-08-30T17:07:00Z</dcterms:created>
  <dc:creator>usuario</dc:creator>
  <dc:language>pt-BR</dc:language>
  <cp:lastPrinted>2016-09-02T17:05:00Z</cp:lastPrinted>
  <dcterms:modified xsi:type="dcterms:W3CDTF">2018-09-05T13:28:06Z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