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3.png" ContentType="image/png"/>
  <Override PartName="/word/media/image1.jpeg" ContentType="image/jpeg"/>
  <Override PartName="/word/media/image2.jpeg" ContentType="image/jpeg"/>
  <Override PartName="/word/media/image4.png" ContentType="image/png"/>
  <Override PartName="/word/media/image5.png" ContentType="image/png"/>
  <Override PartName="/word/media/image6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Style w:val="Tabelacomgrade"/>
        <w:tblW w:w="10627" w:type="dxa"/>
        <w:jc w:val="left"/>
        <w:tblInd w:w="-5" w:type="dxa"/>
        <w:tblCellMar>
          <w:top w:w="0" w:type="dxa"/>
          <w:left w:w="10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668"/>
        <w:gridCol w:w="6194"/>
        <w:gridCol w:w="4"/>
        <w:gridCol w:w="1610"/>
        <w:gridCol w:w="2"/>
        <w:gridCol w:w="1148"/>
      </w:tblGrid>
      <w:tr>
        <w:trPr/>
        <w:tc>
          <w:tcPr>
            <w:tcW w:w="10626" w:type="dxa"/>
            <w:gridSpan w:val="6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tabs>
                <w:tab w:val="center" w:pos="4419" w:leader="none"/>
                <w:tab w:val="right" w:pos="8838" w:leader="none"/>
              </w:tabs>
              <w:suppressAutoHyphens w:val="true"/>
              <w:spacing w:lineRule="atLeast" w:line="100" w:before="0" w:after="0"/>
              <w:ind w:left="0" w:right="0" w:hanging="0"/>
              <w:jc w:val="center"/>
              <w:rPr>
                <w:rFonts w:ascii="Times New Roman" w:hAnsi="Times New Roman" w:eastAsia="Times New Roman"/>
                <w:sz w:val="10"/>
                <w:szCs w:val="20"/>
                <w:lang w:eastAsia="zh-CN"/>
              </w:rPr>
            </w:pPr>
            <w:r>
              <w:rPr>
                <w:rFonts w:eastAsia="Times New Roman" w:ascii="Times New Roman" w:hAnsi="Times New Roman"/>
                <w:sz w:val="10"/>
                <w:szCs w:val="20"/>
                <w:lang w:eastAsia="zh-CN"/>
              </w:rPr>
            </w:r>
          </w:p>
          <w:p>
            <w:pPr>
              <w:pStyle w:val="Normal"/>
              <w:tabs>
                <w:tab w:val="center" w:pos="4419" w:leader="none"/>
                <w:tab w:val="right" w:pos="8838" w:leader="none"/>
              </w:tabs>
              <w:suppressAutoHyphens w:val="true"/>
              <w:spacing w:lineRule="atLeast" w:line="100" w:before="0" w:after="0"/>
              <w:ind w:left="0" w:right="0" w:hanging="0"/>
              <w:rPr>
                <w:rFonts w:ascii="Times New Roman" w:hAnsi="Times New Roman" w:eastAsia="Times New Roman"/>
                <w:b/>
                <w:b/>
                <w:sz w:val="20"/>
                <w:szCs w:val="20"/>
                <w:lang w:eastAsia="zh-CN"/>
              </w:rPr>
            </w:pPr>
            <w:r>
              <w:drawing>
                <wp:anchor behindDoc="0" distT="0" distB="9525" distL="114300" distR="117475" simplePos="0" locked="0" layoutInCell="1" allowOverlap="1" relativeHeight="2">
                  <wp:simplePos x="0" y="0"/>
                  <wp:positionH relativeFrom="column">
                    <wp:posOffset>4361180</wp:posOffset>
                  </wp:positionH>
                  <wp:positionV relativeFrom="paragraph">
                    <wp:posOffset>92075</wp:posOffset>
                  </wp:positionV>
                  <wp:extent cx="930275" cy="542925"/>
                  <wp:effectExtent l="0" t="0" r="0" b="0"/>
                  <wp:wrapNone/>
                  <wp:docPr id="1" name="Imagem 9" descr="logo_pro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9" descr="logo_pro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275" cy="542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eastAsia="Times New Roman" w:ascii="Times New Roman" w:hAnsi="Times New Roman"/>
                <w:b/>
                <w:sz w:val="20"/>
                <w:szCs w:val="20"/>
                <w:lang w:eastAsia="zh-CN"/>
              </w:rPr>
              <w:t xml:space="preserve"> </w:t>
            </w:r>
            <w:r>
              <w:rPr>
                <w:rFonts w:eastAsia="Times New Roman" w:ascii="Times New Roman" w:hAnsi="Times New Roman"/>
                <w:b/>
                <w:sz w:val="20"/>
                <w:szCs w:val="20"/>
                <w:lang w:eastAsia="zh-CN"/>
              </w:rPr>
              <w:t xml:space="preserve">                                     </w:t>
            </w:r>
            <w:r>
              <w:rPr>
                <w:rFonts w:eastAsia="Times New Roman" w:ascii="Times New Roman" w:hAnsi="Times New Roman"/>
                <w:b/>
                <w:sz w:val="20"/>
                <w:szCs w:val="20"/>
                <w:lang w:eastAsia="zh-CN"/>
              </w:rPr>
              <w:t>MINISTÉRIO DA EDUCAÇÃO</w:t>
            </w:r>
          </w:p>
          <w:p>
            <w:pPr>
              <w:pStyle w:val="Normal"/>
              <w:tabs>
                <w:tab w:val="center" w:pos="4419" w:leader="none"/>
                <w:tab w:val="right" w:pos="8838" w:leader="none"/>
              </w:tabs>
              <w:suppressAutoHyphens w:val="true"/>
              <w:spacing w:lineRule="atLeast" w:line="100" w:before="0" w:after="0"/>
              <w:ind w:left="0" w:right="0" w:hanging="0"/>
              <w:rPr>
                <w:rFonts w:ascii="Times New Roman" w:hAnsi="Times New Roman" w:eastAsia="Times New Roman"/>
                <w:b/>
                <w:b/>
                <w:lang w:eastAsia="zh-CN"/>
              </w:rPr>
            </w:pPr>
            <w:r>
              <w:rPr>
                <w:rFonts w:eastAsia="Times New Roman" w:ascii="Times New Roman" w:hAnsi="Times New Roman"/>
                <w:b/>
                <w:lang w:eastAsia="zh-CN"/>
              </w:rPr>
              <w:t xml:space="preserve">                      </w:t>
            </w:r>
            <w:r>
              <w:rPr>
                <w:rFonts w:eastAsia="Times New Roman" w:ascii="Times New Roman" w:hAnsi="Times New Roman"/>
                <w:b/>
                <w:lang w:eastAsia="zh-CN"/>
              </w:rPr>
              <w:t>UNIVERSIDADE FEDERAL DOS VALES DO</w:t>
            </w:r>
          </w:p>
          <w:p>
            <w:pPr>
              <w:pStyle w:val="Normal"/>
              <w:tabs>
                <w:tab w:val="center" w:pos="4419" w:leader="none"/>
                <w:tab w:val="right" w:pos="8838" w:leader="none"/>
              </w:tabs>
              <w:suppressAutoHyphens w:val="true"/>
              <w:spacing w:lineRule="atLeast" w:line="100" w:before="0" w:after="0"/>
              <w:ind w:left="0" w:right="0" w:hanging="0"/>
              <w:rPr>
                <w:rFonts w:ascii="Times New Roman" w:hAnsi="Times New Roman" w:eastAsia="Times New Roman"/>
                <w:b/>
                <w:b/>
                <w:lang w:eastAsia="zh-CN"/>
              </w:rPr>
            </w:pPr>
            <w:r>
              <w:rPr>
                <w:rFonts w:eastAsia="Times New Roman" w:ascii="Times New Roman" w:hAnsi="Times New Roman"/>
                <w:b/>
                <w:lang w:eastAsia="zh-CN"/>
              </w:rPr>
              <w:t xml:space="preserve">                                   </w:t>
            </w:r>
            <w:r>
              <w:rPr>
                <w:rFonts w:eastAsia="Times New Roman" w:ascii="Times New Roman" w:hAnsi="Times New Roman"/>
                <w:b/>
                <w:lang w:eastAsia="zh-CN"/>
              </w:rPr>
              <w:t>JEQUITINHONHA E MUCURI</w:t>
            </w:r>
          </w:p>
          <w:p>
            <w:pPr>
              <w:pStyle w:val="Normal"/>
              <w:tabs>
                <w:tab w:val="center" w:pos="4419" w:leader="none"/>
                <w:tab w:val="right" w:pos="8838" w:leader="none"/>
              </w:tabs>
              <w:suppressAutoHyphens w:val="true"/>
              <w:spacing w:lineRule="atLeast" w:line="100" w:before="0" w:after="0"/>
              <w:ind w:left="0" w:right="0" w:hanging="0"/>
              <w:rPr>
                <w:rFonts w:ascii="Times New Roman" w:hAnsi="Times New Roman" w:eastAsia="Times New Roman"/>
                <w:b/>
                <w:b/>
                <w:sz w:val="10"/>
                <w:szCs w:val="10"/>
                <w:lang w:eastAsia="zh-CN"/>
              </w:rPr>
            </w:pPr>
            <w:r>
              <w:rPr>
                <w:rFonts w:eastAsia="Times New Roman" w:ascii="Times New Roman" w:hAnsi="Times New Roman"/>
                <w:b/>
                <w:sz w:val="10"/>
                <w:szCs w:val="10"/>
                <w:lang w:eastAsia="zh-CN"/>
              </w:rPr>
            </w:r>
          </w:p>
          <w:p>
            <w:pPr>
              <w:pStyle w:val="Normal"/>
              <w:spacing w:before="0" w:after="0"/>
              <w:rPr/>
            </w:pPr>
            <w:r>
              <w:drawing>
                <wp:anchor behindDoc="1" distT="0" distB="3810" distL="114300" distR="114300" simplePos="0" locked="0" layoutInCell="1" allowOverlap="1" relativeHeight="3">
                  <wp:simplePos x="0" y="0"/>
                  <wp:positionH relativeFrom="column">
                    <wp:posOffset>96520</wp:posOffset>
                  </wp:positionH>
                  <wp:positionV relativeFrom="paragraph">
                    <wp:posOffset>-572770</wp:posOffset>
                  </wp:positionV>
                  <wp:extent cx="914400" cy="701040"/>
                  <wp:effectExtent l="0" t="0" r="0" b="0"/>
                  <wp:wrapTight wrapText="bothSides">
                    <wp:wrapPolygon edited="0">
                      <wp:start x="-195" y="0"/>
                      <wp:lineTo x="-195" y="20948"/>
                      <wp:lineTo x="21134" y="20948"/>
                      <wp:lineTo x="21134" y="0"/>
                      <wp:lineTo x="-195" y="0"/>
                    </wp:wrapPolygon>
                  </wp:wrapTight>
                  <wp:docPr id="2" name="Imagem 8" descr="logomarca ufvjm 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m 8" descr="logomarca ufvjm 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701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eastAsia="Times New Roman" w:ascii="Times New Roman" w:hAnsi="Times New Roman"/>
                <w:sz w:val="24"/>
                <w:szCs w:val="24"/>
                <w:lang w:eastAsia="pt-BR"/>
              </w:rPr>
              <w:t xml:space="preserve"> </w:t>
            </w:r>
            <w:r>
              <w:rPr>
                <w:rFonts w:eastAsia="Times New Roman" w:ascii="Times New Roman" w:hAnsi="Times New Roman"/>
                <w:sz w:val="24"/>
                <w:szCs w:val="24"/>
                <w:lang w:eastAsia="pt-BR"/>
              </w:rPr>
              <w:t xml:space="preserve">                        </w:t>
            </w:r>
            <w:r>
              <w:rPr>
                <w:rFonts w:eastAsia="Times New Roman" w:ascii="Times New Roman" w:hAnsi="Times New Roman"/>
                <w:sz w:val="24"/>
                <w:szCs w:val="24"/>
                <w:lang w:eastAsia="pt-BR"/>
              </w:rPr>
              <w:t>PRÓ-REITORIA DE ADMINISTRAÇÃO</w:t>
            </w:r>
            <w:r>
              <w:rPr/>
              <w:t xml:space="preserve">  </w:t>
            </w:r>
          </w:p>
        </w:tc>
      </w:tr>
      <w:tr>
        <w:trPr/>
        <w:tc>
          <w:tcPr>
            <w:tcW w:w="7862" w:type="dxa"/>
            <w:gridSpan w:val="2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PROCEDIMENTO OPERACIONAL PADRÃO</w:t>
            </w:r>
          </w:p>
        </w:tc>
        <w:tc>
          <w:tcPr>
            <w:tcW w:w="1614" w:type="dxa"/>
            <w:gridSpan w:val="2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Lao UI" w:hAnsi="Lao UI" w:cs="Lao UI"/>
              </w:rPr>
            </w:pPr>
            <w:r>
              <w:rPr>
                <w:rFonts w:cs="Lao UI" w:ascii="Lao UI" w:hAnsi="Lao UI"/>
                <w:b/>
                <w:sz w:val="36"/>
                <w:szCs w:val="36"/>
              </w:rPr>
              <w:t>POP</w:t>
            </w:r>
          </w:p>
        </w:tc>
        <w:tc>
          <w:tcPr>
            <w:tcW w:w="1150" w:type="dxa"/>
            <w:gridSpan w:val="2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b/>
                <w:bCs/>
                <w:sz w:val="24"/>
                <w:szCs w:val="24"/>
              </w:rPr>
              <w:t>Nº 1</w:t>
            </w:r>
            <w:r>
              <w:rPr>
                <w:b/>
                <w:bCs/>
                <w:sz w:val="24"/>
                <w:szCs w:val="24"/>
              </w:rPr>
              <w:t>2</w:t>
            </w:r>
            <w:r>
              <w:rPr>
                <w:b/>
                <w:bCs/>
                <w:sz w:val="24"/>
                <w:szCs w:val="24"/>
              </w:rPr>
              <w:t>.3.1</w:t>
            </w:r>
          </w:p>
        </w:tc>
      </w:tr>
      <w:tr>
        <w:trPr>
          <w:trHeight w:val="418" w:hRule="atLeast"/>
        </w:trPr>
        <w:tc>
          <w:tcPr>
            <w:tcW w:w="7862" w:type="dxa"/>
            <w:gridSpan w:val="2"/>
            <w:vMerge w:val="restart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Default"/>
              <w:spacing w:lineRule="auto" w:line="240" w:before="0" w:after="0"/>
              <w:rPr>
                <w:rFonts w:ascii="Calibri" w:hAnsi="Calibri" w:asciiTheme="minorHAnsi" w:hAnsiTheme="minorHAnsi"/>
                <w:b/>
                <w:b/>
              </w:rPr>
            </w:pPr>
            <w:r>
              <w:rPr>
                <w:rFonts w:ascii="Calibri" w:hAnsi="Calibri" w:asciiTheme="minorHAnsi" w:hAnsiTheme="minorHAnsi"/>
                <w:b/>
              </w:rPr>
              <w:t>Ministério da Educação</w:t>
            </w:r>
          </w:p>
          <w:p>
            <w:pPr>
              <w:pStyle w:val="Default"/>
              <w:spacing w:lineRule="auto" w:line="240" w:before="0" w:after="0"/>
              <w:rPr>
                <w:rFonts w:ascii="Calibri" w:hAnsi="Calibri" w:asciiTheme="minorHAnsi" w:hAnsiTheme="minorHAnsi"/>
                <w:b/>
                <w:b/>
              </w:rPr>
            </w:pPr>
            <w:r>
              <w:rPr>
                <w:rFonts w:ascii="Calibri" w:hAnsi="Calibri" w:asciiTheme="minorHAnsi" w:hAnsiTheme="minorHAnsi"/>
                <w:b/>
              </w:rPr>
              <w:t>Universidade Federal dos Vales do Jequitinhonha e Mucuri – UFVJM</w:t>
            </w:r>
          </w:p>
          <w:p>
            <w:pPr>
              <w:pStyle w:val="Default"/>
              <w:spacing w:lineRule="auto" w:line="240" w:before="0" w:after="0"/>
              <w:rPr>
                <w:rFonts w:ascii="Calibri" w:hAnsi="Calibri" w:asciiTheme="minorHAnsi" w:hAnsiTheme="minorHAnsi"/>
                <w:b/>
                <w:b/>
              </w:rPr>
            </w:pPr>
            <w:r>
              <w:rPr>
                <w:rFonts w:ascii="Calibri" w:hAnsi="Calibri" w:asciiTheme="minorHAnsi" w:hAnsiTheme="minorHAnsi"/>
                <w:b/>
              </w:rPr>
              <w:t>Pró-Reitoria de Administração – PROAd</w:t>
            </w:r>
          </w:p>
          <w:p>
            <w:pPr>
              <w:pStyle w:val="Default"/>
              <w:spacing w:lineRule="auto" w:line="240" w:before="0" w:after="0"/>
              <w:rPr>
                <w:rFonts w:ascii="Calibri" w:hAnsi="Calibri" w:asciiTheme="minorHAnsi" w:hAnsiTheme="minorHAnsi"/>
                <w:b/>
                <w:b/>
              </w:rPr>
            </w:pPr>
            <w:r>
              <w:rPr>
                <w:rFonts w:ascii="Calibri" w:hAnsi="Calibri" w:asciiTheme="minorHAnsi" w:hAnsiTheme="minorHAnsi"/>
                <w:b/>
              </w:rPr>
              <w:t xml:space="preserve">Diretoria de Administração </w:t>
            </w:r>
          </w:p>
          <w:p>
            <w:pPr>
              <w:pStyle w:val="Default"/>
              <w:spacing w:lineRule="auto" w:line="240" w:before="0" w:after="0"/>
              <w:rPr>
                <w:rFonts w:ascii="Calibri" w:hAnsi="Calibri" w:asciiTheme="minorHAnsi" w:hAnsiTheme="minorHAnsi"/>
                <w:b/>
                <w:b/>
              </w:rPr>
            </w:pPr>
            <w:r>
              <w:rPr>
                <w:rFonts w:ascii="Calibri" w:hAnsi="Calibri" w:asciiTheme="minorHAnsi" w:hAnsiTheme="minorHAnsi"/>
                <w:b/>
              </w:rPr>
              <w:t xml:space="preserve">Divisão de Protocolo </w:t>
            </w:r>
          </w:p>
        </w:tc>
        <w:tc>
          <w:tcPr>
            <w:tcW w:w="1614" w:type="dxa"/>
            <w:gridSpan w:val="2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sz w:val="16"/>
                <w:szCs w:val="16"/>
              </w:rPr>
              <w:t>Versão Nº</w:t>
            </w:r>
          </w:p>
        </w:tc>
        <w:tc>
          <w:tcPr>
            <w:tcW w:w="1150" w:type="dxa"/>
            <w:gridSpan w:val="2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</w:t>
            </w:r>
            <w:r>
              <w:rPr/>
              <w:t>2</w:t>
            </w:r>
            <w:r>
              <w:rPr/>
              <w:t>.3.1</w:t>
            </w:r>
          </w:p>
        </w:tc>
      </w:tr>
      <w:tr>
        <w:trPr>
          <w:trHeight w:val="422" w:hRule="atLeast"/>
        </w:trPr>
        <w:tc>
          <w:tcPr>
            <w:tcW w:w="7862" w:type="dxa"/>
            <w:gridSpan w:val="2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614" w:type="dxa"/>
            <w:gridSpan w:val="2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sz w:val="16"/>
                <w:szCs w:val="16"/>
              </w:rPr>
              <w:t>Data de Aprovação</w:t>
            </w:r>
          </w:p>
        </w:tc>
        <w:tc>
          <w:tcPr>
            <w:tcW w:w="1150" w:type="dxa"/>
            <w:gridSpan w:val="2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" w:hAnsi="Calibri" w:cs="" w:asciiTheme="minorHAnsi" w:cstheme="minorBidi" w:hAnsiTheme="minorHAnsi"/>
                <w:color w:val="00000A"/>
                <w:sz w:val="16"/>
                <w:szCs w:val="16"/>
              </w:rPr>
            </w:pPr>
            <w:r>
              <w:rPr>
                <w:rFonts w:cs="" w:cstheme="minorBidi"/>
                <w:color w:val="00000A"/>
                <w:sz w:val="16"/>
                <w:szCs w:val="16"/>
              </w:rPr>
              <w:t>05/09/2018</w:t>
            </w:r>
          </w:p>
        </w:tc>
      </w:tr>
      <w:tr>
        <w:trPr>
          <w:trHeight w:val="426" w:hRule="atLeast"/>
        </w:trPr>
        <w:tc>
          <w:tcPr>
            <w:tcW w:w="7862" w:type="dxa"/>
            <w:gridSpan w:val="2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614" w:type="dxa"/>
            <w:gridSpan w:val="2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sz w:val="16"/>
                <w:szCs w:val="16"/>
              </w:rPr>
              <w:t>Data de Publicação</w:t>
            </w:r>
          </w:p>
        </w:tc>
        <w:tc>
          <w:tcPr>
            <w:tcW w:w="1150" w:type="dxa"/>
            <w:gridSpan w:val="2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>
          <w:trHeight w:val="409" w:hRule="atLeast"/>
        </w:trPr>
        <w:tc>
          <w:tcPr>
            <w:tcW w:w="7862" w:type="dxa"/>
            <w:gridSpan w:val="2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614" w:type="dxa"/>
            <w:gridSpan w:val="2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sz w:val="16"/>
                <w:szCs w:val="16"/>
              </w:rPr>
              <w:t>Data da última revisão</w:t>
            </w:r>
          </w:p>
        </w:tc>
        <w:tc>
          <w:tcPr>
            <w:tcW w:w="1150" w:type="dxa"/>
            <w:gridSpan w:val="2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1668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Elaborador por</w:t>
            </w:r>
          </w:p>
        </w:tc>
        <w:tc>
          <w:tcPr>
            <w:tcW w:w="6198" w:type="dxa"/>
            <w:gridSpan w:val="2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rPr>
                <w:rFonts w:ascii="Calibri" w:hAnsi="Calibri" w:asciiTheme="minorHAnsi" w:hAnsiTheme="minorHAnsi"/>
                <w:bCs/>
                <w:sz w:val="22"/>
                <w:szCs w:val="22"/>
              </w:rPr>
            </w:pPr>
            <w:r>
              <w:rPr>
                <w:rFonts w:ascii="Calibri" w:hAnsi="Calibri" w:asciiTheme="minorHAnsi" w:hAnsiTheme="minorHAnsi"/>
                <w:bCs/>
                <w:sz w:val="22"/>
                <w:szCs w:val="22"/>
              </w:rPr>
              <w:t>Sandra Aparecida Azevedo</w:t>
            </w:r>
          </w:p>
        </w:tc>
        <w:tc>
          <w:tcPr>
            <w:tcW w:w="1612" w:type="dxa"/>
            <w:gridSpan w:val="2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Data da elaboração</w:t>
            </w:r>
          </w:p>
        </w:tc>
        <w:tc>
          <w:tcPr>
            <w:tcW w:w="1148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rPr>
                <w:rFonts w:ascii="Calibri" w:hAnsi="Calibri" w:cs="" w:asciiTheme="minorHAnsi" w:cstheme="minorBidi" w:hAnsiTheme="minorHAnsi"/>
                <w:color w:val="00000A"/>
                <w:sz w:val="16"/>
                <w:szCs w:val="16"/>
              </w:rPr>
            </w:pPr>
            <w:r>
              <w:rPr>
                <w:rFonts w:cs="" w:ascii="Calibri" w:hAnsi="Calibri" w:asciiTheme="minorHAnsi" w:cstheme="minorBidi" w:hAnsiTheme="minorHAnsi"/>
                <w:color w:val="00000A"/>
                <w:sz w:val="16"/>
                <w:szCs w:val="16"/>
              </w:rPr>
              <w:t>01/09/2016</w:t>
            </w:r>
          </w:p>
        </w:tc>
      </w:tr>
      <w:tr>
        <w:trPr/>
        <w:tc>
          <w:tcPr>
            <w:tcW w:w="1668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Gestor</w:t>
            </w:r>
          </w:p>
        </w:tc>
        <w:tc>
          <w:tcPr>
            <w:tcW w:w="8958" w:type="dxa"/>
            <w:gridSpan w:val="5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rPr>
                <w:rFonts w:ascii="Calibri" w:hAnsi="Calibri" w:asciiTheme="minorHAnsi" w:hAnsiTheme="minorHAnsi"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Cinthia Pereira Bernardino </w:t>
            </w:r>
          </w:p>
        </w:tc>
      </w:tr>
      <w:tr>
        <w:trPr/>
        <w:tc>
          <w:tcPr>
            <w:tcW w:w="1668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 xml:space="preserve">Título </w:t>
            </w:r>
          </w:p>
        </w:tc>
        <w:tc>
          <w:tcPr>
            <w:tcW w:w="8958" w:type="dxa"/>
            <w:gridSpan w:val="5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rPr>
                <w:rFonts w:ascii="Calibri" w:hAnsi="Calibri" w:asciiTheme="minorHAnsi" w:hAnsiTheme="minorHAnsi"/>
                <w:b/>
                <w:b/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FICHAMENTO DE PROCESSOS</w:t>
            </w:r>
          </w:p>
        </w:tc>
      </w:tr>
    </w:tbl>
    <w:p>
      <w:pPr>
        <w:pStyle w:val="Normal"/>
        <w:rPr>
          <w:sz w:val="2"/>
          <w:szCs w:val="2"/>
        </w:rPr>
      </w:pPr>
      <w:r>
        <w:rPr>
          <w:sz w:val="2"/>
          <w:szCs w:val="2"/>
        </w:rPr>
      </w:r>
    </w:p>
    <w:tbl>
      <w:tblPr>
        <w:tblStyle w:val="Tabelacomgrade"/>
        <w:tblW w:w="10658" w:type="dxa"/>
        <w:jc w:val="left"/>
        <w:tblInd w:w="-5" w:type="dxa"/>
        <w:tblCellMar>
          <w:top w:w="0" w:type="dxa"/>
          <w:left w:w="10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658"/>
      </w:tblGrid>
      <w:tr>
        <w:trPr/>
        <w:tc>
          <w:tcPr>
            <w:tcW w:w="10658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  <w:t>Descrição</w:t>
            </w:r>
          </w:p>
        </w:tc>
      </w:tr>
      <w:tr>
        <w:trPr/>
        <w:tc>
          <w:tcPr>
            <w:tcW w:w="10658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cs="Calibri"/>
                <w:iCs/>
              </w:rPr>
            </w:pPr>
            <w:r>
              <w:rPr/>
              <w:t xml:space="preserve"> </w:t>
            </w:r>
            <w:r>
              <w:rPr/>
              <w:t>É a formação de Processos; é um ato restrito aos servidores designados pela direção para esta função (protocolista) e inclui a abertura de um novo número de processo que será gerado pelo Sistema de Protocolo da Instituição, neste caso o “SIGA”.</w:t>
            </w:r>
          </w:p>
        </w:tc>
      </w:tr>
      <w:tr>
        <w:trPr/>
        <w:tc>
          <w:tcPr>
            <w:tcW w:w="10658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  <w:t>Objetivos</w:t>
            </w:r>
          </w:p>
        </w:tc>
      </w:tr>
      <w:tr>
        <w:trPr/>
        <w:tc>
          <w:tcPr>
            <w:tcW w:w="10658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TimesNewRomanPSMT"/>
              </w:rPr>
              <w:t xml:space="preserve">Tem como objetivo proceder a abertura e montagem de processos;  bem como registrar, controlar e prestar informações ao público em geral da tramitação destes. A montagem do processo deve ser composta de capa, gerada pelo sistema, pedido de abertura, documento que o componha e folha de informação ou despacho. </w:t>
            </w:r>
          </w:p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/>
            </w:pPr>
            <w:r>
              <w:rPr/>
            </w:r>
          </w:p>
        </w:tc>
      </w:tr>
      <w:tr>
        <w:trPr/>
        <w:tc>
          <w:tcPr>
            <w:tcW w:w="10658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  <w:t>Público Alvo</w:t>
            </w:r>
          </w:p>
        </w:tc>
      </w:tr>
      <w:tr>
        <w:trPr/>
        <w:tc>
          <w:tcPr>
            <w:tcW w:w="10658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3.1- Administração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3.2- servidores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3.3- comunidade universitária</w:t>
            </w:r>
          </w:p>
        </w:tc>
      </w:tr>
      <w:tr>
        <w:trPr/>
        <w:tc>
          <w:tcPr>
            <w:tcW w:w="10658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  <w:t>Pré-requisitos</w:t>
            </w:r>
          </w:p>
        </w:tc>
      </w:tr>
      <w:tr>
        <w:trPr/>
        <w:tc>
          <w:tcPr>
            <w:tcW w:w="10658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ind w:right="312" w:hanging="0"/>
              <w:jc w:val="both"/>
              <w:rPr/>
            </w:pPr>
            <w:r>
              <w:rPr/>
              <w:t xml:space="preserve">4.1- Recebimento de Papeleta (memorando) com as devidas informações. </w:t>
            </w:r>
          </w:p>
        </w:tc>
      </w:tr>
      <w:tr>
        <w:trPr/>
        <w:tc>
          <w:tcPr>
            <w:tcW w:w="10658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  <w:t>Responsáveis</w:t>
            </w:r>
          </w:p>
        </w:tc>
      </w:tr>
      <w:tr>
        <w:trPr/>
        <w:tc>
          <w:tcPr>
            <w:tcW w:w="10658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Cinthia Pereira Bernardino</w:t>
            </w:r>
          </w:p>
        </w:tc>
      </w:tr>
      <w:tr>
        <w:trPr/>
        <w:tc>
          <w:tcPr>
            <w:tcW w:w="10658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  <w:t>Atividades</w:t>
            </w:r>
          </w:p>
        </w:tc>
      </w:tr>
      <w:tr>
        <w:trPr/>
        <w:tc>
          <w:tcPr>
            <w:tcW w:w="10658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Normal"/>
              <w:spacing w:before="0" w:after="0"/>
              <w:rPr>
                <w:sz w:val="10"/>
                <w:szCs w:val="10"/>
              </w:rPr>
            </w:pPr>
            <w:r>
              <w:rPr/>
              <w:t xml:space="preserve"> </w:t>
            </w:r>
          </w:p>
          <w:tbl>
            <w:tblPr>
              <w:tblStyle w:val="Tabelacomgrade"/>
              <w:tblW w:w="10348" w:type="dxa"/>
              <w:jc w:val="left"/>
              <w:tblInd w:w="0" w:type="dxa"/>
              <w:tblCellMar>
                <w:top w:w="0" w:type="dxa"/>
                <w:left w:w="98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567"/>
              <w:gridCol w:w="6516"/>
              <w:gridCol w:w="1416"/>
              <w:gridCol w:w="1848"/>
            </w:tblGrid>
            <w:tr>
              <w:trPr/>
              <w:tc>
                <w:tcPr>
                  <w:tcW w:w="567" w:type="dxa"/>
                  <w:tcBorders/>
                  <w:shd w:fill="auto" w:val="clear"/>
                  <w:tcMar>
                    <w:left w:w="9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b/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Nº</w:t>
                  </w:r>
                </w:p>
              </w:tc>
              <w:tc>
                <w:tcPr>
                  <w:tcW w:w="6516" w:type="dxa"/>
                  <w:tcBorders/>
                  <w:shd w:fill="auto" w:val="clear"/>
                  <w:tcMar>
                    <w:left w:w="9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b/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Atividade/ Descrição</w:t>
                  </w:r>
                </w:p>
              </w:tc>
              <w:tc>
                <w:tcPr>
                  <w:tcW w:w="1416" w:type="dxa"/>
                  <w:tcBorders/>
                  <w:shd w:fill="auto" w:val="clear"/>
                  <w:tcMar>
                    <w:left w:w="9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b/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Responsável</w:t>
                  </w:r>
                </w:p>
              </w:tc>
              <w:tc>
                <w:tcPr>
                  <w:tcW w:w="1848" w:type="dxa"/>
                  <w:tcBorders/>
                  <w:shd w:fill="auto" w:val="clear"/>
                  <w:tcMar>
                    <w:left w:w="9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b/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Prazo de execução</w:t>
                  </w:r>
                </w:p>
              </w:tc>
            </w:tr>
            <w:tr>
              <w:trPr>
                <w:trHeight w:val="630" w:hRule="atLeast"/>
              </w:trPr>
              <w:tc>
                <w:tcPr>
                  <w:tcW w:w="567" w:type="dxa"/>
                  <w:tcBorders/>
                  <w:shd w:fill="auto" w:val="clear"/>
                  <w:tcMar>
                    <w:left w:w="9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b/>
                      <w:b/>
                    </w:rPr>
                  </w:pPr>
                  <w:r>
                    <w:rPr>
                      <w:b/>
                    </w:rPr>
                    <w:t>01</w:t>
                  </w:r>
                </w:p>
              </w:tc>
              <w:tc>
                <w:tcPr>
                  <w:tcW w:w="6516" w:type="dxa"/>
                  <w:tcBorders/>
                  <w:shd w:fill="auto" w:val="clear"/>
                  <w:tcMar>
                    <w:left w:w="9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jc w:val="both"/>
                    <w:rPr/>
                  </w:pPr>
                  <w:r>
                    <w:rPr/>
                    <w:t xml:space="preserve">Solicitante preenche a “Papeleta” discriminando o conteúdo do processo, seção, destino e objeto ( devidamente assinada)  e encaminha a Divisão de Protocolo. </w:t>
                  </w:r>
                </w:p>
              </w:tc>
              <w:tc>
                <w:tcPr>
                  <w:tcW w:w="1416" w:type="dxa"/>
                  <w:tcBorders/>
                  <w:shd w:fill="auto" w:val="clear"/>
                  <w:tcMar>
                    <w:left w:w="9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  <w:tc>
                <w:tcPr>
                  <w:tcW w:w="1848" w:type="dxa"/>
                  <w:tcBorders/>
                  <w:shd w:fill="auto" w:val="clear"/>
                  <w:tcMar>
                    <w:left w:w="9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567" w:type="dxa"/>
                  <w:tcBorders/>
                  <w:shd w:fill="auto" w:val="clear"/>
                  <w:tcMar>
                    <w:left w:w="9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b/>
                      <w:b/>
                    </w:rPr>
                  </w:pPr>
                  <w:r>
                    <w:rPr>
                      <w:b/>
                    </w:rPr>
                    <w:t>02</w:t>
                  </w:r>
                </w:p>
              </w:tc>
              <w:tc>
                <w:tcPr>
                  <w:tcW w:w="6516" w:type="dxa"/>
                  <w:tcBorders/>
                  <w:shd w:fill="auto" w:val="clear"/>
                  <w:tcMar>
                    <w:left w:w="9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jc w:val="both"/>
                    <w:rPr/>
                  </w:pPr>
                  <w:r>
                    <w:rPr/>
                    <w:t>O protocolista lê o documento, a fim de extrair o assunto, de forma sucinta, clara e objetiva.</w:t>
                  </w:r>
                </w:p>
              </w:tc>
              <w:tc>
                <w:tcPr>
                  <w:tcW w:w="1416" w:type="dxa"/>
                  <w:tcBorders/>
                  <w:shd w:fill="auto" w:val="clear"/>
                  <w:tcMar>
                    <w:left w:w="9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  <w:tc>
                <w:tcPr>
                  <w:tcW w:w="1848" w:type="dxa"/>
                  <w:tcBorders/>
                  <w:shd w:fill="auto" w:val="clear"/>
                  <w:tcMar>
                    <w:left w:w="9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567" w:type="dxa"/>
                  <w:tcBorders/>
                  <w:shd w:fill="auto" w:val="clear"/>
                  <w:tcMar>
                    <w:left w:w="9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b/>
                      <w:b/>
                    </w:rPr>
                  </w:pPr>
                  <w:r>
                    <w:rPr>
                      <w:b/>
                    </w:rPr>
                    <w:t>03</w:t>
                  </w:r>
                </w:p>
              </w:tc>
              <w:tc>
                <w:tcPr>
                  <w:tcW w:w="6516" w:type="dxa"/>
                  <w:tcBorders/>
                  <w:shd w:fill="auto" w:val="clear"/>
                  <w:tcMar>
                    <w:left w:w="9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jc w:val="both"/>
                    <w:rPr/>
                  </w:pPr>
                  <w:r>
                    <w:rPr/>
                    <w:t xml:space="preserve">Verifica se está assinado e se está acompanhado dos seus respectivos anexos, quando for o caso. </w:t>
                  </w:r>
                </w:p>
              </w:tc>
              <w:tc>
                <w:tcPr>
                  <w:tcW w:w="1416" w:type="dxa"/>
                  <w:tcBorders/>
                  <w:shd w:fill="auto" w:val="clear"/>
                  <w:tcMar>
                    <w:left w:w="9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  <w:tc>
                <w:tcPr>
                  <w:tcW w:w="1848" w:type="dxa"/>
                  <w:tcBorders/>
                  <w:shd w:fill="auto" w:val="clear"/>
                  <w:tcMar>
                    <w:left w:w="9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567" w:type="dxa"/>
                  <w:tcBorders/>
                  <w:shd w:fill="auto" w:val="clear"/>
                  <w:tcMar>
                    <w:left w:w="9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b/>
                      <w:b/>
                    </w:rPr>
                  </w:pPr>
                  <w:r>
                    <w:rPr>
                      <w:b/>
                    </w:rPr>
                    <w:t>04</w:t>
                  </w:r>
                </w:p>
              </w:tc>
              <w:tc>
                <w:tcPr>
                  <w:tcW w:w="6516" w:type="dxa"/>
                  <w:tcBorders/>
                  <w:shd w:fill="auto" w:val="clear"/>
                  <w:tcMar>
                    <w:left w:w="9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jc w:val="both"/>
                    <w:rPr/>
                  </w:pPr>
                  <w:r>
                    <w:rPr/>
                    <w:t>O Protocolo registra no “SIGA”, identificando as principais características do documento: Tipo, setor, procedência, interessado, título, assunto.</w:t>
                  </w:r>
                </w:p>
              </w:tc>
              <w:tc>
                <w:tcPr>
                  <w:tcW w:w="1416" w:type="dxa"/>
                  <w:tcBorders/>
                  <w:shd w:fill="auto" w:val="clear"/>
                  <w:tcMar>
                    <w:left w:w="9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  <w:tc>
                <w:tcPr>
                  <w:tcW w:w="1848" w:type="dxa"/>
                  <w:tcBorders/>
                  <w:shd w:fill="auto" w:val="clear"/>
                  <w:tcMar>
                    <w:left w:w="9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567" w:type="dxa"/>
                  <w:tcBorders/>
                  <w:shd w:fill="auto" w:val="clear"/>
                  <w:tcMar>
                    <w:left w:w="9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b/>
                      <w:b/>
                    </w:rPr>
                  </w:pPr>
                  <w:r>
                    <w:rPr>
                      <w:b/>
                    </w:rPr>
                    <w:t>05</w:t>
                  </w:r>
                </w:p>
              </w:tc>
              <w:tc>
                <w:tcPr>
                  <w:tcW w:w="6516" w:type="dxa"/>
                  <w:tcBorders/>
                  <w:shd w:fill="auto" w:val="clear"/>
                  <w:tcMar>
                    <w:left w:w="9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jc w:val="both"/>
                    <w:rPr/>
                  </w:pPr>
                  <w:r>
                    <w:rPr/>
                    <w:t>Gera-se automaticamente o “Número de Processo”.</w:t>
                  </w:r>
                </w:p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jc w:val="both"/>
                    <w:rPr/>
                  </w:pPr>
                  <w:r>
                    <w:rPr/>
                  </w:r>
                </w:p>
              </w:tc>
              <w:tc>
                <w:tcPr>
                  <w:tcW w:w="1416" w:type="dxa"/>
                  <w:tcBorders/>
                  <w:shd w:fill="auto" w:val="clear"/>
                  <w:tcMar>
                    <w:left w:w="9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  <w:tc>
                <w:tcPr>
                  <w:tcW w:w="1848" w:type="dxa"/>
                  <w:tcBorders/>
                  <w:shd w:fill="auto" w:val="clear"/>
                  <w:tcMar>
                    <w:left w:w="9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567" w:type="dxa"/>
                  <w:tcBorders/>
                  <w:shd w:fill="auto" w:val="clear"/>
                  <w:tcMar>
                    <w:left w:w="9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b/>
                      <w:b/>
                    </w:rPr>
                  </w:pPr>
                  <w:r>
                    <w:rPr>
                      <w:b/>
                    </w:rPr>
                    <w:t>06</w:t>
                  </w:r>
                </w:p>
              </w:tc>
              <w:tc>
                <w:tcPr>
                  <w:tcW w:w="6516" w:type="dxa"/>
                  <w:tcBorders/>
                  <w:shd w:fill="auto" w:val="clear"/>
                  <w:tcMar>
                    <w:left w:w="9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jc w:val="both"/>
                    <w:rPr/>
                  </w:pPr>
                  <w:r>
                    <w:rPr/>
                    <w:t xml:space="preserve">Após o preenchimento, o sistema disponibiliza a impressão de etiquetas: uma contendo o número do processo; e outra discriminando o processo (estas etiquetas deverão ser afixadas na capa do processo). </w:t>
                  </w:r>
                </w:p>
              </w:tc>
              <w:tc>
                <w:tcPr>
                  <w:tcW w:w="1416" w:type="dxa"/>
                  <w:tcBorders/>
                  <w:shd w:fill="auto" w:val="clear"/>
                  <w:tcMar>
                    <w:left w:w="9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  <w:tc>
                <w:tcPr>
                  <w:tcW w:w="1848" w:type="dxa"/>
                  <w:tcBorders/>
                  <w:shd w:fill="auto" w:val="clear"/>
                  <w:tcMar>
                    <w:left w:w="9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</w:tr>
            <w:tr>
              <w:trPr>
                <w:trHeight w:val="70" w:hRule="atLeast"/>
              </w:trPr>
              <w:tc>
                <w:tcPr>
                  <w:tcW w:w="567" w:type="dxa"/>
                  <w:tcBorders/>
                  <w:shd w:fill="auto" w:val="clear"/>
                  <w:tcMar>
                    <w:left w:w="9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b/>
                      <w:b/>
                    </w:rPr>
                  </w:pPr>
                  <w:r>
                    <w:rPr>
                      <w:b/>
                    </w:rPr>
                    <w:t>07</w:t>
                  </w:r>
                </w:p>
              </w:tc>
              <w:tc>
                <w:tcPr>
                  <w:tcW w:w="6516" w:type="dxa"/>
                  <w:tcBorders/>
                  <w:shd w:fill="auto" w:val="clear"/>
                  <w:tcMar>
                    <w:left w:w="9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jc w:val="both"/>
                    <w:rPr/>
                  </w:pPr>
                  <w:r>
                    <w:rPr/>
                    <w:t xml:space="preserve">O protocolista deverá prender a capa, juntamente, com toda a documentação, com colchetes, obedecendo a ordem do mais antigo para o mais recente. </w:t>
                  </w:r>
                </w:p>
              </w:tc>
              <w:tc>
                <w:tcPr>
                  <w:tcW w:w="1416" w:type="dxa"/>
                  <w:tcBorders/>
                  <w:shd w:fill="auto" w:val="clear"/>
                  <w:tcMar>
                    <w:left w:w="9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  <w:tc>
                <w:tcPr>
                  <w:tcW w:w="1848" w:type="dxa"/>
                  <w:tcBorders/>
                  <w:shd w:fill="auto" w:val="clear"/>
                  <w:tcMar>
                    <w:left w:w="9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567" w:type="dxa"/>
                  <w:tcBorders/>
                  <w:shd w:fill="auto" w:val="clear"/>
                  <w:tcMar>
                    <w:left w:w="9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b/>
                      <w:b/>
                    </w:rPr>
                  </w:pPr>
                  <w:r>
                    <w:rPr>
                      <w:b/>
                    </w:rPr>
                    <w:t>08</w:t>
                  </w:r>
                </w:p>
              </w:tc>
              <w:tc>
                <w:tcPr>
                  <w:tcW w:w="6516" w:type="dxa"/>
                  <w:tcBorders/>
                  <w:shd w:fill="auto" w:val="clear"/>
                  <w:tcMar>
                    <w:left w:w="9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jc w:val="both"/>
                    <w:rPr/>
                  </w:pPr>
                  <w:r>
                    <w:rPr/>
                    <w:t>Imprimir o Termo de Abertura de Volume e outra etiqueta com o número de processo que deverá ser afixada neste termo.  (Este termo será a primeira folha do processo).</w:t>
                  </w:r>
                </w:p>
              </w:tc>
              <w:tc>
                <w:tcPr>
                  <w:tcW w:w="1416" w:type="dxa"/>
                  <w:tcBorders/>
                  <w:shd w:fill="auto" w:val="clear"/>
                  <w:tcMar>
                    <w:left w:w="9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  <w:tc>
                <w:tcPr>
                  <w:tcW w:w="1848" w:type="dxa"/>
                  <w:tcBorders/>
                  <w:shd w:fill="auto" w:val="clear"/>
                  <w:tcMar>
                    <w:left w:w="9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567" w:type="dxa"/>
                  <w:tcBorders/>
                  <w:shd w:fill="auto" w:val="clear"/>
                  <w:tcMar>
                    <w:left w:w="9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b/>
                      <w:b/>
                    </w:rPr>
                  </w:pPr>
                  <w:r>
                    <w:rPr>
                      <w:b/>
                    </w:rPr>
                    <w:t>09</w:t>
                  </w:r>
                </w:p>
              </w:tc>
              <w:tc>
                <w:tcPr>
                  <w:tcW w:w="6516" w:type="dxa"/>
                  <w:tcBorders/>
                  <w:shd w:fill="auto" w:val="clear"/>
                  <w:tcMar>
                    <w:left w:w="9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jc w:val="both"/>
                    <w:rPr/>
                  </w:pPr>
                  <w:r>
                    <w:rPr/>
                    <w:t xml:space="preserve">Anexar a Papeleta recebida como a segunda folha do processo e em seguida os demais anexos. </w:t>
                  </w:r>
                </w:p>
              </w:tc>
              <w:tc>
                <w:tcPr>
                  <w:tcW w:w="1416" w:type="dxa"/>
                  <w:tcBorders/>
                  <w:shd w:fill="auto" w:val="clear"/>
                  <w:tcMar>
                    <w:left w:w="9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  <w:tc>
                <w:tcPr>
                  <w:tcW w:w="1848" w:type="dxa"/>
                  <w:tcBorders/>
                  <w:shd w:fill="auto" w:val="clear"/>
                  <w:tcMar>
                    <w:left w:w="9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567" w:type="dxa"/>
                  <w:tcBorders/>
                  <w:shd w:fill="auto" w:val="clear"/>
                  <w:tcMar>
                    <w:left w:w="9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b/>
                      <w:b/>
                    </w:rPr>
                  </w:pPr>
                  <w:r>
                    <w:rPr>
                      <w:b/>
                    </w:rPr>
                    <w:t>10</w:t>
                  </w:r>
                </w:p>
              </w:tc>
              <w:tc>
                <w:tcPr>
                  <w:tcW w:w="6516" w:type="dxa"/>
                  <w:tcBorders/>
                  <w:shd w:fill="auto" w:val="clear"/>
                  <w:tcMar>
                    <w:left w:w="9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jc w:val="both"/>
                    <w:rPr/>
                  </w:pPr>
                  <w:r>
                    <w:rPr/>
                    <w:t>As folhas e/ou anexos do processo devem ser numeradas no Protocolo e as demais unidades organizacionais deverão atribuir numeração sequencial à medida que adicionarem outros documentos.</w:t>
                  </w:r>
                </w:p>
              </w:tc>
              <w:tc>
                <w:tcPr>
                  <w:tcW w:w="1416" w:type="dxa"/>
                  <w:tcBorders/>
                  <w:shd w:fill="auto" w:val="clear"/>
                  <w:tcMar>
                    <w:left w:w="9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  <w:tc>
                <w:tcPr>
                  <w:tcW w:w="1848" w:type="dxa"/>
                  <w:tcBorders/>
                  <w:shd w:fill="auto" w:val="clear"/>
                  <w:tcMar>
                    <w:left w:w="9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567" w:type="dxa"/>
                  <w:tcBorders/>
                  <w:shd w:fill="auto" w:val="clear"/>
                  <w:tcMar>
                    <w:left w:w="9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b/>
                      <w:b/>
                    </w:rPr>
                  </w:pPr>
                  <w:r>
                    <w:rPr>
                      <w:b/>
                    </w:rPr>
                    <w:t>11</w:t>
                  </w:r>
                </w:p>
              </w:tc>
              <w:tc>
                <w:tcPr>
                  <w:tcW w:w="6516" w:type="dxa"/>
                  <w:tcBorders/>
                  <w:shd w:fill="auto" w:val="clear"/>
                  <w:tcMar>
                    <w:left w:w="98" w:type="dxa"/>
                  </w:tcMar>
                </w:tcPr>
                <w:p>
                  <w:pPr>
                    <w:pStyle w:val="Normal"/>
                    <w:spacing w:lineRule="auto" w:line="240" w:before="0" w:after="0"/>
                    <w:jc w:val="both"/>
                    <w:rPr/>
                  </w:pPr>
                  <w:r>
                    <w:rPr>
                      <w:rFonts w:cs="TimesNewRomanPSMT"/>
                    </w:rPr>
                    <w:t xml:space="preserve">A numeração deve ser por folha e não por página, deve seguir ordem crescente, sem rasuras, iniciando do número um. A capa não é considerada como folha, portanto não será numerada. As folhas/peças do processo devem ser numeradas e rubricadas próximas ao canto superior direito, não deve sobrescrever dados, utilizando-se, para esse fim carimbo contendo as seguintes informações: </w:t>
                  </w:r>
                  <w:r>
                    <w:rPr>
                      <w:rFonts w:cs="TimesNewRomanPSMT"/>
                      <w:b/>
                      <w:i/>
                    </w:rPr>
                    <w:t>número da folha ou peça e rubrica do servidor que fez as anotações.</w:t>
                  </w:r>
                </w:p>
              </w:tc>
              <w:tc>
                <w:tcPr>
                  <w:tcW w:w="1416" w:type="dxa"/>
                  <w:tcBorders/>
                  <w:shd w:fill="auto" w:val="clear"/>
                  <w:tcMar>
                    <w:left w:w="9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  <w:tc>
                <w:tcPr>
                  <w:tcW w:w="1848" w:type="dxa"/>
                  <w:tcBorders/>
                  <w:shd w:fill="auto" w:val="clear"/>
                  <w:tcMar>
                    <w:left w:w="9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567" w:type="dxa"/>
                  <w:tcBorders/>
                  <w:shd w:fill="auto" w:val="clear"/>
                  <w:tcMar>
                    <w:left w:w="9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b/>
                      <w:b/>
                    </w:rPr>
                  </w:pPr>
                  <w:r>
                    <w:rPr>
                      <w:b/>
                    </w:rPr>
                    <w:t>12</w:t>
                  </w:r>
                </w:p>
              </w:tc>
              <w:tc>
                <w:tcPr>
                  <w:tcW w:w="6516" w:type="dxa"/>
                  <w:tcBorders/>
                  <w:shd w:fill="auto" w:val="clear"/>
                  <w:tcMar>
                    <w:left w:w="98" w:type="dxa"/>
                  </w:tcMar>
                </w:tcPr>
                <w:p>
                  <w:pPr>
                    <w:pStyle w:val="Normal"/>
                    <w:spacing w:lineRule="auto" w:line="240" w:before="0" w:after="0"/>
                    <w:jc w:val="both"/>
                    <w:rPr>
                      <w:rFonts w:cs="TimesNewRomanPSMT"/>
                    </w:rPr>
                  </w:pPr>
                  <w:r>
                    <w:rPr>
                      <w:rFonts w:cs="TimesNewRomanPSMT"/>
                    </w:rPr>
                    <w:t xml:space="preserve">Para encerramento e abertura de volume: o processo não poderá exceder a 200 (duzentas) folhas em cada volume. Quando o processo contiver o número de folhas excedentes ao limite fixado, a partir do próximo número, formar-se-ão outros volumes.  Não é permitido desmembrar documento, e se ocorrer a inclusão de um documento que exceda a 200 folhas, esse documento abrirá um novo volume. </w:t>
                  </w:r>
                </w:p>
              </w:tc>
              <w:tc>
                <w:tcPr>
                  <w:tcW w:w="1416" w:type="dxa"/>
                  <w:tcBorders/>
                  <w:shd w:fill="auto" w:val="clear"/>
                  <w:tcMar>
                    <w:left w:w="9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  <w:tc>
                <w:tcPr>
                  <w:tcW w:w="1848" w:type="dxa"/>
                  <w:tcBorders/>
                  <w:shd w:fill="auto" w:val="clear"/>
                  <w:tcMar>
                    <w:left w:w="9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567" w:type="dxa"/>
                  <w:tcBorders/>
                  <w:shd w:fill="auto" w:val="clear"/>
                  <w:tcMar>
                    <w:left w:w="9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b/>
                      <w:b/>
                    </w:rPr>
                  </w:pPr>
                  <w:r>
                    <w:rPr>
                      <w:b/>
                    </w:rPr>
                    <w:t>13</w:t>
                  </w:r>
                </w:p>
              </w:tc>
              <w:tc>
                <w:tcPr>
                  <w:tcW w:w="6516" w:type="dxa"/>
                  <w:tcBorders/>
                  <w:shd w:fill="auto" w:val="clear"/>
                  <w:tcMar>
                    <w:left w:w="98" w:type="dxa"/>
                  </w:tcMar>
                </w:tcPr>
                <w:p>
                  <w:pPr>
                    <w:pStyle w:val="Normal"/>
                    <w:spacing w:lineRule="auto" w:line="240" w:before="0" w:after="0"/>
                    <w:jc w:val="both"/>
                    <w:rPr>
                      <w:rFonts w:cs="TimesNewRomanPSMT"/>
                    </w:rPr>
                  </w:pPr>
                  <w:r>
                    <w:rPr>
                      <w:rFonts w:cs="TimesNewRomanPSMT"/>
                    </w:rPr>
                    <w:t>A abertura do volume subsequente será informada no volume anterior e no novo volume da seguinte forma: No volume anterior, após a última folha do processo, incluir-se-á TERMO DE ENCERRAMENTO DE VOLUME”, devidamente numerado.</w:t>
                  </w:r>
                </w:p>
              </w:tc>
              <w:tc>
                <w:tcPr>
                  <w:tcW w:w="1416" w:type="dxa"/>
                  <w:tcBorders/>
                  <w:shd w:fill="auto" w:val="clear"/>
                  <w:tcMar>
                    <w:left w:w="9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  <w:tc>
                <w:tcPr>
                  <w:tcW w:w="1848" w:type="dxa"/>
                  <w:tcBorders/>
                  <w:shd w:fill="auto" w:val="clear"/>
                  <w:tcMar>
                    <w:left w:w="9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567" w:type="dxa"/>
                  <w:tcBorders/>
                  <w:shd w:fill="auto" w:val="clear"/>
                  <w:tcMar>
                    <w:left w:w="9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b/>
                      <w:b/>
                    </w:rPr>
                  </w:pPr>
                  <w:r>
                    <w:rPr>
                      <w:b/>
                    </w:rPr>
                    <w:t>14</w:t>
                  </w:r>
                </w:p>
              </w:tc>
              <w:tc>
                <w:tcPr>
                  <w:tcW w:w="6516" w:type="dxa"/>
                  <w:tcBorders/>
                  <w:shd w:fill="auto" w:val="clear"/>
                  <w:tcMar>
                    <w:left w:w="98" w:type="dxa"/>
                  </w:tcMar>
                </w:tcPr>
                <w:p>
                  <w:pPr>
                    <w:pStyle w:val="Normal"/>
                    <w:spacing w:lineRule="auto" w:line="240" w:before="0" w:after="0"/>
                    <w:jc w:val="both"/>
                    <w:rPr>
                      <w:rFonts w:cs="TimesNewRomanPSMT"/>
                    </w:rPr>
                  </w:pPr>
                  <w:r>
                    <w:rPr>
                      <w:rFonts w:cs="TimesNewRomanPSMT"/>
                    </w:rPr>
                    <w:t>Finalmente deverá ser encaminhado para o órgão informado na Papeleta.</w:t>
                  </w:r>
                </w:p>
              </w:tc>
              <w:tc>
                <w:tcPr>
                  <w:tcW w:w="1416" w:type="dxa"/>
                  <w:tcBorders/>
                  <w:shd w:fill="auto" w:val="clear"/>
                  <w:tcMar>
                    <w:left w:w="9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  <w:tc>
                <w:tcPr>
                  <w:tcW w:w="1848" w:type="dxa"/>
                  <w:tcBorders/>
                  <w:shd w:fill="auto" w:val="clear"/>
                  <w:tcMar>
                    <w:left w:w="9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</w:tr>
          </w:tbl>
          <w:p>
            <w:pPr>
              <w:pStyle w:val="Normal"/>
              <w:spacing w:before="0" w:after="0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/>
        <w:tc>
          <w:tcPr>
            <w:tcW w:w="106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  <w:t>Lista de contatos para realização da ação</w:t>
            </w:r>
          </w:p>
        </w:tc>
      </w:tr>
      <w:tr>
        <w:trPr/>
        <w:tc>
          <w:tcPr>
            <w:tcW w:w="106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tbl>
            <w:tblPr>
              <w:tblStyle w:val="Tabelacomgrade"/>
              <w:tblW w:w="9802" w:type="dxa"/>
              <w:jc w:val="left"/>
              <w:tblInd w:w="279" w:type="dxa"/>
              <w:tblCellMar>
                <w:top w:w="0" w:type="dxa"/>
                <w:left w:w="98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2975"/>
              <w:gridCol w:w="992"/>
              <w:gridCol w:w="1701"/>
              <w:gridCol w:w="4133"/>
            </w:tblGrid>
            <w:tr>
              <w:trPr/>
              <w:tc>
                <w:tcPr>
                  <w:tcW w:w="2975" w:type="dxa"/>
                  <w:tcBorders/>
                  <w:shd w:fill="auto" w:val="clear"/>
                  <w:tcMar>
                    <w:left w:w="98" w:type="dxa"/>
                  </w:tcMar>
                </w:tcPr>
                <w:tbl>
                  <w:tblPr>
                    <w:tblW w:w="1699" w:type="dxa"/>
                    <w:jc w:val="left"/>
                    <w:tblInd w:w="0" w:type="dxa"/>
                    <w:tblBorders/>
                    <w:tblCellMar>
                      <w:top w:w="0" w:type="dxa"/>
                      <w:left w:w="108" w:type="dxa"/>
                      <w:bottom w:w="0" w:type="dxa"/>
                      <w:right w:w="108" w:type="dxa"/>
                    </w:tblCellMar>
                    <w:tblLook w:firstRow="0" w:noVBand="0" w:lastRow="0" w:firstColumn="0" w:lastColumn="0" w:noHBand="0" w:val="0000"/>
                  </w:tblPr>
                  <w:tblGrid>
                    <w:gridCol w:w="991"/>
                    <w:gridCol w:w="236"/>
                    <w:gridCol w:w="236"/>
                    <w:gridCol w:w="235"/>
                  </w:tblGrid>
                  <w:tr>
                    <w:trPr>
                      <w:trHeight w:val="280" w:hRule="atLeast"/>
                    </w:trPr>
                    <w:tc>
                      <w:tcPr>
                        <w:tcW w:w="991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 xml:space="preserve">Nome </w:t>
                        </w:r>
                      </w:p>
                    </w:tc>
                    <w:tc>
                      <w:tcPr>
                        <w:tcW w:w="236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236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235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</w:tr>
                </w:tbl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9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voip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9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telefone</w:t>
                  </w:r>
                </w:p>
              </w:tc>
              <w:tc>
                <w:tcPr>
                  <w:tcW w:w="413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9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e-mail</w:t>
                  </w:r>
                </w:p>
              </w:tc>
            </w:tr>
            <w:tr>
              <w:trPr/>
              <w:tc>
                <w:tcPr>
                  <w:tcW w:w="297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9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  <w:t>Cinthia Pereira Bernardino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9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  <w:t>8059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9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  <w:t>(38) 3532-1271</w:t>
                  </w:r>
                </w:p>
              </w:tc>
              <w:tc>
                <w:tcPr>
                  <w:tcW w:w="413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9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hyperlink r:id="rId4">
                    <w:r>
                      <w:rPr>
                        <w:rStyle w:val="LinkdaInternet"/>
                        <w:u w:val="single"/>
                      </w:rPr>
                      <w:t>protocolo@ufvjm.edu.br</w:t>
                    </w:r>
                  </w:hyperlink>
                </w:p>
              </w:tc>
            </w:tr>
          </w:tbl>
          <w:p>
            <w:pPr>
              <w:pStyle w:val="Normal"/>
              <w:spacing w:before="0" w:after="0"/>
              <w:rPr/>
            </w:pPr>
            <w:r>
              <w:rPr/>
              <w:t xml:space="preserve">  </w:t>
            </w:r>
          </w:p>
        </w:tc>
      </w:tr>
      <w:tr>
        <w:trPr/>
        <w:tc>
          <w:tcPr>
            <w:tcW w:w="106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  <w:t>Definições / Legenda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SIGA – Sistema Integrado de Gestão Acadêmica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106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  <w:t>Material de suporte</w:t>
            </w:r>
          </w:p>
          <w:p>
            <w:pPr>
              <w:pStyle w:val="ListParagraph"/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numPr>
                <w:ilvl w:val="0"/>
                <w:numId w:val="3"/>
              </w:numPr>
              <w:spacing w:lineRule="auto" w:line="240" w:before="0" w:after="0"/>
              <w:contextualSpacing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  <w:t>PORTARIA INTERMINISTERIAL Nº 1.677, DE 7 DE OUTUBRO DE 2015(*) : Define os procedimentos gerais para o desenvolvimento das atividades de protocolo no âmbito dos órgãos e entidades da Administração Pública Federal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  <w:p>
            <w:pPr>
              <w:pStyle w:val="ListParagraph"/>
              <w:spacing w:lineRule="auto" w:line="240" w:before="0" w:after="0"/>
              <w:ind w:left="1080" w:hanging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numPr>
                <w:ilvl w:val="0"/>
                <w:numId w:val="3"/>
              </w:numPr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  <w:t>PASSO A PASSO PARA O SIGA:</w:t>
            </w:r>
          </w:p>
          <w:p>
            <w:pPr>
              <w:pStyle w:val="ListParagraph"/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ind w:left="1080" w:hanging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ind w:left="1080" w:hanging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spacing w:lineRule="auto" w:line="240" w:before="0" w:after="0"/>
              <w:ind w:left="720" w:hanging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spacing w:lineRule="auto" w:line="240" w:before="0" w:after="0"/>
              <w:ind w:left="720" w:hanging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ind w:left="1080" w:hanging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  <w:t>Acessar o SIGA e clicar em  “PROTOCOLO” .</w:t>
            </w:r>
          </w:p>
          <w:p>
            <w:pPr>
              <w:pStyle w:val="ListParagraph"/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ind w:left="1080" w:hanging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ind w:left="1080" w:hanging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ind w:left="1080" w:hanging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ind w:left="1080" w:hanging="0"/>
              <w:contextualSpacing/>
              <w:rPr>
                <w:b/>
                <w:b/>
              </w:rPr>
            </w:pPr>
            <w:r>
              <w:rPr>
                <w:b/>
              </w:rPr>
              <w:drawing>
                <wp:anchor behindDoc="0" distT="0" distB="3810" distL="114300" distR="119380" simplePos="0" locked="0" layoutInCell="1" allowOverlap="1" relativeHeight="6">
                  <wp:simplePos x="0" y="0"/>
                  <wp:positionH relativeFrom="margin">
                    <wp:posOffset>367030</wp:posOffset>
                  </wp:positionH>
                  <wp:positionV relativeFrom="margin">
                    <wp:posOffset>663575</wp:posOffset>
                  </wp:positionV>
                  <wp:extent cx="5767070" cy="1043940"/>
                  <wp:effectExtent l="0" t="0" r="0" b="0"/>
                  <wp:wrapSquare wrapText="bothSides"/>
                  <wp:docPr id="3" name="Imagem 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m 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 l="0" t="7478" r="31" b="6026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7070" cy="1043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pStyle w:val="ListParagraph"/>
              <w:spacing w:lineRule="auto" w:line="240" w:before="0" w:after="0"/>
              <w:ind w:left="360" w:hanging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ind w:left="1080" w:hanging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numPr>
                <w:ilvl w:val="0"/>
                <w:numId w:val="4"/>
              </w:numPr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  <w:t xml:space="preserve">   </w:t>
            </w:r>
            <w:r>
              <w:rPr>
                <w:b/>
              </w:rPr>
              <w:t>Clicar em “ PROCESSOS”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drawing>
                <wp:anchor behindDoc="0" distT="0" distB="0" distL="114300" distR="120650" simplePos="0" locked="0" layoutInCell="1" allowOverlap="1" relativeHeight="7">
                  <wp:simplePos x="0" y="0"/>
                  <wp:positionH relativeFrom="margin">
                    <wp:posOffset>372745</wp:posOffset>
                  </wp:positionH>
                  <wp:positionV relativeFrom="margin">
                    <wp:posOffset>2333625</wp:posOffset>
                  </wp:positionV>
                  <wp:extent cx="5269865" cy="921385"/>
                  <wp:effectExtent l="0" t="0" r="0" b="0"/>
                  <wp:wrapSquare wrapText="bothSides"/>
                  <wp:docPr id="4" name="Imagem 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m 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 l="0" t="7296" r="1334" b="6199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69865" cy="921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numPr>
                <w:ilvl w:val="0"/>
                <w:numId w:val="4"/>
              </w:numPr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  <w:t>Clcar em “ Incluir processo”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drawing>
                <wp:anchor behindDoc="0" distT="0" distB="0" distL="114300" distR="114935" simplePos="0" locked="0" layoutInCell="1" allowOverlap="1" relativeHeight="5">
                  <wp:simplePos x="0" y="0"/>
                  <wp:positionH relativeFrom="column">
                    <wp:posOffset>246380</wp:posOffset>
                  </wp:positionH>
                  <wp:positionV relativeFrom="paragraph">
                    <wp:posOffset>144780</wp:posOffset>
                  </wp:positionV>
                  <wp:extent cx="5885815" cy="2084070"/>
                  <wp:effectExtent l="0" t="0" r="0" b="0"/>
                  <wp:wrapTopAndBottom/>
                  <wp:docPr id="5" name="figura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figura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 l="0" t="7499" r="-63" b="624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85815" cy="2084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pStyle w:val="ListParagraph"/>
              <w:tabs>
                <w:tab w:val="left" w:pos="1406" w:leader="none"/>
              </w:tabs>
              <w:spacing w:lineRule="auto" w:line="240" w:before="0" w:after="0"/>
              <w:ind w:left="1080" w:hanging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numPr>
                <w:ilvl w:val="0"/>
                <w:numId w:val="4"/>
              </w:numPr>
              <w:tabs>
                <w:tab w:val="left" w:pos="1406" w:leader="none"/>
              </w:tabs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  <w:t>A Divisão de Protocolo preenche o documento</w:t>
            </w:r>
            <w:r>
              <w:rPr/>
              <w:t>: Tipo, setor, procedência, interessado, título, assunto.</w:t>
            </w:r>
          </w:p>
          <w:p>
            <w:pPr>
              <w:pStyle w:val="ListParagraph"/>
              <w:tabs>
                <w:tab w:val="left" w:pos="1406" w:leader="none"/>
              </w:tabs>
              <w:spacing w:lineRule="auto" w:line="240" w:before="0" w:after="0"/>
              <w:ind w:left="1080" w:hanging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numPr>
                <w:ilvl w:val="0"/>
                <w:numId w:val="4"/>
              </w:numPr>
              <w:tabs>
                <w:tab w:val="left" w:pos="1406" w:leader="none"/>
              </w:tabs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  <w:t>Gera-se o número do processo, as etiquetas de identificação e o Termo de Abertura .</w:t>
            </w:r>
          </w:p>
          <w:p>
            <w:pPr>
              <w:pStyle w:val="ListParagraph"/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cs="TimesNewRomanPSMT"/>
              </w:rPr>
            </w:pPr>
            <w:r>
              <w:rPr>
                <w:rFonts w:cs="TimesNewRomanPS-BoldMT"/>
                <w:b/>
                <w:bCs/>
              </w:rPr>
              <w:t xml:space="preserve">OBSERVAÇÃO: </w:t>
            </w:r>
            <w:r>
              <w:rPr>
                <w:rFonts w:cs="TimesNewRomanPS-BoldMT"/>
                <w:b/>
                <w:bCs/>
                <w:u w:val="single"/>
              </w:rPr>
              <w:t>Numeração única de processo</w:t>
            </w:r>
            <w:r>
              <w:rPr>
                <w:rFonts w:cs="TimesNewRomanPS-BoldMT"/>
                <w:b/>
                <w:bCs/>
              </w:rPr>
              <w:t xml:space="preserve">:  </w:t>
            </w:r>
            <w:r>
              <w:rPr>
                <w:rFonts w:cs="TimesNewRomanPS-BoldMT"/>
                <w:bCs/>
              </w:rPr>
              <w:t>I</w:t>
            </w:r>
            <w:r>
              <w:rPr>
                <w:rFonts w:cs="TimesNewRomanPSMT"/>
              </w:rPr>
              <w:t xml:space="preserve">dentifica ou caracteriza um processo, conforme </w:t>
            </w:r>
          </w:p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cs="TimesNewRomanPSMT"/>
              </w:rPr>
            </w:pPr>
            <w:r>
              <w:rPr>
                <w:rFonts w:cs="TimesNewRomanPSMT"/>
              </w:rPr>
              <w:t>PORTARIA N°. 3, DE 16.05.2003, DA SECRETARIA DE LOGÍSTICA E TECNOLOGIA DA INFORMAÇÃO DO MINISTÉRIO DO PLANEJAMENTO,</w:t>
            </w:r>
          </w:p>
          <w:p>
            <w:pPr>
              <w:pStyle w:val="Normal"/>
              <w:spacing w:lineRule="auto" w:line="240" w:before="0" w:after="0"/>
              <w:rPr>
                <w:rFonts w:cs="TimesNewRomanPSMT"/>
              </w:rPr>
            </w:pPr>
            <w:r>
              <w:rPr>
                <w:rFonts w:cs="TimesNewRomanPSMT"/>
              </w:rPr>
              <w:t>e atribui valor perante a Administração Pública Federal. É formada por 15 dígitos, conforme a</w:t>
            </w:r>
          </w:p>
          <w:p>
            <w:pPr>
              <w:pStyle w:val="Normal"/>
              <w:spacing w:lineRule="auto" w:line="240" w:before="0" w:after="0"/>
              <w:rPr>
                <w:rFonts w:cs="TimesNewRomanPSMT"/>
              </w:rPr>
            </w:pPr>
            <w:r>
              <w:rPr>
                <w:rFonts w:cs="TimesNewRomanPSMT"/>
              </w:rPr>
              <w:t>seguinte descrição:</w:t>
            </w:r>
          </w:p>
          <w:p>
            <w:pPr>
              <w:pStyle w:val="Normal"/>
              <w:spacing w:lineRule="auto" w:line="240" w:before="0" w:after="0"/>
              <w:rPr>
                <w:rFonts w:cs="TimesNewRomanPSMT"/>
              </w:rPr>
            </w:pPr>
            <w:r>
              <w:rPr>
                <w:rFonts w:cs="TimesNewRomanPSMT"/>
              </w:rPr>
              <w:t>I – o primeiro grupo é constituído de cinco dígitos, referentes ao código numérico atribuído</w:t>
            </w:r>
          </w:p>
          <w:p>
            <w:pPr>
              <w:pStyle w:val="Normal"/>
              <w:spacing w:lineRule="auto" w:line="240" w:before="0" w:after="0"/>
              <w:rPr>
                <w:rFonts w:cs="TimesNewRomanPSMT"/>
              </w:rPr>
            </w:pPr>
            <w:r>
              <w:rPr>
                <w:rFonts w:cs="TimesNewRomanPSMT"/>
              </w:rPr>
              <w:t>a cada unidade protocolizadora que identifica o órgão de origem do processo, mantendo-se</w:t>
            </w:r>
          </w:p>
          <w:p>
            <w:pPr>
              <w:pStyle w:val="Normal"/>
              <w:spacing w:lineRule="auto" w:line="240" w:before="0" w:after="0"/>
              <w:rPr>
                <w:rFonts w:cs="TimesNewRomanPSMT"/>
              </w:rPr>
            </w:pPr>
            <w:r>
              <w:rPr>
                <w:rFonts w:cs="TimesNewRomanPSMT"/>
              </w:rPr>
              <w:t>inalterado, de acordo com as faixas numéricas determinadas no art. 3;</w:t>
            </w:r>
          </w:p>
          <w:p>
            <w:pPr>
              <w:pStyle w:val="Normal"/>
              <w:spacing w:lineRule="auto" w:line="240" w:before="0" w:after="0"/>
              <w:rPr>
                <w:rFonts w:cs="TimesNewRomanPSMT"/>
              </w:rPr>
            </w:pPr>
            <w:r>
              <w:rPr>
                <w:rFonts w:cs="TimesNewRomanPSMT"/>
              </w:rPr>
              <w:t>23000 a 23999 – MINISTÉRIO DA EDUCAÇÃO</w:t>
            </w:r>
          </w:p>
          <w:p>
            <w:pPr>
              <w:pStyle w:val="Normal"/>
              <w:tabs>
                <w:tab w:val="left" w:pos="1406" w:leader="none"/>
              </w:tabs>
              <w:spacing w:lineRule="auto" w:line="240" w:before="0" w:after="0"/>
              <w:rPr>
                <w:rFonts w:cs="TimesNewRomanPSMT"/>
              </w:rPr>
            </w:pPr>
            <w:r>
              <w:rPr>
                <w:rFonts w:cs="TimesNewRomanPS-BoldMT"/>
                <w:b/>
                <w:bCs/>
              </w:rPr>
              <w:t>23086</w:t>
            </w:r>
            <w:bookmarkStart w:id="0" w:name="_GoBack"/>
            <w:bookmarkEnd w:id="0"/>
            <w:r>
              <w:rPr>
                <w:rFonts w:cs="TimesNewRomanPSMT"/>
              </w:rPr>
              <w:t>. 000000 – UNIVERSIDADE FEDERAL DOS VALES DO JEQUITINHONHA E MUCURI – UFVJM</w:t>
            </w:r>
          </w:p>
          <w:p>
            <w:pPr>
              <w:pStyle w:val="Normal"/>
              <w:tabs>
                <w:tab w:val="left" w:pos="1406" w:leader="none"/>
              </w:tabs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19389" w:hRule="atLeast"/>
        </w:trPr>
        <w:tc>
          <w:tcPr>
            <w:tcW w:w="106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b/>
                <w:b/>
              </w:rPr>
            </w:pPr>
            <w:r>
              <w:drawing>
                <wp:anchor behindDoc="0" distT="0" distB="0" distL="114300" distR="114300" simplePos="0" locked="0" layoutInCell="1" allowOverlap="1" relativeHeight="4">
                  <wp:simplePos x="0" y="0"/>
                  <wp:positionH relativeFrom="margin">
                    <wp:posOffset>-70485</wp:posOffset>
                  </wp:positionH>
                  <wp:positionV relativeFrom="margin">
                    <wp:posOffset>293370</wp:posOffset>
                  </wp:positionV>
                  <wp:extent cx="6612890" cy="7775575"/>
                  <wp:effectExtent l="0" t="0" r="0" b="0"/>
                  <wp:wrapSquare wrapText="bothSides"/>
                  <wp:docPr id="6" name="Imagem 6" descr="D:\SANDRA\POP\DIVISÃO DE PROTOCOLO\FICHAMENTO DE PROCESS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m 6" descr="D:\SANDRA\POP\DIVISÃO DE PROTOCOLO\FICHAMENTO DE PROCESS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12890" cy="7775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</w:rPr>
              <w:t>F</w:t>
            </w:r>
            <w:r>
              <w:rPr>
                <w:b/>
              </w:rPr>
              <w:t>luxograma do processo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/>
        <w:tc>
          <w:tcPr>
            <w:tcW w:w="106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  <w:t>Elaboração, aprovação, publicação, revisão</w:t>
            </w:r>
          </w:p>
        </w:tc>
      </w:tr>
      <w:tr>
        <w:trPr/>
        <w:tc>
          <w:tcPr>
            <w:tcW w:w="106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spacing w:before="0" w:after="0"/>
              <w:contextualSpacing/>
              <w:rPr/>
            </w:pPr>
            <w:r>
              <w:rPr/>
            </w:r>
          </w:p>
          <w:tbl>
            <w:tblPr>
              <w:tblStyle w:val="Tabelacomgrade"/>
              <w:tblW w:w="9944" w:type="dxa"/>
              <w:jc w:val="left"/>
              <w:tblInd w:w="137" w:type="dxa"/>
              <w:tblCellMar>
                <w:top w:w="0" w:type="dxa"/>
                <w:left w:w="98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1418"/>
              <w:gridCol w:w="1132"/>
              <w:gridCol w:w="5246"/>
              <w:gridCol w:w="2147"/>
            </w:tblGrid>
            <w:tr>
              <w:trPr/>
              <w:tc>
                <w:tcPr>
                  <w:tcW w:w="1418" w:type="dxa"/>
                  <w:tcBorders/>
                  <w:shd w:fill="auto" w:val="clear"/>
                  <w:tcMar>
                    <w:left w:w="98" w:type="dxa"/>
                  </w:tcMar>
                </w:tcPr>
                <w:tbl>
                  <w:tblPr>
                    <w:tblW w:w="1699" w:type="dxa"/>
                    <w:jc w:val="left"/>
                    <w:tblInd w:w="0" w:type="dxa"/>
                    <w:tblBorders/>
                    <w:tblCellMar>
                      <w:top w:w="0" w:type="dxa"/>
                      <w:left w:w="108" w:type="dxa"/>
                      <w:bottom w:w="0" w:type="dxa"/>
                      <w:right w:w="108" w:type="dxa"/>
                    </w:tblCellMar>
                    <w:tblLook w:firstRow="0" w:noVBand="0" w:lastRow="0" w:firstColumn="0" w:lastColumn="0" w:noHBand="0" w:val="0000"/>
                  </w:tblPr>
                  <w:tblGrid>
                    <w:gridCol w:w="991"/>
                    <w:gridCol w:w="236"/>
                    <w:gridCol w:w="236"/>
                    <w:gridCol w:w="235"/>
                  </w:tblGrid>
                  <w:tr>
                    <w:trPr>
                      <w:trHeight w:val="280" w:hRule="atLeast"/>
                    </w:trPr>
                    <w:tc>
                      <w:tcPr>
                        <w:tcW w:w="991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ind w:right="0" w:hanging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 xml:space="preserve">Atividade </w:t>
                        </w:r>
                      </w:p>
                    </w:tc>
                    <w:tc>
                      <w:tcPr>
                        <w:tcW w:w="236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236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235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</w:tr>
                </w:tbl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113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9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Data</w:t>
                  </w:r>
                </w:p>
              </w:tc>
              <w:tc>
                <w:tcPr>
                  <w:tcW w:w="524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9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Nome</w:t>
                  </w:r>
                </w:p>
              </w:tc>
              <w:tc>
                <w:tcPr>
                  <w:tcW w:w="214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9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Função</w:t>
                  </w:r>
                </w:p>
              </w:tc>
            </w:tr>
            <w:tr>
              <w:trPr/>
              <w:tc>
                <w:tcPr>
                  <w:tcW w:w="141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9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Data da elaboração</w:t>
                  </w:r>
                </w:p>
              </w:tc>
              <w:tc>
                <w:tcPr>
                  <w:tcW w:w="113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9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</w:r>
                </w:p>
              </w:tc>
              <w:tc>
                <w:tcPr>
                  <w:tcW w:w="524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9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xxxxxxxxxx</w:t>
                  </w:r>
                </w:p>
              </w:tc>
              <w:tc>
                <w:tcPr>
                  <w:tcW w:w="214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9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Pró-reitora</w:t>
                  </w:r>
                </w:p>
              </w:tc>
            </w:tr>
            <w:tr>
              <w:trPr/>
              <w:tc>
                <w:tcPr>
                  <w:tcW w:w="141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9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Data da aprovação</w:t>
                  </w:r>
                </w:p>
              </w:tc>
              <w:tc>
                <w:tcPr>
                  <w:tcW w:w="113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9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524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9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214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9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41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9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Data da publicação</w:t>
                  </w:r>
                </w:p>
              </w:tc>
              <w:tc>
                <w:tcPr>
                  <w:tcW w:w="113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9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524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9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214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9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41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9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Data da revisão</w:t>
                  </w:r>
                </w:p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</w:r>
                </w:p>
              </w:tc>
              <w:tc>
                <w:tcPr>
                  <w:tcW w:w="113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9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524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9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214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9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</w:tr>
          </w:tbl>
          <w:p>
            <w:pPr>
              <w:pStyle w:val="ListParagraph"/>
              <w:spacing w:before="0" w:after="0"/>
              <w:contextualSpacing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  <w:p>
            <w:pPr>
              <w:pStyle w:val="Normal"/>
              <w:spacing w:before="0" w:after="0"/>
              <w:rPr/>
            </w:pPr>
            <w:r>
              <w:rPr/>
            </w:r>
          </w:p>
        </w:tc>
      </w:tr>
      <w:tr>
        <w:trPr/>
        <w:tc>
          <w:tcPr>
            <w:tcW w:w="106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  <w:t>Histórico de revisões</w:t>
            </w:r>
          </w:p>
        </w:tc>
      </w:tr>
      <w:tr>
        <w:trPr>
          <w:trHeight w:val="1570" w:hRule="atLeast"/>
        </w:trPr>
        <w:tc>
          <w:tcPr>
            <w:tcW w:w="106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spacing w:before="0" w:after="0"/>
              <w:contextualSpacing/>
              <w:rPr/>
            </w:pPr>
            <w:r>
              <w:rPr/>
            </w:r>
          </w:p>
          <w:tbl>
            <w:tblPr>
              <w:tblStyle w:val="Tabelacomgrade"/>
              <w:tblW w:w="9802" w:type="dxa"/>
              <w:jc w:val="left"/>
              <w:tblInd w:w="279" w:type="dxa"/>
              <w:tblCellMar>
                <w:top w:w="0" w:type="dxa"/>
                <w:left w:w="98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1134"/>
              <w:gridCol w:w="992"/>
              <w:gridCol w:w="5528"/>
              <w:gridCol w:w="2147"/>
            </w:tblGrid>
            <w:tr>
              <w:trPr/>
              <w:tc>
                <w:tcPr>
                  <w:tcW w:w="1134" w:type="dxa"/>
                  <w:tcBorders/>
                  <w:shd w:fill="auto" w:val="clear"/>
                  <w:tcMar>
                    <w:left w:w="98" w:type="dxa"/>
                  </w:tcMar>
                </w:tcPr>
                <w:tbl>
                  <w:tblPr>
                    <w:tblW w:w="1699" w:type="dxa"/>
                    <w:jc w:val="left"/>
                    <w:tblInd w:w="0" w:type="dxa"/>
                    <w:tblBorders/>
                    <w:tblCellMar>
                      <w:top w:w="0" w:type="dxa"/>
                      <w:left w:w="108" w:type="dxa"/>
                      <w:bottom w:w="0" w:type="dxa"/>
                      <w:right w:w="108" w:type="dxa"/>
                    </w:tblCellMar>
                    <w:tblLook w:firstRow="0" w:noVBand="0" w:lastRow="0" w:firstColumn="0" w:lastColumn="0" w:noHBand="0" w:val="0000"/>
                  </w:tblPr>
                  <w:tblGrid>
                    <w:gridCol w:w="991"/>
                    <w:gridCol w:w="236"/>
                    <w:gridCol w:w="236"/>
                    <w:gridCol w:w="235"/>
                  </w:tblGrid>
                  <w:tr>
                    <w:trPr>
                      <w:trHeight w:val="280" w:hRule="atLeast"/>
                    </w:trPr>
                    <w:tc>
                      <w:tcPr>
                        <w:tcW w:w="991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 xml:space="preserve">Versão </w:t>
                        </w:r>
                      </w:p>
                    </w:tc>
                    <w:tc>
                      <w:tcPr>
                        <w:tcW w:w="236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236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235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</w:tr>
                </w:tbl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9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Data</w:t>
                  </w:r>
                </w:p>
              </w:tc>
              <w:tc>
                <w:tcPr>
                  <w:tcW w:w="552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9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Descrição das mudanças</w:t>
                  </w:r>
                </w:p>
              </w:tc>
              <w:tc>
                <w:tcPr>
                  <w:tcW w:w="214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9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Requisitado por:</w:t>
                  </w:r>
                </w:p>
              </w:tc>
            </w:tr>
            <w:tr>
              <w:trPr/>
              <w:tc>
                <w:tcPr>
                  <w:tcW w:w="113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9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9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552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9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214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9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13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9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9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552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9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214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9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13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9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9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552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9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214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9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</w:tr>
          </w:tbl>
          <w:p>
            <w:pPr>
              <w:pStyle w:val="ListParagraph"/>
              <w:spacing w:before="0" w:after="0"/>
              <w:contextualSpacing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footerReference w:type="default" r:id="rId9"/>
      <w:type w:val="nextPage"/>
      <w:pgSz w:w="11906" w:h="16838"/>
      <w:pgMar w:left="720" w:right="720" w:header="0" w:top="720" w:footer="708" w:bottom="765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  <w:font w:name="Lao UI">
    <w:charset w:val="00"/>
    <w:family w:val="roman"/>
    <w:pitch w:val="variable"/>
  </w:font>
  <w:font w:name="Arial Narrow">
    <w:charset w:val="00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  <w:docPartGallery w:val="Page Numbers (Top of Page)"/>
        <w:docPartUnique w:val="true"/>
      </w:docPartObj>
      <w:id w:val="332773693"/>
    </w:sdtPr>
    <w:sdtContent>
      <w:p>
        <w:pPr>
          <w:pStyle w:val="Rodap"/>
          <w:jc w:val="right"/>
          <w:rPr>
            <w:color w:val="76923C" w:themeColor="accent3" w:themeShade="bf"/>
          </w:rPr>
        </w:pPr>
        <w:r>
          <w:rPr>
            <w:color w:val="76923C" w:themeColor="accent3" w:themeShade="bf"/>
          </w:rPr>
          <w:t>_______________________________________________________________________________________________</w:t>
        </w:r>
      </w:p>
      <w:p>
        <w:pPr>
          <w:pStyle w:val="Rodap"/>
          <w:jc w:val="right"/>
          <w:rPr/>
        </w:pPr>
        <w:r>
          <w:rPr/>
          <w:t xml:space="preserve">Página </w:t>
        </w:r>
        <w:r>
          <w:rPr/>
          <w:fldChar w:fldCharType="begin"/>
        </w:r>
        <w:r>
          <w:instrText> PAGE </w:instrText>
        </w:r>
        <w:r>
          <w:fldChar w:fldCharType="separate"/>
        </w:r>
        <w:r>
          <w:t>6</w:t>
        </w:r>
        <w:r>
          <w:fldChar w:fldCharType="end"/>
        </w:r>
        <w:r>
          <w:rPr/>
          <w:t xml:space="preserve"> de </w:t>
        </w:r>
        <w:r>
          <w:rPr/>
          <w:fldChar w:fldCharType="begin"/>
        </w:r>
        <w:r>
          <w:instrText> NUMPAGES </w:instrText>
        </w:r>
        <w:r>
          <w:fldChar w:fldCharType="separate"/>
        </w:r>
        <w:r>
          <w:t>6</w:t>
        </w:r>
        <w:r>
          <w:fldChar w:fldCharType="end"/>
        </w:r>
      </w:p>
    </w:sdtContent>
  </w:sdt>
  <w:p>
    <w:pPr>
      <w:pStyle w:val="Standard"/>
      <w:ind w:left="0" w:right="0" w:hanging="0"/>
      <w:jc w:val="center"/>
      <w:rPr>
        <w:rFonts w:ascii="Arial Narrow" w:hAnsi="Arial Narrow" w:cs="Arial Narrow"/>
        <w:sz w:val="14"/>
        <w:szCs w:val="14"/>
      </w:rPr>
    </w:pPr>
    <w:r>
      <w:rPr>
        <w:rFonts w:cs="Arial Narrow" w:ascii="Arial Narrow" w:hAnsi="Arial Narrow"/>
        <w:sz w:val="14"/>
        <w:szCs w:val="14"/>
      </w:rPr>
      <w:t>PROAD/UFVJM:  Rodovia MGT 367- km 583, nº 5000 – Alto da Jacuba / CEP: 39100-000  Diamantina-MG-Brasil / PABX: (38) 3532-1256</w:t>
    </w:r>
  </w:p>
  <w:p>
    <w:pPr>
      <w:pStyle w:val="Rodap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decimal"/>
      <w:lvlText w:val="%1-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lvl w:ilvl="0">
      <w:start w:val="4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0"/>
        <w:b/>
        <w:rFonts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4">
    <w:lvl w:ilvl="0">
      <w:start w:val="2"/>
      <w:numFmt w:val="decimal"/>
      <w:lvlText w:val="%1-"/>
      <w:lvlJc w:val="left"/>
      <w:pPr>
        <w:ind w:left="107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790" w:hanging="360"/>
      </w:pPr>
    </w:lvl>
    <w:lvl w:ilvl="2">
      <w:start w:val="1"/>
      <w:numFmt w:val="lowerRoman"/>
      <w:lvlText w:val="%3."/>
      <w:lvlJc w:val="right"/>
      <w:pPr>
        <w:ind w:left="2510" w:hanging="180"/>
      </w:pPr>
    </w:lvl>
    <w:lvl w:ilvl="3">
      <w:start w:val="1"/>
      <w:numFmt w:val="decimal"/>
      <w:lvlText w:val="%4."/>
      <w:lvlJc w:val="left"/>
      <w:pPr>
        <w:ind w:left="3230" w:hanging="360"/>
      </w:pPr>
    </w:lvl>
    <w:lvl w:ilvl="4">
      <w:start w:val="1"/>
      <w:numFmt w:val="lowerLetter"/>
      <w:lvlText w:val="%5."/>
      <w:lvlJc w:val="left"/>
      <w:pPr>
        <w:ind w:left="3950" w:hanging="360"/>
      </w:pPr>
    </w:lvl>
    <w:lvl w:ilvl="5">
      <w:start w:val="1"/>
      <w:numFmt w:val="lowerRoman"/>
      <w:lvlText w:val="%6."/>
      <w:lvlJc w:val="right"/>
      <w:pPr>
        <w:ind w:left="4670" w:hanging="180"/>
      </w:pPr>
    </w:lvl>
    <w:lvl w:ilvl="6">
      <w:start w:val="1"/>
      <w:numFmt w:val="decimal"/>
      <w:lvlText w:val="%7."/>
      <w:lvlJc w:val="left"/>
      <w:pPr>
        <w:ind w:left="5390" w:hanging="360"/>
      </w:pPr>
    </w:lvl>
    <w:lvl w:ilvl="7">
      <w:start w:val="1"/>
      <w:numFmt w:val="lowerLetter"/>
      <w:lvlText w:val="%8."/>
      <w:lvlJc w:val="left"/>
      <w:pPr>
        <w:ind w:left="6110" w:hanging="360"/>
      </w:pPr>
    </w:lvl>
    <w:lvl w:ilvl="8">
      <w:start w:val="1"/>
      <w:numFmt w:val="lowerRoman"/>
      <w:lvlText w:val="%9."/>
      <w:lvlJc w:val="right"/>
      <w:pPr>
        <w:ind w:left="6830" w:hanging="180"/>
      </w:pPr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a263da"/>
    <w:rPr>
      <w:rFonts w:ascii="Tahoma" w:hAnsi="Tahoma" w:cs="Tahoma"/>
      <w:sz w:val="16"/>
      <w:szCs w:val="16"/>
    </w:rPr>
  </w:style>
  <w:style w:type="character" w:styleId="CabealhoChar" w:customStyle="1">
    <w:name w:val="Cabeçalho Char"/>
    <w:basedOn w:val="DefaultParagraphFont"/>
    <w:link w:val="Cabealho"/>
    <w:uiPriority w:val="99"/>
    <w:qFormat/>
    <w:rsid w:val="00132ef1"/>
    <w:rPr/>
  </w:style>
  <w:style w:type="character" w:styleId="RodapChar" w:customStyle="1">
    <w:name w:val="Rodapé Char"/>
    <w:basedOn w:val="DefaultParagraphFont"/>
    <w:link w:val="Rodap"/>
    <w:uiPriority w:val="99"/>
    <w:qFormat/>
    <w:rsid w:val="00132ef1"/>
    <w:rPr/>
  </w:style>
  <w:style w:type="character" w:styleId="WW8Num1ztrue" w:customStyle="1">
    <w:name w:val="WW8Num1ztrue"/>
    <w:qFormat/>
    <w:rsid w:val="00172fbc"/>
    <w:rPr/>
  </w:style>
  <w:style w:type="character" w:styleId="LinkdaInternet">
    <w:name w:val="Link da Internet"/>
    <w:basedOn w:val="DefaultParagraphFont"/>
    <w:uiPriority w:val="99"/>
    <w:unhideWhenUsed/>
    <w:rsid w:val="00160f39"/>
    <w:rPr>
      <w:color w:val="0000FF" w:themeColor="hyperlink"/>
      <w:u w:val="single"/>
    </w:rPr>
  </w:style>
  <w:style w:type="character" w:styleId="Appleconvertedspace" w:customStyle="1">
    <w:name w:val="apple-converted-space"/>
    <w:basedOn w:val="DefaultParagraphFont"/>
    <w:qFormat/>
    <w:rsid w:val="00e6713c"/>
    <w:rPr/>
  </w:style>
  <w:style w:type="character" w:styleId="Nfase">
    <w:name w:val="Ênfase"/>
    <w:basedOn w:val="DefaultParagraphFont"/>
    <w:uiPriority w:val="20"/>
    <w:qFormat/>
    <w:rsid w:val="00e6713c"/>
    <w:rPr>
      <w:i/>
      <w:iCs/>
    </w:rPr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Arial"/>
      <w:color w:val="000000"/>
      <w:sz w:val="21"/>
    </w:rPr>
  </w:style>
  <w:style w:type="character" w:styleId="ListLabel5">
    <w:name w:val="ListLabel 5"/>
    <w:qFormat/>
    <w:rPr>
      <w:rFonts w:eastAsia="Calibri" w:cs="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eastAsia="Calibri" w:cs=""/>
    </w:rPr>
  </w:style>
  <w:style w:type="character" w:styleId="ListLabel10">
    <w:name w:val="ListLabel 10"/>
    <w:qFormat/>
    <w:rPr>
      <w:rFonts w:cs="Courier New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Courier New"/>
    </w:rPr>
  </w:style>
  <w:style w:type="character" w:styleId="ListLabel13">
    <w:name w:val="ListLabel 13"/>
    <w:qFormat/>
    <w:rPr>
      <w:rFonts w:eastAsia="Calibri" w:cs=""/>
    </w:rPr>
  </w:style>
  <w:style w:type="character" w:styleId="ListLabel14">
    <w:name w:val="ListLabel 14"/>
    <w:qFormat/>
    <w:rPr>
      <w:rFonts w:cs="Courier New"/>
    </w:rPr>
  </w:style>
  <w:style w:type="character" w:styleId="ListLabel15">
    <w:name w:val="ListLabel 15"/>
    <w:qFormat/>
    <w:rPr>
      <w:rFonts w:cs="Courier New"/>
    </w:rPr>
  </w:style>
  <w:style w:type="character" w:styleId="ListLabel16">
    <w:name w:val="ListLabel 16"/>
    <w:qFormat/>
    <w:rPr>
      <w:rFonts w:cs="Courier New"/>
    </w:rPr>
  </w:style>
  <w:style w:type="character" w:styleId="ListLabel17">
    <w:name w:val="ListLabel 17"/>
    <w:qFormat/>
    <w:rPr>
      <w:rFonts w:ascii="Times New Roman" w:hAnsi="Times New Roman" w:eastAsia="Times New Roman" w:cs="Times New Roman"/>
      <w:b/>
      <w:sz w:val="20"/>
    </w:rPr>
  </w:style>
  <w:style w:type="character" w:styleId="ListLabel18">
    <w:name w:val="ListLabel 18"/>
    <w:qFormat/>
    <w:rPr>
      <w:rFonts w:cs="Courier New"/>
    </w:rPr>
  </w:style>
  <w:style w:type="character" w:styleId="ListLabel19">
    <w:name w:val="ListLabel 19"/>
    <w:qFormat/>
    <w:rPr>
      <w:rFonts w:cs="Courier New"/>
    </w:rPr>
  </w:style>
  <w:style w:type="character" w:styleId="ListLabel20">
    <w:name w:val="ListLabel 20"/>
    <w:qFormat/>
    <w:rPr>
      <w:rFonts w:cs="Courier New"/>
    </w:rPr>
  </w:style>
  <w:style w:type="character" w:styleId="ListLabel21">
    <w:name w:val="ListLabel 21"/>
    <w:qFormat/>
    <w:rPr>
      <w:b/>
    </w:rPr>
  </w:style>
  <w:style w:type="character" w:styleId="ListLabel22">
    <w:name w:val="ListLabel 22"/>
    <w:qFormat/>
    <w:rPr>
      <w:rFonts w:ascii="Times New Roman" w:hAnsi="Times New Roman" w:cs="Times New Roman"/>
      <w:b/>
      <w:sz w:val="20"/>
    </w:rPr>
  </w:style>
  <w:style w:type="character" w:styleId="ListLabel23">
    <w:name w:val="ListLabel 23"/>
    <w:qFormat/>
    <w:rPr>
      <w:rFonts w:cs="Courier New"/>
    </w:rPr>
  </w:style>
  <w:style w:type="character" w:styleId="ListLabel24">
    <w:name w:val="ListLabel 24"/>
    <w:qFormat/>
    <w:rPr>
      <w:rFonts w:cs="Wingdings"/>
    </w:rPr>
  </w:style>
  <w:style w:type="character" w:styleId="ListLabel25">
    <w:name w:val="ListLabel 25"/>
    <w:qFormat/>
    <w:rPr>
      <w:rFonts w:cs="Symbol"/>
    </w:rPr>
  </w:style>
  <w:style w:type="character" w:styleId="ListLabel26">
    <w:name w:val="ListLabel 26"/>
    <w:qFormat/>
    <w:rPr>
      <w:rFonts w:cs="Courier New"/>
    </w:rPr>
  </w:style>
  <w:style w:type="character" w:styleId="ListLabel27">
    <w:name w:val="ListLabel 27"/>
    <w:qFormat/>
    <w:rPr>
      <w:rFonts w:cs="Wingdings"/>
    </w:rPr>
  </w:style>
  <w:style w:type="character" w:styleId="ListLabel28">
    <w:name w:val="ListLabel 28"/>
    <w:qFormat/>
    <w:rPr>
      <w:rFonts w:cs="Symbol"/>
    </w:rPr>
  </w:style>
  <w:style w:type="character" w:styleId="ListLabel29">
    <w:name w:val="ListLabel 29"/>
    <w:qFormat/>
    <w:rPr>
      <w:rFonts w:cs="Courier New"/>
    </w:rPr>
  </w:style>
  <w:style w:type="character" w:styleId="ListLabel30">
    <w:name w:val="ListLabel 30"/>
    <w:qFormat/>
    <w:rPr>
      <w:rFonts w:cs="Wingdings"/>
    </w:rPr>
  </w:style>
  <w:style w:type="character" w:styleId="ListLabel31">
    <w:name w:val="ListLabel 31"/>
    <w:qFormat/>
    <w:rPr>
      <w:b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Corpo de texto"/>
    <w:basedOn w:val="Normal"/>
    <w:pPr>
      <w:spacing w:lineRule="auto" w:line="288" w:before="0" w:after="140"/>
    </w:pPr>
    <w:rPr/>
  </w:style>
  <w:style w:type="paragraph" w:styleId="Lista">
    <w:name w:val="Lista"/>
    <w:basedOn w:val="Corpodetexto"/>
    <w:pPr/>
    <w:rPr>
      <w:rFonts w:cs="Mangal"/>
    </w:rPr>
  </w:style>
  <w:style w:type="paragraph" w:styleId="Legenda">
    <w:name w:val="Legenda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Default" w:customStyle="1">
    <w:name w:val="Default"/>
    <w:qFormat/>
    <w:rsid w:val="00a263da"/>
    <w:pPr>
      <w:widowControl/>
      <w:bidi w:val="0"/>
      <w:spacing w:lineRule="auto" w:line="240" w:before="0" w:after="0"/>
      <w:jc w:val="left"/>
    </w:pPr>
    <w:rPr>
      <w:rFonts w:ascii="Verdana" w:hAnsi="Verdana" w:eastAsia="Calibri" w:cs="Verdana"/>
      <w:color w:val="000000"/>
      <w:sz w:val="24"/>
      <w:szCs w:val="24"/>
      <w:lang w:val="pt-BR" w:eastAsia="en-US" w:bidi="ar-SA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a263da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f0753"/>
    <w:pPr>
      <w:spacing w:before="0" w:after="200"/>
      <w:ind w:left="720" w:hanging="0"/>
      <w:contextualSpacing/>
    </w:pPr>
    <w:rPr/>
  </w:style>
  <w:style w:type="paragraph" w:styleId="Cabealho">
    <w:name w:val="Cabeçalho"/>
    <w:basedOn w:val="Normal"/>
    <w:link w:val="CabealhoChar"/>
    <w:uiPriority w:val="99"/>
    <w:unhideWhenUsed/>
    <w:rsid w:val="00132ef1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Rodapé"/>
    <w:basedOn w:val="Normal"/>
    <w:link w:val="RodapChar"/>
    <w:uiPriority w:val="99"/>
    <w:unhideWhenUsed/>
    <w:rsid w:val="00132ef1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Normal1" w:customStyle="1">
    <w:name w:val="Normal1"/>
    <w:qFormat/>
    <w:rsid w:val="00172fbc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0"/>
      <w:sz w:val="24"/>
      <w:szCs w:val="24"/>
      <w:lang w:val="pt-BR" w:eastAsia="zh-CN" w:bidi="ar-SA"/>
    </w:rPr>
  </w:style>
  <w:style w:type="paragraph" w:styleId="Standard" w:customStyle="1">
    <w:name w:val="Standard"/>
    <w:qFormat/>
    <w:rsid w:val="006b7a6e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Times New Roman" w:hAnsi="Times New Roman" w:eastAsia="Lucida Sans Unicode" w:cs="Mangal"/>
      <w:color w:val="00000A"/>
      <w:sz w:val="24"/>
      <w:szCs w:val="24"/>
      <w:lang w:val="pt-BR" w:eastAsia="zh-CN" w:bidi="hi-IN"/>
    </w:rPr>
  </w:style>
  <w:style w:type="numbering" w:styleId="NoList" w:default="1">
    <w:name w:val="No List"/>
    <w:uiPriority w:val="99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a263d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SombreamentoClaro">
    <w:name w:val="Light Shading"/>
    <w:basedOn w:val="Tabelanormal"/>
    <w:uiPriority w:val="60"/>
    <w:rsid w:val="003a1053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hyperlink" Target="mailto:protocolo@ufvjm.edu.br" TargetMode="External"/><Relationship Id="rId5" Type="http://schemas.openxmlformats.org/officeDocument/2006/relationships/image" Target="media/image3.png"/><Relationship Id="rId6" Type="http://schemas.openxmlformats.org/officeDocument/2006/relationships/image" Target="media/image4.png"/><Relationship Id="rId7" Type="http://schemas.openxmlformats.org/officeDocument/2006/relationships/image" Target="media/image5.png"/><Relationship Id="rId8" Type="http://schemas.openxmlformats.org/officeDocument/2006/relationships/image" Target="media/image6.png"/><Relationship Id="rId9" Type="http://schemas.openxmlformats.org/officeDocument/2006/relationships/footer" Target="footer1.xml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<Relationship Id="rId13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481</TotalTime>
  <Application>LibreOffice/5.0.6.3$Windows_x86 LibreOffice_project/490fc03b25318460cfc54456516ea2519c11d1aa</Application>
  <Paragraphs>121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2016-08-30T17:07:00Z</dcterms:created>
  <dc:creator>usuario</dc:creator>
  <dc:language>pt-BR</dc:language>
  <cp:lastPrinted>2016-08-31T14:24:00Z</cp:lastPrinted>
  <dcterms:modified xsi:type="dcterms:W3CDTF">2018-09-05T13:28:49Z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