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76" w:lineRule="auto"/>
        <w:rPr>
          <w:rFonts w:ascii="Arial" w:hAnsi="Arial" w:eastAsia="Arial" w:cs="Arial"/>
          <w:color w:val="000000"/>
          <w:sz w:val="22"/>
          <w:szCs w:val="22"/>
          <w:lang w:val="pt-br"/>
        </w:rPr>
      </w:pPr>
      <w:r>
        <w:rPr>
          <w:rFonts w:ascii="Arial" w:hAnsi="Arial" w:eastAsia="Arial" w:cs="Arial"/>
          <w:color w:val="000000"/>
          <w:sz w:val="22"/>
          <w:szCs w:val="22"/>
          <w:lang w:val="pt-br"/>
        </w:rPr>
      </w:r>
    </w:p>
    <w:tbl>
      <w:tblPr>
        <w:tblStyle w:val="_Style10"/>
        <w:name w:val="Tabela1"/>
        <w:tabOrder w:val="0"/>
        <w:jc w:val="left"/>
        <w:tblInd w:w="0" w:type="dxa"/>
        <w:tblW w:w="9350" w:type="dxa"/>
        <w:tblLook w:val="0600" w:firstRow="0" w:lastRow="0" w:firstColumn="0" w:lastColumn="0" w:noHBand="1" w:noVBand="1"/>
      </w:tblPr>
      <w:tblGrid>
        <w:gridCol w:w="1962"/>
        <w:gridCol w:w="5050"/>
        <w:gridCol w:w="2338"/>
      </w:tblGrid>
      <w:tr>
        <w:trPr>
          <w:tblHeader w:val="0"/>
          <w:cantSplit w:val="0"/>
          <w:trHeight w:val="0" w:hRule="auto"/>
        </w:trPr>
        <w:tc>
          <w:tcPr>
            <w:tcW w:w="196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mTcPr id="1592418430" protected="0"/>
          </w:tcPr>
          <w:p>
            <w:pPr/>
            <w:r/>
          </w:p>
          <w:p>
            <w:pPr/>
            <w:r>
              <w:rPr>
                <w:noProof/>
              </w:rPr>
              <w:drawing>
                <wp:inline distT="0" distB="0" distL="0" distR="0">
                  <wp:extent cx="1085850" cy="828675"/>
                  <wp:effectExtent l="0" t="0" r="0" b="0"/>
                  <wp:docPr id="1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2.png"/>
                          <pic:cNvPicPr>
                            <a:extLst>
                              <a:ext uri="smNativeData">
                                <sm:smNativeData xmlns:sm="smNativeData" val="SMDATA_14_fmDqXh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QAHoAAAAAAAAAEAAAAAAAAAAAAAAAAAAAAAAAAAAAAAAAAAAACuBgAAGQUAAAAAAAAAAAAAAAAAACgAAAAIAAAAAQAAAAEAAAA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82867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</w:p>
        </w:tc>
        <w:tc>
          <w:tcPr>
            <w:tcW w:w="505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mTcPr id="1592418430" protected="0"/>
          </w:tcPr>
          <w:p>
            <w:pPr>
              <w: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UNIVERSIDADE FEDERAL DOS </w:t>
            </w:r>
          </w:p>
          <w:p>
            <w:pPr>
              <w: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VALES DO JEQUITINHONHA E </w:t>
            </w:r>
          </w:p>
          <w:p>
            <w:pPr>
              <w: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MUCURI</w:t>
            </w:r>
          </w:p>
          <w:p>
            <w:pPr>
              <w: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PRÓ-REITORIA DE EXTENSÃO E CULTURA</w:t>
            </w:r>
          </w:p>
          <w:p>
            <w:pPr>
              <w: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www.ufvjm.edu.br</w:t>
            </w:r>
          </w:p>
          <w:p>
            <w:pPr/>
            <w:r/>
          </w:p>
        </w:tc>
        <w:tc>
          <w:tcPr>
            <w:tcW w:w="233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mTcPr id="1592418430" protected="0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171575" cy="1171575"/>
                  <wp:effectExtent l="0" t="0" r="0" b="0"/>
                  <wp:docPr id="2" name="image1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gif"/>
                          <pic:cNvPicPr>
                            <a:extLst>
                              <a:ext uri="smNativeData">
                                <sm:smNativeData xmlns:sm="smNativeData" val="SMDATA_14_fmDqXh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AHoAAAAAAAAAIAAAAAAAAAAAAAAAAAAAAAAAAAAAAAAAAAAAA1BwAANQcAAAAAAAAAAAAAAAAAACgAAAAIAAAAAQAAAAEAAAA=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</w:p>
        </w:tc>
      </w:tr>
    </w:tbl>
    <w:p>
      <w:pPr>
        <w:spacing w:after="160" w:line="259" w:lineRule="auto"/>
        <w:jc w:val="center"/>
        <w:rPr>
          <w:rFonts w:ascii="Calibri" w:hAnsi="Calibri" w:eastAsia="Calibri" w:cs="Calibri"/>
          <w:b/>
          <w:bCs/>
          <w:sz w:val="28"/>
          <w:szCs w:val="28"/>
          <w:lang w:val="pt-br"/>
        </w:rPr>
      </w:pPr>
      <w:r>
        <w:rPr>
          <w:rFonts w:ascii="Calibri" w:hAnsi="Calibri" w:eastAsia="Calibri" w:cs="Calibri"/>
          <w:b/>
          <w:bCs/>
          <w:sz w:val="28"/>
          <w:szCs w:val="28"/>
        </w:rPr>
        <w:t xml:space="preserve">2ª retificação ao </w:t>
      </w:r>
      <w:r>
        <w:rPr>
          <w:rFonts w:ascii="Calibri" w:hAnsi="Calibri" w:eastAsia="Calibri" w:cs="Calibri"/>
          <w:b/>
          <w:bCs/>
          <w:sz w:val="28"/>
          <w:szCs w:val="28"/>
          <w:lang w:val="pt-br"/>
        </w:rPr>
        <w:t>Edital PROEXC 05</w:t>
      </w:r>
      <w:r>
        <w:rPr>
          <w:rFonts w:ascii="Calibri" w:hAnsi="Calibri" w:eastAsia="Calibri" w:cs="Calibri"/>
          <w:b/>
          <w:bCs/>
          <w:sz w:val="28"/>
          <w:szCs w:val="28"/>
          <w:lang w:val="pt-br"/>
        </w:rPr>
        <w:t>/2020 no enfrentamento do Novo Coronavírus</w:t>
      </w:r>
      <w:r>
        <w:rPr>
          <w:rFonts w:ascii="Calibri" w:hAnsi="Calibri" w:eastAsia="Calibri" w:cs="Calibri"/>
          <w:b/>
          <w:bCs/>
          <w:sz w:val="28"/>
          <w:szCs w:val="28"/>
          <w:lang w:val="pt-br"/>
        </w:rPr>
      </w:r>
    </w:p>
    <w:p>
      <w:pPr>
        <w:spacing w:after="160" w:line="259" w:lineRule="auto"/>
        <w:jc w:val="both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ascii="Calibri" w:hAnsi="Calibri" w:eastAsia="Calibri" w:cs="Calibri"/>
          <w:sz w:val="24"/>
          <w:szCs w:val="24"/>
          <w:lang w:val="pt-br"/>
        </w:rPr>
        <w:t>A Universidade Federal dos Vales do Jequitinhonha e Mucuri (UFVJM), por meio da Pró-Reitoria de Extensão e Cultura (PROEXC), torna públicas as seguintes retificações do Edital PROEXC 05/2020:</w:t>
      </w:r>
    </w:p>
    <w:p>
      <w:pPr>
        <w:rPr>
          <w:rFonts w:ascii="Calibri" w:hAnsi="Calibri" w:eastAsia="Calibri" w:cs="Calibri"/>
          <w:color w:val="000000"/>
          <w:sz w:val="24"/>
          <w:szCs w:val="24"/>
          <w:lang w:val="pt-br"/>
        </w:rPr>
      </w:pPr>
      <w:r>
        <w:rPr>
          <w:rFonts w:ascii="Calibri" w:hAnsi="Calibri" w:eastAsia="Calibri" w:cs="Calibri"/>
          <w:sz w:val="24"/>
          <w:szCs w:val="24"/>
        </w:rPr>
        <w:t>O</w:t>
      </w:r>
      <w:r>
        <w:rPr>
          <w:rFonts w:ascii="Calibri" w:hAnsi="Calibri" w:eastAsia="Calibri" w:cs="Calibri"/>
          <w:color w:val="000000"/>
          <w:sz w:val="24"/>
          <w:szCs w:val="24"/>
          <w:lang w:val="pt-br"/>
        </w:rPr>
        <w:t>nde</w:t>
      </w:r>
      <w:r>
        <w:rPr>
          <w:rFonts w:ascii="Calibri" w:hAnsi="Calibri" w:eastAsia="Calibri" w:cs="Calibri"/>
          <w:color w:val="000000"/>
          <w:sz w:val="24"/>
          <w:szCs w:val="24"/>
          <w:lang w:val="pt-br"/>
        </w:rPr>
        <w:t xml:space="preserve"> se lê:</w:t>
      </w:r>
      <w:r>
        <w:rPr>
          <w:rFonts w:ascii="Calibri" w:hAnsi="Calibri" w:eastAsia="Calibri" w:cs="Calibri"/>
          <w:color w:val="000000"/>
          <w:sz w:val="24"/>
          <w:szCs w:val="24"/>
          <w:lang w:val="pt-br"/>
        </w:rPr>
      </w:r>
    </w:p>
    <w:p>
      <w:pPr>
        <w:spacing w:after="160" w:line="259" w:lineRule="auto"/>
        <w:jc w:val="both"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lang w:val="pt-br"/>
        </w:rPr>
        <w:t xml:space="preserve">5.1.3. Os materiais para confecção das máscaras devem estar em conformidade com o (Anexo 2). </w:t>
      </w:r>
      <w:r>
        <w:rPr>
          <w:rFonts w:ascii="Calibri" w:hAnsi="Calibri" w:eastAsia="Calibri" w:cs="Calibri"/>
          <w:b/>
          <w:bCs/>
          <w:sz w:val="24"/>
          <w:szCs w:val="24"/>
        </w:rPr>
        <w:t>É preciso que as máscaras sejam confeccionadas com uma dupla camada de tecido, uma interna e outra externa.</w:t>
      </w:r>
    </w:p>
    <w:p>
      <w:pPr>
        <w:spacing w:after="160" w:line="259" w:lineRule="auto"/>
        <w:jc w:val="both"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>Leia-se:</w:t>
      </w:r>
    </w:p>
    <w:p>
      <w:pPr>
        <w:spacing w:after="160" w:line="259" w:lineRule="auto"/>
        <w:jc w:val="both"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lang w:val="pt-br"/>
        </w:rPr>
        <w:t xml:space="preserve">5.1.3. Os materiais para confecção das máscaras devem estar em conformidade com o (Anexo 2). </w:t>
      </w:r>
      <w:r>
        <w:rPr>
          <w:rFonts w:ascii="Calibri" w:hAnsi="Calibri" w:eastAsia="Calibri" w:cs="Calibri"/>
          <w:b/>
          <w:bCs/>
          <w:sz w:val="24"/>
          <w:szCs w:val="24"/>
        </w:rPr>
        <w:t>Segundo as intruções da OMS, é preciso que as máscaras sejam confeccionadas com uma tripla camada de tecido, uma externa de tecido hidrofóbico, uma média de tecido filtrante e uma interna de tecido absorvente.</w:t>
      </w:r>
    </w:p>
    <w:p>
      <w:pPr>
        <w:spacing w:after="160" w:line="259" w:lineRule="auto"/>
        <w:jc w:val="both"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b/>
          <w:bCs/>
          <w:color w:val="000000"/>
          <w:sz w:val="24"/>
          <w:szCs w:val="24"/>
        </w:rPr>
      </w:pPr>
      <w:r>
        <w:rPr>
          <w:rFonts w:ascii="Calibri" w:hAnsi="Calibri" w:eastAsia="Calibri" w:cs="Calibri"/>
          <w:b/>
          <w:bCs/>
          <w:color w:val="000000"/>
          <w:sz w:val="24"/>
          <w:szCs w:val="24"/>
        </w:rPr>
        <w:t>Qualquer necessidade de esclarecimento sobre o referido edital usar o e-mail: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b/>
          <w:bCs/>
          <w:color w:val="000000"/>
          <w:sz w:val="24"/>
          <w:szCs w:val="24"/>
        </w:rPr>
      </w:pPr>
      <w:r>
        <w:rPr>
          <w:rFonts w:ascii="Calibri" w:hAnsi="Calibri" w:eastAsia="Calibri" w:cs="Calibri"/>
          <w:b/>
          <w:bCs/>
          <w:color w:val="000000"/>
          <w:sz w:val="24"/>
          <w:szCs w:val="24"/>
        </w:rPr>
        <w:t xml:space="preserve"> </w:t>
      </w:r>
      <w:hyperlink r:id="rId9" w:history="1">
        <w:r>
          <w:rPr>
            <w:rStyle w:val="char1"/>
            <w:rFonts w:ascii="Calibri" w:hAnsi="Calibri" w:eastAsia="Calibri" w:cs="Calibri"/>
            <w:b/>
            <w:bCs/>
            <w:sz w:val="24"/>
            <w:szCs w:val="24"/>
          </w:rPr>
          <w:t>editais.proexc@ufvjm.edu.br</w:t>
        </w:r>
      </w:hyperlink>
      <w:r>
        <w:rPr>
          <w:rFonts w:ascii="Calibri" w:hAnsi="Calibri" w:eastAsia="Calibri" w:cs="Calibri"/>
          <w:b/>
          <w:bCs/>
          <w:color w:val="000000"/>
          <w:sz w:val="24"/>
          <w:szCs w:val="24"/>
        </w:rPr>
        <w:t>&gt;.</w:t>
      </w:r>
      <w:r>
        <w:rPr>
          <w:rFonts w:ascii="Calibri" w:hAnsi="Calibri" w:eastAsia="Calibri" w:cs="Calibri"/>
          <w:b/>
          <w:bCs/>
          <w:color w:val="000000"/>
          <w:sz w:val="24"/>
          <w:szCs w:val="24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sz w:val="24"/>
          <w:szCs w:val="24"/>
          <w:lang w:val="pt-br"/>
        </w:rPr>
      </w:pPr>
      <w:r>
        <w:br w:type="textWrapping"/>
      </w:r>
      <w:r>
        <w:rPr>
          <w:rFonts w:ascii="Calibri" w:hAnsi="Calibri" w:eastAsia="Calibri" w:cs="Calibri"/>
          <w:sz w:val="24"/>
          <w:szCs w:val="24"/>
          <w:lang w:val="pt-br"/>
        </w:rPr>
        <w:t>Diamantina, 15 de junho de 2020.</w:t>
      </w:r>
      <w:r>
        <w:rPr>
          <w:rFonts w:ascii="Calibri" w:hAnsi="Calibri" w:eastAsia="Calibri" w:cs="Calibri"/>
          <w:sz w:val="24"/>
          <w:szCs w:val="24"/>
          <w:lang w:val="pt-br"/>
        </w:rPr>
      </w:r>
    </w:p>
    <w:p>
      <w:pPr>
        <w:spacing w:line="259" w:lineRule="auto"/>
        <w:jc w:val="center"/>
        <w:rPr>
          <w:rFonts w:ascii="Calibri" w:hAnsi="Calibri" w:eastAsia="Calibri" w:cs="Calibri"/>
          <w:color w:val="000000"/>
          <w:sz w:val="24"/>
          <w:szCs w:val="24"/>
          <w:lang w:val="pt-br"/>
        </w:rPr>
      </w:pPr>
      <w:r/>
      <w:r>
        <w:rPr>
          <w:noProof/>
        </w:rPr>
        <w:drawing>
          <wp:inline distT="0" distB="0" distL="0" distR="0">
            <wp:extent cx="1496060" cy="486410"/>
            <wp:effectExtent l="0" t="0" r="0" b="0"/>
            <wp:docPr id="3" name="Image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1"/>
                    <pic:cNvPicPr>
                      <a:picLocks noChangeAspect="1"/>
                      <a:extLst>
                        <a:ext uri="smNativeData">
                          <sm:smNativeData xmlns:sm="smNativeData" val="SMDATA_14_fmDqX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EoAAAAHogAAAAAAAAAAAAAAAAAAAAAAAK4SAAAAAAAAAAAAAKApAAA0CQAA/gIAAAAAAACuEgAAoCkAACgAAAAIAAAAAQAAAAEAAAA="/>
                        </a:ext>
                      </a:extLst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96060" cy="4864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rFonts w:ascii="Calibri" w:hAnsi="Calibri" w:eastAsia="Calibri" w:cs="Calibri"/>
          <w:color w:val="000000"/>
          <w:sz w:val="24"/>
          <w:szCs w:val="24"/>
          <w:lang w:val="pt-br"/>
        </w:rPr>
      </w:r>
    </w:p>
    <w:p>
      <w:pPr>
        <w:spacing w:line="259" w:lineRule="auto"/>
        <w:jc w:val="center"/>
        <w:rPr>
          <w:rFonts w:ascii="Calibri" w:hAnsi="Calibri" w:eastAsia="Calibri" w:cs="Calibri"/>
          <w:color w:val="000000"/>
          <w:sz w:val="24"/>
          <w:szCs w:val="24"/>
          <w:lang w:val="pt-br"/>
        </w:rPr>
      </w:pPr>
      <w:r>
        <w:rPr>
          <w:rFonts w:ascii="Calibri" w:hAnsi="Calibri" w:eastAsia="Calibri" w:cs="Calibri"/>
          <w:color w:val="000000"/>
          <w:sz w:val="24"/>
          <w:szCs w:val="24"/>
          <w:lang w:val="pt-br"/>
        </w:rPr>
        <w:t>Profª. Dr.ª Cristiane Tolentino Machado</w:t>
      </w:r>
    </w:p>
    <w:p>
      <w:pPr>
        <w:spacing w:line="259" w:lineRule="auto"/>
        <w:jc w:val="center"/>
        <w:rPr>
          <w:rFonts w:ascii="Calibri" w:hAnsi="Calibri" w:eastAsia="Calibri" w:cs="Calibri"/>
          <w:color w:val="000000"/>
          <w:sz w:val="24"/>
          <w:szCs w:val="24"/>
          <w:lang w:val="pt-br"/>
        </w:rPr>
      </w:pPr>
      <w:r>
        <w:rPr>
          <w:rFonts w:ascii="Calibri" w:hAnsi="Calibri" w:eastAsia="Calibri" w:cs="Calibri"/>
          <w:color w:val="000000"/>
          <w:sz w:val="24"/>
          <w:szCs w:val="24"/>
          <w:lang w:val="pt-br"/>
        </w:rPr>
        <w:t>Presidente da Comissão dos Editais PROEXC</w:t>
      </w:r>
    </w:p>
    <w:p>
      <w:pPr>
        <w:spacing w:line="259" w:lineRule="auto"/>
        <w:jc w:val="center"/>
        <w:rPr>
          <w:rFonts w:ascii="Calibri" w:hAnsi="Calibri" w:eastAsia="Calibri" w:cs="Calibri"/>
          <w:color w:val="000000"/>
          <w:sz w:val="24"/>
          <w:szCs w:val="24"/>
          <w:lang w:val="pt-br"/>
        </w:rPr>
      </w:pPr>
      <w:r>
        <w:rPr>
          <w:rFonts w:ascii="Calibri" w:hAnsi="Calibri" w:eastAsia="Calibri" w:cs="Calibri"/>
          <w:color w:val="000000"/>
          <w:sz w:val="24"/>
          <w:szCs w:val="24"/>
          <w:lang w:val="pt-br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a" w:pos="below" w:numFmt="decimal"/>
    <w:caption w:name="Ilustração" w:pos="below" w:numFmt="decimal"/>
    <w:caption w:name="Imagem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365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1"/>
      <w:tmLastPosIdx w:val="24"/>
    </w:tmLastPosCaret>
    <w:tmLastPosAnchor>
      <w:tmLastPosPgfIdx w:val="0"/>
      <w:tmLastPosIdx w:val="0"/>
    </w:tmLastPosAnchor>
    <w:tmLastPosTblRect w:left="0" w:top="0" w:right="0" w:bottom="0"/>
  </w:tmLastPos>
  <w:tmAppRevision w:date="1592418430" w:val="976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pt-pt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Default"/>
    <w:qFormat/>
    <w:pPr>
      <w:widowControl/>
    </w:pPr>
    <w:rPr>
      <w:rFonts w:ascii="Calibri" w:hAnsi="Calibri" w:eastAsia="SimSun" w:cs="Calibri"/>
      <w:color w:val="000000"/>
      <w:kern w:val="1"/>
      <w:sz w:val="24"/>
      <w:szCs w:val="24"/>
      <w:lang w:val="pt-br" w:eastAsia="zh-cn" w:bidi="ar-sa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_Style10">
    <w:name w:val="_Style 1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_Style11">
    <w:name w:val="_Style 11"/>
    <w:basedOn w:val="NormalTable"/>
    <w:pPr>
      <w:spacing w:after="160" w:line="259" w:lineRule="auto"/>
      <w:widowControl/>
    </w:pPr>
    <w:rPr>
      <w:kern w:val="1"/>
      <w:lang w:val="pt-br"/>
    </w:rPr>
    <w:tblPr>
      <w:tblCellMar>
        <w:left w:w="115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t-pt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Default"/>
    <w:qFormat/>
    <w:pPr>
      <w:widowControl/>
    </w:pPr>
    <w:rPr>
      <w:rFonts w:ascii="Calibri" w:hAnsi="Calibri" w:eastAsia="SimSun" w:cs="Calibri"/>
      <w:color w:val="000000"/>
      <w:kern w:val="1"/>
      <w:sz w:val="24"/>
      <w:szCs w:val="24"/>
      <w:lang w:val="pt-br" w:eastAsia="zh-cn" w:bidi="ar-sa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_Style10">
    <w:name w:val="_Style 1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_Style11">
    <w:name w:val="_Style 11"/>
    <w:basedOn w:val="NormalTable"/>
    <w:pPr>
      <w:spacing w:after="160" w:line="259" w:lineRule="auto"/>
      <w:widowControl/>
    </w:pPr>
    <w:rPr>
      <w:kern w:val="1"/>
      <w:lang w:val="pt-br"/>
    </w:rPr>
    <w:tblPr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image" Target="media/image2.gif"/><Relationship Id="rId9" Type="http://schemas.openxmlformats.org/officeDocument/2006/relationships/hyperlink" Target="https://mail.ufvjm.edu.br/#/mailbox/INBOXmailto:editais.proexc@ufvjm.edu.br" TargetMode="External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/>
  <cp:revision>7</cp:revision>
  <dcterms:created xsi:type="dcterms:W3CDTF">2020-05-27T19:48:00Z</dcterms:created>
  <dcterms:modified xsi:type="dcterms:W3CDTF">2020-06-17T18:27:10Z</dcterms:modified>
</cp:coreProperties>
</file>