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E14" w:rsidRDefault="009675EF">
      <w:pPr>
        <w:spacing w:after="0" w:line="259" w:lineRule="auto"/>
        <w:ind w:left="0" w:right="54" w:firstLine="0"/>
        <w:jc w:val="center"/>
        <w:rPr>
          <w:b/>
        </w:rPr>
      </w:pPr>
      <w:r>
        <w:rPr>
          <w:b/>
          <w:sz w:val="24"/>
          <w:szCs w:val="24"/>
        </w:rPr>
        <w:t>INSTRUÇÕES ESPECÍFICAS QUE REGULAMENTAM O</w:t>
      </w:r>
      <w:r w:rsidR="00B6429C">
        <w:rPr>
          <w:b/>
          <w:sz w:val="24"/>
          <w:szCs w:val="24"/>
        </w:rPr>
        <w:t xml:space="preserve"> CONCURSO PÚBLICO PARA PROFESSOR DE MAGISTÉRIO SUPERIOR</w:t>
      </w:r>
    </w:p>
    <w:p w:rsidR="00B6429C" w:rsidRDefault="00B6429C">
      <w:pPr>
        <w:spacing w:after="0" w:line="259" w:lineRule="auto"/>
        <w:ind w:left="0" w:right="54" w:firstLine="0"/>
        <w:jc w:val="center"/>
        <w:rPr>
          <w:b/>
        </w:rPr>
      </w:pPr>
    </w:p>
    <w:p w:rsidR="00B6429C" w:rsidRPr="00B6429C" w:rsidRDefault="00B6429C" w:rsidP="00B6429C">
      <w:pPr>
        <w:spacing w:after="0" w:line="259" w:lineRule="auto"/>
        <w:ind w:left="0" w:right="54" w:firstLine="0"/>
        <w:jc w:val="center"/>
        <w:rPr>
          <w:b/>
        </w:rPr>
      </w:pPr>
    </w:p>
    <w:p w:rsidR="00B6429C" w:rsidRPr="00B6429C" w:rsidRDefault="00B6429C" w:rsidP="00B6429C">
      <w:pPr>
        <w:spacing w:after="0" w:line="259" w:lineRule="auto"/>
        <w:ind w:left="0" w:right="54" w:firstLine="0"/>
        <w:rPr>
          <w:sz w:val="24"/>
          <w:szCs w:val="24"/>
        </w:rPr>
      </w:pPr>
      <w:r w:rsidRPr="00B6429C">
        <w:rPr>
          <w:sz w:val="24"/>
          <w:szCs w:val="24"/>
        </w:rPr>
        <w:t xml:space="preserve">Estas Instruções Específicas, o Edital nº 25/2018, a Resolução nº 17/2017, do Conselho Universitário - CONSU, </w:t>
      </w:r>
      <w:proofErr w:type="gramStart"/>
      <w:r w:rsidRPr="00B6429C">
        <w:rPr>
          <w:sz w:val="24"/>
          <w:szCs w:val="24"/>
        </w:rPr>
        <w:t>o Edital de Condições Gerias</w:t>
      </w:r>
      <w:proofErr w:type="gramEnd"/>
      <w:r w:rsidRPr="00B6429C">
        <w:rPr>
          <w:sz w:val="24"/>
          <w:szCs w:val="24"/>
        </w:rPr>
        <w:t xml:space="preserve"> nº15 de 02 de fevereiro 2018, publicado no Diário Oficial da União de 05 de fevereiro de 2018 e demais legislações pertinentes, disciplinarão o Concurso Público para Professor de Magistério Superior, não cabendo a qualquer candidato alegar desconhecê-lo.</w:t>
      </w:r>
    </w:p>
    <w:p w:rsidR="00096E14" w:rsidRDefault="00096E14">
      <w:pPr>
        <w:spacing w:after="0" w:line="259" w:lineRule="auto"/>
        <w:ind w:left="0" w:right="54" w:firstLine="0"/>
        <w:jc w:val="center"/>
        <w:rPr>
          <w:b/>
        </w:rPr>
      </w:pP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UNIDADE: </w:t>
      </w:r>
      <w:r>
        <w:rPr>
          <w:sz w:val="24"/>
          <w:szCs w:val="24"/>
        </w:rPr>
        <w:t>FACULDADE DE CIÊNCIAS BIOLÓGICAS E DA SAÚDE</w:t>
      </w: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DEPARTAMENTO: </w:t>
      </w:r>
      <w:r>
        <w:rPr>
          <w:sz w:val="24"/>
          <w:szCs w:val="24"/>
        </w:rPr>
        <w:t xml:space="preserve">FARMÁCIA </w:t>
      </w:r>
    </w:p>
    <w:p w:rsidR="006712BC" w:rsidRDefault="006712BC">
      <w:pPr>
        <w:spacing w:after="0" w:line="259" w:lineRule="auto"/>
        <w:ind w:left="0" w:right="54" w:firstLine="0"/>
        <w:rPr>
          <w:sz w:val="24"/>
          <w:szCs w:val="24"/>
        </w:rPr>
      </w:pPr>
    </w:p>
    <w:p w:rsidR="006712BC" w:rsidRDefault="006712BC">
      <w:pPr>
        <w:spacing w:after="0" w:line="259" w:lineRule="auto"/>
        <w:ind w:left="0" w:right="54" w:firstLine="0"/>
        <w:rPr>
          <w:sz w:val="24"/>
          <w:szCs w:val="24"/>
        </w:rPr>
      </w:pPr>
      <w:r w:rsidRPr="006712BC">
        <w:rPr>
          <w:b/>
          <w:sz w:val="24"/>
          <w:szCs w:val="24"/>
        </w:rPr>
        <w:t>ÁREA CONHECIMENTO:</w:t>
      </w:r>
      <w:r>
        <w:rPr>
          <w:sz w:val="24"/>
          <w:szCs w:val="24"/>
        </w:rPr>
        <w:t xml:space="preserve"> Microbiologia Aplicada</w:t>
      </w:r>
    </w:p>
    <w:p w:rsidR="00096E14" w:rsidRDefault="00096E14">
      <w:pPr>
        <w:spacing w:after="0" w:line="259" w:lineRule="auto"/>
        <w:ind w:left="0" w:right="54" w:firstLine="0"/>
        <w:rPr>
          <w:b/>
        </w:rPr>
      </w:pPr>
    </w:p>
    <w:p w:rsidR="00096E14" w:rsidRDefault="009675EF">
      <w:pPr>
        <w:spacing w:after="0" w:line="259" w:lineRule="auto"/>
        <w:ind w:left="0" w:right="54" w:firstLine="0"/>
      </w:pPr>
      <w:r>
        <w:rPr>
          <w:b/>
          <w:sz w:val="24"/>
          <w:szCs w:val="24"/>
        </w:rPr>
        <w:t xml:space="preserve">DISCIPLINAS: </w:t>
      </w:r>
      <w:r>
        <w:rPr>
          <w:sz w:val="24"/>
          <w:szCs w:val="24"/>
        </w:rPr>
        <w:t>DIAGNÓSTICO LABOR</w:t>
      </w:r>
      <w:bookmarkStart w:id="0" w:name="_GoBack"/>
      <w:bookmarkEnd w:id="0"/>
      <w:r>
        <w:rPr>
          <w:sz w:val="24"/>
          <w:szCs w:val="24"/>
        </w:rPr>
        <w:t>ATORIAL DE DOENÇAS INFECTOCONTAGIOSAS, CONTROLE DE QUALIDADE EM LABORATÓRIO CLÍNICO, MICROBIOLOGIA CLÍNICA E ESTÁGIO SUPERVISIONADO.</w:t>
      </w:r>
    </w:p>
    <w:p w:rsidR="00096E14" w:rsidRDefault="00096E14">
      <w:pPr>
        <w:spacing w:after="0" w:line="259" w:lineRule="auto"/>
        <w:ind w:left="0" w:right="54" w:firstLine="0"/>
        <w:rPr>
          <w:b/>
        </w:rPr>
      </w:pPr>
    </w:p>
    <w:p w:rsidR="00096E14" w:rsidRDefault="009675EF">
      <w:pPr>
        <w:spacing w:after="0" w:line="259" w:lineRule="auto"/>
        <w:ind w:left="0" w:right="54" w:firstLine="0"/>
      </w:pPr>
      <w:r>
        <w:rPr>
          <w:b/>
          <w:sz w:val="24"/>
          <w:szCs w:val="24"/>
        </w:rPr>
        <w:t xml:space="preserve">REGIME DE TRABALHO: </w:t>
      </w:r>
      <w:r>
        <w:rPr>
          <w:sz w:val="24"/>
          <w:szCs w:val="24"/>
        </w:rPr>
        <w:t>Dedicação Exclusiva</w:t>
      </w:r>
    </w:p>
    <w:p w:rsidR="00096E14" w:rsidRDefault="00096E14">
      <w:pPr>
        <w:spacing w:after="0" w:line="259" w:lineRule="auto"/>
        <w:ind w:left="0" w:right="54" w:firstLine="0"/>
        <w:rPr>
          <w:b/>
        </w:rPr>
      </w:pP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b/>
          <w:sz w:val="24"/>
          <w:szCs w:val="24"/>
        </w:rPr>
        <w:t>1. DA TITULAÇÃO</w:t>
      </w:r>
    </w:p>
    <w:p w:rsidR="00096E14" w:rsidRDefault="009675EF">
      <w:pPr>
        <w:pStyle w:val="Contedodatabela"/>
        <w:spacing w:line="240" w:lineRule="auto"/>
        <w:ind w:left="0" w:right="54" w:firstLine="0"/>
      </w:pPr>
      <w:r>
        <w:rPr>
          <w:sz w:val="24"/>
          <w:szCs w:val="24"/>
        </w:rPr>
        <w:t xml:space="preserve">Graduação em Farmácia, habilitação Análises Clínicas ou Generalista, com Doutorado em Ciências Farmacêuticas ou Ciências da Saúde ou Ciências Biológicas com ênfase/área de concentração em Microbiologia, com comprovação de experiência em Microbiologia Clínica, através de tese ou dissertação em microbiologia clínica ou especialização em microbiologia clínica ou experiência profissional mínima de 1 (um) ano em microbiologia clínica. </w:t>
      </w:r>
    </w:p>
    <w:p w:rsidR="00096E14" w:rsidRDefault="00096E14">
      <w:pPr>
        <w:spacing w:after="0" w:line="259" w:lineRule="auto"/>
        <w:ind w:left="0" w:right="54" w:firstLine="0"/>
        <w:rPr>
          <w:b/>
        </w:rPr>
      </w:pP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b/>
          <w:sz w:val="24"/>
          <w:szCs w:val="24"/>
        </w:rPr>
        <w:t>2. CONTEÚDO PROGRAMÁTICO:</w:t>
      </w:r>
    </w:p>
    <w:p w:rsidR="00096E14" w:rsidRDefault="00096E14">
      <w:pPr>
        <w:spacing w:after="0" w:line="259" w:lineRule="auto"/>
        <w:ind w:left="0" w:right="54" w:firstLine="0"/>
        <w:rPr>
          <w:b/>
        </w:rPr>
      </w:pPr>
    </w:p>
    <w:p w:rsidR="00096E14" w:rsidRDefault="009675EF">
      <w:pPr>
        <w:rPr>
          <w:sz w:val="24"/>
          <w:szCs w:val="24"/>
        </w:rPr>
      </w:pPr>
      <w:r>
        <w:rPr>
          <w:sz w:val="24"/>
          <w:szCs w:val="24"/>
        </w:rPr>
        <w:t>1- Susceptibilidade antimicrobiana: testes de susceptibilidade aos antimicrobianos e padronização CLSI; detecção de mecanismo de resistência dos principais microrganismos de importância clínica e interpretação antibiograma.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rPr>
          <w:sz w:val="24"/>
          <w:szCs w:val="24"/>
        </w:rPr>
      </w:pPr>
      <w:r>
        <w:rPr>
          <w:sz w:val="24"/>
          <w:szCs w:val="24"/>
        </w:rPr>
        <w:t>2- Diagnóstico de infecções virais: coleta, transporte e armazenamento de amostras;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isolamento e manutenção em laboratório; métodos de diagnóstico e aplicação;  patogênese manifestações clínicas e tratamento.</w:t>
      </w:r>
    </w:p>
    <w:p w:rsidR="00096E14" w:rsidRDefault="009675E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96E14" w:rsidRDefault="009675EF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3- </w:t>
      </w:r>
      <w:proofErr w:type="spellStart"/>
      <w:r>
        <w:rPr>
          <w:i/>
          <w:iCs/>
          <w:sz w:val="24"/>
          <w:szCs w:val="24"/>
        </w:rPr>
        <w:t>Staphylococcus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>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 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r>
        <w:rPr>
          <w:i/>
          <w:iCs/>
          <w:sz w:val="24"/>
          <w:szCs w:val="24"/>
        </w:rPr>
        <w:lastRenderedPageBreak/>
        <w:t xml:space="preserve">4- </w:t>
      </w:r>
      <w:proofErr w:type="spellStart"/>
      <w:r>
        <w:rPr>
          <w:i/>
          <w:iCs/>
          <w:sz w:val="24"/>
          <w:szCs w:val="24"/>
        </w:rPr>
        <w:t>Streptecoccus</w:t>
      </w:r>
      <w:proofErr w:type="spellEnd"/>
      <w:r>
        <w:rPr>
          <w:i/>
          <w:iCs/>
          <w:sz w:val="24"/>
          <w:szCs w:val="24"/>
        </w:rPr>
        <w:t xml:space="preserve"> e </w:t>
      </w:r>
      <w:proofErr w:type="spellStart"/>
      <w:r>
        <w:rPr>
          <w:i/>
          <w:iCs/>
          <w:sz w:val="24"/>
          <w:szCs w:val="24"/>
        </w:rPr>
        <w:t>Enterecocccus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>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 manifestações clínicas e tratamento/resistência.</w:t>
      </w:r>
    </w:p>
    <w:p w:rsidR="00096E14" w:rsidRDefault="00096E14"/>
    <w:p w:rsidR="00096E14" w:rsidRDefault="00096E14"/>
    <w:p w:rsidR="00096E14" w:rsidRDefault="009675EF">
      <w:pPr>
        <w:rPr>
          <w:i/>
          <w:iCs/>
          <w:sz w:val="24"/>
          <w:szCs w:val="24"/>
        </w:rPr>
      </w:pPr>
      <w:r>
        <w:rPr>
          <w:sz w:val="24"/>
          <w:szCs w:val="24"/>
        </w:rPr>
        <w:t>5- Bacilos entéricos Gram-negativos</w:t>
      </w:r>
      <w:r>
        <w:rPr>
          <w:i/>
          <w:iCs/>
          <w:sz w:val="24"/>
          <w:szCs w:val="24"/>
        </w:rPr>
        <w:t xml:space="preserve"> (</w:t>
      </w:r>
      <w:proofErr w:type="spellStart"/>
      <w:r>
        <w:rPr>
          <w:i/>
          <w:iCs/>
          <w:sz w:val="24"/>
          <w:szCs w:val="24"/>
        </w:rPr>
        <w:t>Enterobacteriaceas</w:t>
      </w:r>
      <w:proofErr w:type="spellEnd"/>
      <w:r>
        <w:rPr>
          <w:i/>
          <w:iCs/>
          <w:sz w:val="24"/>
          <w:szCs w:val="24"/>
        </w:rPr>
        <w:t xml:space="preserve">): </w:t>
      </w:r>
      <w:r>
        <w:rPr>
          <w:sz w:val="24"/>
          <w:szCs w:val="24"/>
        </w:rPr>
        <w:t>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6- </w:t>
      </w:r>
      <w:proofErr w:type="spellStart"/>
      <w:r>
        <w:rPr>
          <w:sz w:val="24"/>
          <w:szCs w:val="24"/>
        </w:rPr>
        <w:t>Micobactérias</w:t>
      </w:r>
      <w:proofErr w:type="spellEnd"/>
      <w:r>
        <w:rPr>
          <w:sz w:val="24"/>
          <w:szCs w:val="24"/>
        </w:rPr>
        <w:t>: 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 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rPr>
          <w:i/>
          <w:iCs/>
          <w:sz w:val="24"/>
          <w:szCs w:val="24"/>
        </w:rPr>
      </w:pPr>
      <w:r>
        <w:rPr>
          <w:sz w:val="24"/>
          <w:szCs w:val="24"/>
        </w:rPr>
        <w:t>7- Micoses superficiais e cutâneas: 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 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rPr>
          <w:i/>
          <w:iCs/>
          <w:sz w:val="24"/>
          <w:szCs w:val="24"/>
        </w:rPr>
      </w:pPr>
      <w:r>
        <w:rPr>
          <w:sz w:val="24"/>
          <w:szCs w:val="24"/>
        </w:rPr>
        <w:t>8- Micoses subcutâneas: 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patogênese,  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rPr>
          <w:i/>
          <w:iCs/>
          <w:sz w:val="24"/>
          <w:szCs w:val="24"/>
        </w:rPr>
      </w:pPr>
      <w:r>
        <w:rPr>
          <w:sz w:val="24"/>
          <w:szCs w:val="24"/>
        </w:rPr>
        <w:t>9- Micoses sistêmicas: 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 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rPr>
          <w:i/>
          <w:iCs/>
          <w:sz w:val="24"/>
          <w:szCs w:val="24"/>
        </w:rPr>
      </w:pPr>
      <w:r>
        <w:rPr>
          <w:sz w:val="24"/>
          <w:szCs w:val="24"/>
        </w:rPr>
        <w:t>10- Micoses oportunistas: importância clínica; diagnóstico laboratorial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(coleta, transporte e armazenamento de amostras; tipos de métodos e aplicação; controle de qualidade). Principais espécies e sua patogênese, manifestações clínicas e tratamento/resistência.</w:t>
      </w:r>
    </w:p>
    <w:p w:rsidR="00096E14" w:rsidRDefault="00096E14">
      <w:pPr>
        <w:rPr>
          <w:sz w:val="24"/>
          <w:szCs w:val="24"/>
        </w:rPr>
      </w:pP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sz w:val="24"/>
          <w:szCs w:val="24"/>
        </w:rPr>
        <w:t xml:space="preserve">11- Gestão e Controle de qualidade em laboratório de análises clínicas: </w:t>
      </w:r>
    </w:p>
    <w:p w:rsidR="00096E14" w:rsidRDefault="009675EF">
      <w:pPr>
        <w:spacing w:after="0" w:line="259" w:lineRule="auto"/>
        <w:ind w:left="0" w:right="54" w:firstLine="0"/>
        <w:rPr>
          <w:sz w:val="24"/>
          <w:szCs w:val="24"/>
        </w:rPr>
      </w:pPr>
      <w:r>
        <w:rPr>
          <w:sz w:val="24"/>
          <w:szCs w:val="24"/>
        </w:rPr>
        <w:t xml:space="preserve">Gestão da qualidade: Ferramentas gerenciais, Padronização das fases pré-analítica, analítica e pós-analítica e controle, Biossegurança, Programa de Gerenciamento de Resíduos e da </w:t>
      </w:r>
      <w:proofErr w:type="spellStart"/>
      <w:r>
        <w:rPr>
          <w:sz w:val="24"/>
          <w:szCs w:val="24"/>
        </w:rPr>
        <w:t>agúa</w:t>
      </w:r>
      <w:proofErr w:type="spellEnd"/>
      <w:r>
        <w:rPr>
          <w:sz w:val="24"/>
          <w:szCs w:val="24"/>
        </w:rPr>
        <w:t>.</w:t>
      </w:r>
    </w:p>
    <w:p w:rsidR="00096E14" w:rsidRDefault="00096E14">
      <w:pPr>
        <w:spacing w:after="0" w:line="259" w:lineRule="auto"/>
        <w:ind w:left="0" w:right="54" w:firstLine="0"/>
        <w:rPr>
          <w:sz w:val="24"/>
          <w:szCs w:val="24"/>
        </w:rPr>
      </w:pPr>
    </w:p>
    <w:p w:rsidR="00096E14" w:rsidRDefault="009675EF">
      <w:pPr>
        <w:pStyle w:val="Default"/>
        <w:rPr>
          <w:szCs w:val="24"/>
        </w:rPr>
      </w:pPr>
      <w:r>
        <w:rPr>
          <w:b/>
          <w:bCs/>
          <w:szCs w:val="24"/>
        </w:rPr>
        <w:t>SUGESTÕES DE BIBLIOGRAFIA</w:t>
      </w:r>
      <w:r>
        <w:rPr>
          <w:szCs w:val="24"/>
        </w:rPr>
        <w:t xml:space="preserve">: </w:t>
      </w:r>
    </w:p>
    <w:p w:rsidR="00096E14" w:rsidRDefault="00096E14">
      <w:pPr>
        <w:pStyle w:val="Default"/>
        <w:rPr>
          <w:szCs w:val="24"/>
        </w:rPr>
      </w:pP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JAWETZ, MELNICK &amp; </w:t>
      </w:r>
      <w:proofErr w:type="gramStart"/>
      <w:r>
        <w:rPr>
          <w:sz w:val="24"/>
          <w:szCs w:val="24"/>
        </w:rPr>
        <w:t>ADELBERG .</w:t>
      </w:r>
      <w:proofErr w:type="gramEnd"/>
      <w:r>
        <w:rPr>
          <w:sz w:val="24"/>
          <w:szCs w:val="24"/>
        </w:rPr>
        <w:t xml:space="preserve"> Microbiologia Médica. 26 ed., Mc </w:t>
      </w:r>
      <w:proofErr w:type="spellStart"/>
      <w:r>
        <w:rPr>
          <w:sz w:val="24"/>
          <w:szCs w:val="24"/>
        </w:rPr>
        <w:t>Graw</w:t>
      </w:r>
      <w:proofErr w:type="spellEnd"/>
      <w:r>
        <w:rPr>
          <w:sz w:val="24"/>
          <w:szCs w:val="24"/>
        </w:rPr>
        <w:t xml:space="preserve"> Hill, 2014.</w:t>
      </w:r>
    </w:p>
    <w:p w:rsidR="00096E14" w:rsidRDefault="009675EF">
      <w:pPr>
        <w:pStyle w:val="Corpodetexto"/>
        <w:rPr>
          <w:sz w:val="24"/>
          <w:szCs w:val="24"/>
        </w:rPr>
      </w:pPr>
      <w:proofErr w:type="gramStart"/>
      <w:r>
        <w:rPr>
          <w:sz w:val="24"/>
          <w:szCs w:val="24"/>
        </w:rPr>
        <w:t>KONEMAN,</w:t>
      </w:r>
      <w:proofErr w:type="gramEnd"/>
      <w:r>
        <w:rPr>
          <w:sz w:val="24"/>
          <w:szCs w:val="24"/>
        </w:rPr>
        <w:t>ELMER W. Diagnóstico Microbiológico - 6ª ed. Guanabara Koogan, 2008.</w:t>
      </w:r>
    </w:p>
    <w:p w:rsidR="00096E14" w:rsidRDefault="009675EF">
      <w:pPr>
        <w:pStyle w:val="Corpodetex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HENRY, J.B. Clinical Diagnosis and Management by Laboratory Methods, 23 </w:t>
      </w:r>
      <w:proofErr w:type="spellStart"/>
      <w:proofErr w:type="gramStart"/>
      <w:r>
        <w:rPr>
          <w:sz w:val="24"/>
          <w:szCs w:val="24"/>
          <w:lang w:val="en-US"/>
        </w:rPr>
        <w:t>ed</w:t>
      </w:r>
      <w:proofErr w:type="spellEnd"/>
      <w:proofErr w:type="gram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Manole</w:t>
      </w:r>
      <w:proofErr w:type="spellEnd"/>
      <w:r>
        <w:rPr>
          <w:sz w:val="24"/>
          <w:szCs w:val="24"/>
          <w:lang w:val="en-US"/>
        </w:rPr>
        <w:t>, 2016.</w:t>
      </w: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MURRAY, P. Microbiologia Médica - 8ª ed. </w:t>
      </w:r>
      <w:proofErr w:type="spellStart"/>
      <w:r>
        <w:rPr>
          <w:sz w:val="24"/>
          <w:szCs w:val="24"/>
        </w:rPr>
        <w:t>Elservier</w:t>
      </w:r>
      <w:proofErr w:type="spellEnd"/>
      <w:r>
        <w:rPr>
          <w:sz w:val="24"/>
          <w:szCs w:val="24"/>
        </w:rPr>
        <w:t>, 2017.</w:t>
      </w: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LACAZ, Carlos da Silva et al. Tratado de micologia médica </w:t>
      </w:r>
      <w:proofErr w:type="spellStart"/>
      <w:r>
        <w:rPr>
          <w:sz w:val="24"/>
          <w:szCs w:val="24"/>
        </w:rPr>
        <w:t>Lacaz</w:t>
      </w:r>
      <w:proofErr w:type="spellEnd"/>
      <w:r>
        <w:rPr>
          <w:sz w:val="24"/>
          <w:szCs w:val="24"/>
        </w:rPr>
        <w:t xml:space="preserve">. 9 ed. São Paulo: </w:t>
      </w:r>
      <w:proofErr w:type="spellStart"/>
      <w:r>
        <w:rPr>
          <w:sz w:val="24"/>
          <w:szCs w:val="24"/>
        </w:rPr>
        <w:t>Sarvier</w:t>
      </w:r>
      <w:proofErr w:type="spellEnd"/>
      <w:r>
        <w:rPr>
          <w:sz w:val="24"/>
          <w:szCs w:val="24"/>
        </w:rPr>
        <w:t>, [2002]. 1104 p. ISBN 8573781238.</w:t>
      </w: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MOTTA, V. T. CORREA, J. A.; MOTTA, L. R. Gestão da qualidade no laboratório clínico. 2.ed. Caxias do Sul: </w:t>
      </w:r>
      <w:proofErr w:type="spellStart"/>
      <w:r>
        <w:rPr>
          <w:sz w:val="24"/>
          <w:szCs w:val="24"/>
        </w:rPr>
        <w:t>Missau</w:t>
      </w:r>
      <w:proofErr w:type="spellEnd"/>
      <w:r>
        <w:rPr>
          <w:sz w:val="24"/>
          <w:szCs w:val="24"/>
        </w:rPr>
        <w:t xml:space="preserve">, 2001. </w:t>
      </w: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OLIVARES, I. R. B. Gestão de qualidade em laboratórios. 2. ed. Campinas: Átomo, 2009. MOTTA, V. T. Bioquímica Clínica para o Laboratório – Princípios e interpretações – 5ª ed. Rio de Janeiro: </w:t>
      </w:r>
      <w:proofErr w:type="spellStart"/>
      <w:r>
        <w:rPr>
          <w:sz w:val="24"/>
          <w:szCs w:val="24"/>
        </w:rPr>
        <w:t>Medbook</w:t>
      </w:r>
      <w:proofErr w:type="spellEnd"/>
      <w:r>
        <w:rPr>
          <w:sz w:val="24"/>
          <w:szCs w:val="24"/>
        </w:rPr>
        <w:t xml:space="preserve">, 2009. </w:t>
      </w: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BURTIS, C. A., ASHWOOD, E. R., BRUNS, D. E. </w:t>
      </w:r>
      <w:proofErr w:type="spellStart"/>
      <w:r>
        <w:rPr>
          <w:sz w:val="24"/>
          <w:szCs w:val="24"/>
        </w:rPr>
        <w:t>Tietz</w:t>
      </w:r>
      <w:proofErr w:type="spellEnd"/>
      <w:r>
        <w:rPr>
          <w:sz w:val="24"/>
          <w:szCs w:val="24"/>
        </w:rPr>
        <w:t xml:space="preserve"> - Fundamentos de química clínica. 6. ed. Rio de Janeiro: </w:t>
      </w:r>
      <w:proofErr w:type="spellStart"/>
      <w:r>
        <w:rPr>
          <w:sz w:val="24"/>
          <w:szCs w:val="24"/>
        </w:rPr>
        <w:t>Elsevier</w:t>
      </w:r>
      <w:proofErr w:type="spellEnd"/>
      <w:r>
        <w:rPr>
          <w:sz w:val="24"/>
          <w:szCs w:val="24"/>
        </w:rPr>
        <w:t xml:space="preserve">, 2008. </w:t>
      </w:r>
    </w:p>
    <w:p w:rsidR="00096E14" w:rsidRDefault="009675EF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SIDRIM, J.J.C.; ROCHA, M.F.G. Micologia Médica à Luz de Autores Contemporâneos. Rio de Janeiro: Guanabara Koogan, 2004. </w:t>
      </w:r>
    </w:p>
    <w:p w:rsidR="00096E14" w:rsidRDefault="00096E14">
      <w:pPr>
        <w:pStyle w:val="Default"/>
        <w:rPr>
          <w:szCs w:val="24"/>
        </w:rPr>
      </w:pPr>
    </w:p>
    <w:p w:rsidR="00096E14" w:rsidRDefault="00096E14">
      <w:pPr>
        <w:pStyle w:val="PargrafodaLista"/>
        <w:ind w:left="10" w:hanging="10"/>
      </w:pPr>
    </w:p>
    <w:sectPr w:rsidR="00096E14" w:rsidSect="00013AD7">
      <w:headerReference w:type="default" r:id="rId6"/>
      <w:footerReference w:type="default" r:id="rId7"/>
      <w:pgSz w:w="11906" w:h="16838"/>
      <w:pgMar w:top="2352" w:right="1650" w:bottom="1513" w:left="1702" w:header="708" w:footer="397" w:gutter="0"/>
      <w:cols w:space="720"/>
      <w:formProt w:val="0"/>
      <w:docGrid w:linePitch="249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922" w:rsidRDefault="002C4922">
      <w:pPr>
        <w:spacing w:after="0" w:line="240" w:lineRule="auto"/>
      </w:pPr>
      <w:r>
        <w:separator/>
      </w:r>
    </w:p>
  </w:endnote>
  <w:endnote w:type="continuationSeparator" w:id="0">
    <w:p w:rsidR="002C4922" w:rsidRDefault="002C4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14" w:rsidRDefault="009675EF">
    <w:pPr>
      <w:spacing w:after="0" w:line="259" w:lineRule="auto"/>
      <w:ind w:left="0" w:right="12" w:firstLine="0"/>
      <w:jc w:val="center"/>
      <w:rPr>
        <w:rFonts w:ascii="Arial" w:eastAsia="Arial" w:hAnsi="Arial" w:cs="Arial"/>
        <w:sz w:val="18"/>
      </w:rPr>
    </w:pPr>
    <w:r>
      <w:rPr>
        <w:rFonts w:ascii="Arial" w:eastAsia="Arial" w:hAnsi="Arial" w:cs="Arial"/>
        <w:sz w:val="18"/>
      </w:rPr>
      <w:t xml:space="preserve"> </w:t>
    </w:r>
  </w:p>
  <w:p w:rsidR="00096E14" w:rsidRDefault="009675EF">
    <w:pPr>
      <w:spacing w:after="0" w:line="240" w:lineRule="auto"/>
      <w:ind w:firstLine="0"/>
    </w:pPr>
    <w:r>
      <w:rPr>
        <w:rFonts w:ascii="Arial" w:eastAsia="Arial" w:hAnsi="Arial" w:cs="Arial"/>
        <w:sz w:val="14"/>
      </w:rPr>
      <w:t xml:space="preserve">Campi I e Reitoria - Rua da Glória - nº 187 - Centro - CEP: 39100-000 - Diamantina - MG - Brasil / PABX: (38) 3531-1811 </w:t>
    </w:r>
  </w:p>
  <w:p w:rsidR="00096E14" w:rsidRDefault="009675EF">
    <w:pPr>
      <w:spacing w:after="86" w:line="240" w:lineRule="auto"/>
      <w:ind w:right="469" w:firstLine="0"/>
    </w:pPr>
    <w:r>
      <w:rPr>
        <w:rFonts w:ascii="Arial" w:eastAsia="Arial" w:hAnsi="Arial" w:cs="Arial"/>
        <w:sz w:val="14"/>
      </w:rPr>
      <w:t xml:space="preserve">Campus II -  Rodovia MGT 367 – km 583, nº 5000 – Alto da Jacuba – Diamantina-MG-Brasil / PABX: (38) 3532-1200                            Campus Avançado do Mucuri - Av. Dr. Luiz </w:t>
    </w:r>
    <w:proofErr w:type="spellStart"/>
    <w:r>
      <w:rPr>
        <w:rFonts w:ascii="Arial" w:eastAsia="Arial" w:hAnsi="Arial" w:cs="Arial"/>
        <w:sz w:val="14"/>
      </w:rPr>
      <w:t>Boali</w:t>
    </w:r>
    <w:proofErr w:type="spellEnd"/>
    <w:r>
      <w:rPr>
        <w:rFonts w:ascii="Arial" w:eastAsia="Arial" w:hAnsi="Arial" w:cs="Arial"/>
        <w:sz w:val="14"/>
      </w:rPr>
      <w:t xml:space="preserve"> Porto </w:t>
    </w:r>
    <w:proofErr w:type="spellStart"/>
    <w:r>
      <w:rPr>
        <w:rFonts w:ascii="Arial" w:eastAsia="Arial" w:hAnsi="Arial" w:cs="Arial"/>
        <w:sz w:val="14"/>
      </w:rPr>
      <w:t>Salman</w:t>
    </w:r>
    <w:proofErr w:type="spellEnd"/>
    <w:r>
      <w:rPr>
        <w:rFonts w:ascii="Arial" w:eastAsia="Arial" w:hAnsi="Arial" w:cs="Arial"/>
        <w:sz w:val="14"/>
      </w:rPr>
      <w:t xml:space="preserve"> - s/nº - Ipiranga - CEP: 39801-000 - Teófilo Otoni - MG - Brasil - PABX: (33) 3522-6037 </w:t>
    </w:r>
  </w:p>
  <w:p w:rsidR="00096E14" w:rsidRDefault="009675EF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922" w:rsidRDefault="002C4922">
      <w:pPr>
        <w:spacing w:after="0" w:line="240" w:lineRule="auto"/>
      </w:pPr>
      <w:r>
        <w:separator/>
      </w:r>
    </w:p>
  </w:footnote>
  <w:footnote w:type="continuationSeparator" w:id="0">
    <w:p w:rsidR="002C4922" w:rsidRDefault="002C4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14" w:rsidRDefault="009675EF">
    <w:pPr>
      <w:spacing w:line="259" w:lineRule="auto"/>
      <w:ind w:left="474" w:firstLine="0"/>
      <w:jc w:val="center"/>
    </w:pPr>
    <w:r>
      <w:rPr>
        <w:noProof/>
      </w:rPr>
      <w:drawing>
        <wp:anchor distT="0" distB="0" distL="114300" distR="114300" simplePos="0" relativeHeight="4" behindDoc="1" locked="0" layoutInCell="1" allowOverlap="1">
          <wp:simplePos x="0" y="0"/>
          <wp:positionH relativeFrom="page">
            <wp:posOffset>490855</wp:posOffset>
          </wp:positionH>
          <wp:positionV relativeFrom="page">
            <wp:posOffset>449580</wp:posOffset>
          </wp:positionV>
          <wp:extent cx="819785" cy="86423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864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7" behindDoc="1" locked="0" layoutInCell="1" allowOverlap="1">
          <wp:simplePos x="0" y="0"/>
          <wp:positionH relativeFrom="page">
            <wp:posOffset>6269990</wp:posOffset>
          </wp:positionH>
          <wp:positionV relativeFrom="page">
            <wp:posOffset>504190</wp:posOffset>
          </wp:positionV>
          <wp:extent cx="981075" cy="75311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753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sz w:val="16"/>
      </w:rPr>
      <w:t xml:space="preserve">MINISTÉRIO DA EDUCAÇÃO </w:t>
    </w:r>
  </w:p>
  <w:p w:rsidR="00096E14" w:rsidRDefault="009675EF">
    <w:pPr>
      <w:spacing w:after="0" w:line="259" w:lineRule="auto"/>
      <w:ind w:left="1440" w:firstLine="0"/>
      <w:jc w:val="left"/>
    </w:pPr>
    <w:r>
      <w:rPr>
        <w:rFonts w:ascii="Arial" w:eastAsia="Arial" w:hAnsi="Arial" w:cs="Arial"/>
        <w:b/>
        <w:sz w:val="18"/>
      </w:rPr>
      <w:t xml:space="preserve">UNIVERSIDADE FEDERAL DOS VALES DO JEQUITINHONHA E MUCURI </w:t>
    </w:r>
  </w:p>
  <w:p w:rsidR="00096E14" w:rsidRDefault="009675EF">
    <w:pPr>
      <w:spacing w:after="5" w:line="259" w:lineRule="auto"/>
      <w:ind w:left="477" w:firstLine="0"/>
      <w:jc w:val="center"/>
    </w:pPr>
    <w:r>
      <w:rPr>
        <w:rFonts w:ascii="Arial" w:eastAsia="Arial" w:hAnsi="Arial" w:cs="Arial"/>
        <w:b/>
        <w:sz w:val="16"/>
      </w:rPr>
      <w:t xml:space="preserve">DIAMANTINA – MINAS GERAIS </w:t>
    </w:r>
  </w:p>
  <w:p w:rsidR="00096E14" w:rsidRDefault="009675EF">
    <w:pPr>
      <w:spacing w:after="76" w:line="259" w:lineRule="auto"/>
      <w:ind w:left="530" w:firstLine="0"/>
      <w:jc w:val="center"/>
    </w:pPr>
    <w:r>
      <w:rPr>
        <w:rFonts w:ascii="Arial" w:eastAsia="Arial" w:hAnsi="Arial" w:cs="Arial"/>
        <w:b/>
        <w:sz w:val="18"/>
      </w:rPr>
      <w:t xml:space="preserve"> </w:t>
    </w:r>
  </w:p>
  <w:p w:rsidR="00096E14" w:rsidRDefault="009675EF">
    <w:pPr>
      <w:spacing w:after="0" w:line="259" w:lineRule="auto"/>
      <w:ind w:left="0" w:right="3085" w:firstLine="0"/>
      <w:jc w:val="right"/>
    </w:pPr>
    <w:r>
      <w:rPr>
        <w:rFonts w:ascii="Arial" w:eastAsia="Arial" w:hAnsi="Arial" w:cs="Arial"/>
        <w:color w:val="0000FF"/>
        <w:sz w:val="24"/>
        <w:u w:val="single" w:color="0000FF"/>
      </w:rPr>
      <w:t>www.ufvjm.edu.br</w:t>
    </w:r>
    <w:r>
      <w:rPr>
        <w:rFonts w:ascii="Arial" w:eastAsia="Arial" w:hAnsi="Arial" w:cs="Arial"/>
        <w:b/>
        <w:sz w:val="18"/>
      </w:rPr>
      <w:t xml:space="preserve">  </w:t>
    </w:r>
    <w:r>
      <w:rPr>
        <w:sz w:val="37"/>
        <w:vertAlign w:val="subscript"/>
      </w:rPr>
      <w:t xml:space="preserve"> </w:t>
    </w:r>
  </w:p>
  <w:p w:rsidR="00096E14" w:rsidRDefault="009675EF">
    <w:pPr>
      <w:spacing w:after="16" w:line="259" w:lineRule="auto"/>
      <w:ind w:left="362" w:firstLine="0"/>
      <w:jc w:val="left"/>
    </w:pPr>
    <w:r>
      <w:rPr>
        <w:rFonts w:ascii="Arial" w:eastAsia="Arial" w:hAnsi="Arial" w:cs="Arial"/>
        <w:b/>
        <w:sz w:val="16"/>
      </w:rPr>
      <w:t xml:space="preserve"> </w:t>
    </w:r>
  </w:p>
  <w:p w:rsidR="00096E14" w:rsidRDefault="00096E14">
    <w:pPr>
      <w:spacing w:after="16" w:line="259" w:lineRule="auto"/>
      <w:ind w:left="362" w:firstLine="0"/>
      <w:jc w:val="left"/>
      <w:rPr>
        <w:rFonts w:ascii="Arial" w:eastAsia="Arial" w:hAnsi="Arial" w:cs="Arial"/>
        <w:b/>
        <w:sz w:val="16"/>
      </w:rPr>
    </w:pPr>
  </w:p>
  <w:p w:rsidR="00096E14" w:rsidRDefault="009675EF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96E14"/>
    <w:rsid w:val="00013AD7"/>
    <w:rsid w:val="00096E14"/>
    <w:rsid w:val="002C4922"/>
    <w:rsid w:val="006712BC"/>
    <w:rsid w:val="009675EF"/>
    <w:rsid w:val="00B6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837"/>
    <w:pPr>
      <w:spacing w:after="4" w:line="247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stLabel1">
    <w:name w:val="ListLabel 1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2">
    <w:name w:val="ListLabel 2"/>
    <w:qFormat/>
    <w:rsid w:val="00554837"/>
    <w:rPr>
      <w:rFonts w:eastAsia="Times New Roman" w:cs="Times New Roman"/>
      <w:b/>
      <w:bCs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3">
    <w:name w:val="ListLabel 3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4">
    <w:name w:val="ListLabel 4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5">
    <w:name w:val="ListLabel 5"/>
    <w:qFormat/>
    <w:rsid w:val="00554837"/>
    <w:rPr>
      <w:rFonts w:eastAsia="Times New Roman" w:cs="Times New Roman"/>
      <w:b/>
      <w:bCs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6">
    <w:name w:val="ListLabel 6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nkdaInternet">
    <w:name w:val="Link da Internet"/>
    <w:rsid w:val="00554837"/>
    <w:rPr>
      <w:color w:val="000080"/>
      <w:u w:val="single"/>
    </w:rPr>
  </w:style>
  <w:style w:type="character" w:customStyle="1" w:styleId="ListLabel7">
    <w:name w:val="ListLabel 7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8">
    <w:name w:val="ListLabel 8"/>
    <w:qFormat/>
    <w:rsid w:val="00554837"/>
    <w:rPr>
      <w:rFonts w:eastAsia="Times New Roman" w:cs="Times New Roman"/>
      <w:b/>
      <w:bCs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9">
    <w:name w:val="ListLabel 9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0">
    <w:name w:val="ListLabel 10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11">
    <w:name w:val="ListLabel 11"/>
    <w:qFormat/>
    <w:rsid w:val="00554837"/>
    <w:rPr>
      <w:rFonts w:eastAsia="Times New Roman" w:cs="Times New Roman"/>
      <w:b/>
      <w:bCs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ListLabel12">
    <w:name w:val="ListLabel 12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13">
    <w:name w:val="ListLabel 13"/>
    <w:qFormat/>
    <w:rsid w:val="00554837"/>
    <w:rPr>
      <w:rFonts w:eastAsia="Times New Roman" w:cs="Times New Roman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paragraph" w:styleId="Ttulo">
    <w:name w:val="Title"/>
    <w:basedOn w:val="Normal"/>
    <w:next w:val="Corpodetexto"/>
    <w:qFormat/>
    <w:rsid w:val="00013AD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554837"/>
    <w:pPr>
      <w:spacing w:after="140" w:line="288" w:lineRule="auto"/>
    </w:pPr>
  </w:style>
  <w:style w:type="paragraph" w:styleId="Lista">
    <w:name w:val="List"/>
    <w:basedOn w:val="Corpodetexto"/>
    <w:rsid w:val="00554837"/>
    <w:rPr>
      <w:rFonts w:cs="Mangal"/>
    </w:rPr>
  </w:style>
  <w:style w:type="paragraph" w:styleId="Legenda">
    <w:name w:val="caption"/>
    <w:basedOn w:val="Normal"/>
    <w:qFormat/>
    <w:rsid w:val="0055483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554837"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qFormat/>
    <w:rsid w:val="0055483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rsid w:val="00554837"/>
  </w:style>
  <w:style w:type="paragraph" w:styleId="Rodap">
    <w:name w:val="footer"/>
    <w:basedOn w:val="Normal"/>
    <w:rsid w:val="00554837"/>
  </w:style>
  <w:style w:type="paragraph" w:customStyle="1" w:styleId="Contedodatabela">
    <w:name w:val="Conteúdo da tabela"/>
    <w:basedOn w:val="Normal"/>
    <w:qFormat/>
    <w:rsid w:val="00554837"/>
  </w:style>
  <w:style w:type="paragraph" w:customStyle="1" w:styleId="Standard">
    <w:name w:val="Standard"/>
    <w:qFormat/>
    <w:rsid w:val="00554837"/>
    <w:pPr>
      <w:suppressAutoHyphens/>
      <w:spacing w:after="160"/>
    </w:pPr>
    <w:rPr>
      <w:rFonts w:ascii="Times New Roman" w:eastAsia="SimSun;宋体" w:hAnsi="Times New Roman" w:cs="Times New Roman"/>
      <w:color w:val="00000A"/>
    </w:rPr>
  </w:style>
  <w:style w:type="paragraph" w:customStyle="1" w:styleId="Textbody">
    <w:name w:val="Text body"/>
    <w:basedOn w:val="Standard"/>
    <w:qFormat/>
    <w:rsid w:val="00554837"/>
    <w:pPr>
      <w:ind w:right="283"/>
      <w:jc w:val="both"/>
    </w:pPr>
    <w:rPr>
      <w:b/>
      <w:bCs/>
    </w:rPr>
  </w:style>
  <w:style w:type="paragraph" w:customStyle="1" w:styleId="Default">
    <w:name w:val="Default"/>
    <w:qFormat/>
    <w:rsid w:val="00554837"/>
    <w:pPr>
      <w:widowControl w:val="0"/>
    </w:pPr>
    <w:rPr>
      <w:rFonts w:ascii="Times New Roman" w:hAnsi="Times New Roman"/>
      <w:color w:val="000000"/>
      <w:sz w:val="24"/>
    </w:rPr>
  </w:style>
  <w:style w:type="paragraph" w:styleId="PargrafodaLista">
    <w:name w:val="List Paragraph"/>
    <w:basedOn w:val="Normal"/>
    <w:qFormat/>
    <w:rsid w:val="00554837"/>
    <w:pPr>
      <w:spacing w:after="200"/>
      <w:ind w:left="720" w:firstLine="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usuario</cp:lastModifiedBy>
  <cp:revision>2</cp:revision>
  <dcterms:created xsi:type="dcterms:W3CDTF">2018-02-27T12:00:00Z</dcterms:created>
  <dcterms:modified xsi:type="dcterms:W3CDTF">2018-02-27T12:00:00Z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