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682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2348"/>
        <w:gridCol w:w="3128"/>
        <w:gridCol w:w="2485"/>
        <w:gridCol w:w="1502"/>
        <w:gridCol w:w="1218"/>
      </w:tblGrid>
      <w:tr>
        <w:trPr>
          <w:trHeight w:val="834" w:hRule="atLeast"/>
        </w:trPr>
        <w:tc>
          <w:tcPr>
            <w:tcW w:w="54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ind w:left="1416" w:hanging="0"/>
              <w:jc w:val="both"/>
              <w:rPr>
                <w:rFonts w:ascii="Times New Roman" w:hAnsi="Times New Roman" w:cs="Times New Roman"/>
              </w:rPr>
            </w:pPr>
            <w:r>
              <w:rPr/>
              <w:drawing>
                <wp:inline distT="0" distB="0" distL="0" distR="5715">
                  <wp:extent cx="2128520" cy="504190"/>
                  <wp:effectExtent l="0" t="0" r="0" b="0"/>
                  <wp:docPr id="1" name="Picture" descr="PRÓ-REITORIA DE GESTÃO DE PESSOA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" descr="PRÓ-REITORIA DE GESTÃO DE PESSOA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54683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8520" cy="504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5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tLeast" w:line="100" w:before="0" w:after="0"/>
              <w:jc w:val="center"/>
              <w:rPr>
                <w:rFonts w:ascii="Times New Roman" w:hAnsi="Times New Roman" w:cs="Times New Roman"/>
                <w:b/>
                <w:b/>
                <w:sz w:val="32"/>
                <w:szCs w:val="32"/>
              </w:rPr>
            </w:pPr>
            <w:r>
              <w:rPr>
                <w:rFonts w:cs="Times New Roman" w:ascii="Times New Roman" w:hAnsi="Times New Roman"/>
                <w:b/>
                <w:sz w:val="32"/>
                <w:szCs w:val="32"/>
              </w:rPr>
              <w:t>PRÓ-REITORIA DE GESTÃO DE PESSOAS</w:t>
            </w:r>
          </w:p>
        </w:tc>
      </w:tr>
      <w:tr>
        <w:trPr/>
        <w:tc>
          <w:tcPr>
            <w:tcW w:w="796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sz w:val="36"/>
                <w:szCs w:val="36"/>
              </w:rPr>
              <w:t>POP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Nº </w:t>
            </w:r>
          </w:p>
        </w:tc>
      </w:tr>
      <w:tr>
        <w:trPr>
          <w:trHeight w:val="418" w:hRule="atLeast"/>
        </w:trPr>
        <w:tc>
          <w:tcPr>
            <w:tcW w:w="7961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  <w:vAlign w:val="center"/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Ministério da Educação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Universidade Federal dos Vales do Jequitinhonha e Mucuri – UFVJM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Pró-Reitoria de Gestão de Pessoas – PROGEP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>Diretoria de Seleção e Desenvolvimento de Pessoal – DSD</w:t>
            </w:r>
          </w:p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</w:rPr>
              <w:t xml:space="preserve">Divisão de Seleção e Controle de Vagas 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Versão Nº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22" w:hRule="atLeast"/>
        </w:trPr>
        <w:tc>
          <w:tcPr>
            <w:tcW w:w="7961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Data de Aprovação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26" w:hRule="atLeast"/>
        </w:trPr>
        <w:tc>
          <w:tcPr>
            <w:tcW w:w="7961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Data de Publicação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>
          <w:trHeight w:val="409" w:hRule="atLeast"/>
        </w:trPr>
        <w:tc>
          <w:tcPr>
            <w:tcW w:w="7961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Data da última revisão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25/04/2018</w:t>
            </w:r>
          </w:p>
        </w:tc>
      </w:tr>
      <w:tr>
        <w:trPr/>
        <w:tc>
          <w:tcPr>
            <w:tcW w:w="2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Elaborador por</w:t>
            </w:r>
          </w:p>
        </w:tc>
        <w:tc>
          <w:tcPr>
            <w:tcW w:w="561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Débora Cristina dos Santos e Gerri de Maio Faustino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16"/>
                <w:szCs w:val="16"/>
              </w:rPr>
              <w:t>Data da elaboração</w:t>
            </w:r>
          </w:p>
        </w:tc>
        <w:tc>
          <w:tcPr>
            <w:tcW w:w="12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25/04/2018</w:t>
            </w:r>
          </w:p>
        </w:tc>
      </w:tr>
      <w:tr>
        <w:trPr/>
        <w:tc>
          <w:tcPr>
            <w:tcW w:w="2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Gestor</w:t>
            </w:r>
          </w:p>
        </w:tc>
        <w:tc>
          <w:tcPr>
            <w:tcW w:w="833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Patrícia Neves Orsetti</w:t>
            </w:r>
          </w:p>
        </w:tc>
      </w:tr>
      <w:tr>
        <w:trPr/>
        <w:tc>
          <w:tcPr>
            <w:tcW w:w="23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Título </w:t>
            </w:r>
          </w:p>
        </w:tc>
        <w:tc>
          <w:tcPr>
            <w:tcW w:w="833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  <w:sz w:val="22"/>
                <w:szCs w:val="22"/>
              </w:rPr>
              <w:t>Contratação de Professor Substituto</w:t>
            </w:r>
          </w:p>
        </w:tc>
      </w:tr>
    </w:tbl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10606" w:type="dxa"/>
        <w:jc w:val="left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0606"/>
      </w:tblGrid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Descrição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Ato formal de Contratação por prazo determinado para atender a necessidade temporária de excepcional interesse público, conforme inciso IV do artigo 2º da Lei nº 8.745/93.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Objetivo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Contratar professor substituto para suprir a falta de docentes efetivos integrantes do Plano de Carreiras e Cargos de Magistério Superior, de acordo com as condições e prazos previstos na Lei Nº 8.745, de 9 de Dezembro de 1993.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Público Alvo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3"/>
              </w:numPr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Comunidade Externa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Pré-requisitos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numPr>
                <w:ilvl w:val="0"/>
                <w:numId w:val="4"/>
              </w:numPr>
              <w:shd w:val="clear" w:color="auto" w:fill="FFFFFF"/>
              <w:suppressAutoHyphens w:val="false"/>
              <w:spacing w:lineRule="auto" w:line="240"/>
              <w:rPr>
                <w:rFonts w:ascii="Times New Roman" w:hAnsi="Times New Roman" w:eastAsia="Times New Roman" w:cs="Times New Roman"/>
                <w:color w:val="00000A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lang w:eastAsia="pt-BR"/>
              </w:rPr>
              <w:t>Aprovação em Processo Seletivo Simplificado</w:t>
            </w:r>
          </w:p>
          <w:p>
            <w:pPr>
              <w:pStyle w:val="Normal"/>
              <w:numPr>
                <w:ilvl w:val="0"/>
                <w:numId w:val="5"/>
              </w:numPr>
              <w:shd w:val="clear" w:color="auto" w:fill="FFFFFF"/>
              <w:suppressAutoHyphens w:val="false"/>
              <w:spacing w:lineRule="auto" w:line="240"/>
              <w:rPr>
                <w:rFonts w:ascii="Times New Roman" w:hAnsi="Times New Roman" w:eastAsia="Times New Roman" w:cs="Times New Roman"/>
                <w:color w:val="172938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lang w:eastAsia="pt-BR"/>
              </w:rPr>
              <w:t>Apresentação da documentação exigida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Responsáveis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Divisão de Seleção e Controle de Vagas</w:t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Unidade Acadêmica  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Atividades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Preencher com as atividades a serem executadas no processo, citando os responsáveis pela execução e prazo para realização de cada etapa.</w:t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Exemplo: </w:t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tbl>
            <w:tblPr>
              <w:tblW w:w="9988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1385"/>
              <w:gridCol w:w="5172"/>
              <w:gridCol w:w="1628"/>
              <w:gridCol w:w="1802"/>
            </w:tblGrid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tbl>
                  <w:tblPr>
                    <w:tblW w:w="1062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395"/>
                    <w:gridCol w:w="222"/>
                    <w:gridCol w:w="222"/>
                    <w:gridCol w:w="222"/>
                  </w:tblGrid>
                  <w:tr>
                    <w:trPr>
                      <w:trHeight w:val="280" w:hRule="atLeast"/>
                    </w:trPr>
                    <w:tc>
                      <w:tcPr>
                        <w:tcW w:w="39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ind w:left="-74" w:hanging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Nº </w:t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Atividade / Descrição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Responsável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Fazer a Papeleta de contratação em 02 vias. Encaminhar para a Divisão de Protocolo para confecção das pastas. O fichamento do processo ocorrerá conforme o número de áreas do Concurso e deverá constar o nome do candidato aprovado no Processo Seletivo.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Sob demanda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Anexar ao processo os seguintes documentos:</w:t>
                  </w:r>
                </w:p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Cópia da portaria interministerial de autorização das vagas no D.O.U; cópia do edital do PSS no D.O.U.; cópia da portaria de afastamento do professor a ser substituído; cópia da portaria de afastamento do professor a ser substituído publicado no D.O.U, quando for o caso (afastamento para o exterior),cópia de homologação do resultado do PSS no D.O.U.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 xml:space="preserve">1 dia 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 w:before="0" w:after="0"/>
                    <w:contextualSpacing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Anotar na capa do Processo:</w:t>
                  </w:r>
                </w:p>
                <w:p>
                  <w:pPr>
                    <w:pStyle w:val="Normal"/>
                    <w:suppressAutoHyphens w:val="false"/>
                    <w:spacing w:lineRule="auto" w:line="276" w:before="0" w:after="0"/>
                    <w:contextualSpacing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CPF,  Data de nascimento, Endereço de e-mail do contratado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Despachar o processo para a Divisão de Legislação e Normas solicitando que seja lavrada a Portaria de contratação.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05 dias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Encaminhar no SIGA para DLN.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Se não houver inconsistências com relação à documentação ou a algum dado, lavrar  portaria.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5 dias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Se houver inconsistências, devolver o processo à DSCV.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Corrigir as inconsistências e enviar novamente à DLN.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Lavrar a portaria e publicar do Diário Oficial da União.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5 dias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Após a lavratura da Portaria, enviá-la à Reitoria para assinatura.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Assinar e devolver a Portaria à DLN.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Reitoria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Normal"/>
                    <w:suppressAutoHyphens w:val="false"/>
                    <w:spacing w:lineRule="auto" w:line="276"/>
                    <w:rPr>
                      <w:rFonts w:ascii="Times New Roman" w:hAnsi="Times New Roman" w:eastAsia="Calibri" w:cs="Times New Roman" w:eastAsiaTheme="minorHAnsi"/>
                      <w:color w:val="00000A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color w:val="00000A"/>
                      <w:sz w:val="20"/>
                      <w:szCs w:val="20"/>
                    </w:rPr>
                    <w:t>Juntar a portaria e a publicação do DOU ao processo e despachar à DSCV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3 dias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 xml:space="preserve">Três dias antes da data da publicação no DOU, encaminhar via e-mail o ofício informando ao candidato a data de início do contrato e documentação que deve ser apresentada para investidura no cargo. (Encaminhar cópia do e-mail para o departamento responsável pela vaga) OBS. </w:t>
                  </w:r>
                  <w:r>
                    <w:rPr>
                      <w:rFonts w:eastAsia="Calibri" w:cs="Times New Roman" w:ascii="Times New Roman" w:hAnsi="Times New Roman" w:eastAsiaTheme="minorHAnsi"/>
                      <w:sz w:val="20"/>
                      <w:szCs w:val="20"/>
                    </w:rPr>
                    <w:t xml:space="preserve">As etapas </w:t>
                  </w:r>
                  <w:r>
                    <w:rPr>
                      <w:rFonts w:eastAsia="Calibri" w:cs="Times New Roman" w:ascii="Times New Roman" w:hAnsi="Times New Roman" w:eastAsiaTheme="minorHAnsi"/>
                      <w:sz w:val="20"/>
                      <w:szCs w:val="20"/>
                      <w:u w:val="single"/>
                    </w:rPr>
                    <w:t>14 a 17</w:t>
                  </w:r>
                  <w:r>
                    <w:rPr>
                      <w:rFonts w:eastAsia="Calibri" w:cs="Times New Roman" w:ascii="Times New Roman" w:hAnsi="Times New Roman" w:eastAsiaTheme="minorHAnsi"/>
                      <w:sz w:val="20"/>
                      <w:szCs w:val="20"/>
                    </w:rPr>
                    <w:t xml:space="preserve"> devem ser executadas concomitante às etapas </w:t>
                  </w:r>
                  <w:r>
                    <w:rPr>
                      <w:rFonts w:eastAsia="Calibri" w:cs="Times New Roman" w:ascii="Times New Roman" w:hAnsi="Times New Roman" w:eastAsiaTheme="minorHAnsi"/>
                      <w:sz w:val="20"/>
                      <w:szCs w:val="20"/>
                      <w:u w:val="single"/>
                    </w:rPr>
                    <w:t xml:space="preserve">4 a 12, </w:t>
                  </w:r>
                  <w:r>
                    <w:rPr>
                      <w:rFonts w:eastAsia="Calibri" w:cs="Times New Roman" w:ascii="Times New Roman" w:hAnsi="Times New Roman" w:eastAsiaTheme="minorHAnsi"/>
                      <w:sz w:val="20"/>
                      <w:szCs w:val="20"/>
                    </w:rPr>
                    <w:t>para agilizar o processo.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Elaborar o Contrato Administrativo de Professor Substituto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Enviar 02 vias do contrato à Reitoria para assinatura.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Conferir documentação do candidato antes da entrada em exercício e solicitar a assinatura em 2 (duas) vias do contrato.</w:t>
                  </w:r>
                </w:p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O contrato também deverá ser assinado por 2 (duas) testemunhas 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Entregar ao professor substituto uma via do contrato e anexar a outra ao processo de contratação.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sz w:val="20"/>
                      <w:szCs w:val="20"/>
                    </w:rPr>
                    <w:t>Digitalizar, Numerar e rubricar as páginas do Processo de Contratação.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eastAsia="Calibri" w:cs="Times New Roman" w:eastAsiaTheme="minorHAnsi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sz w:val="20"/>
                      <w:szCs w:val="20"/>
                    </w:rPr>
                    <w:t>Encaminhar Documentos Digitalizados para a Divisão de Arquivo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eastAsia="Calibri" w:cs="Times New Roman" w:eastAsiaTheme="minorHAnsi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sz w:val="20"/>
                      <w:szCs w:val="20"/>
                    </w:rPr>
                    <w:t>Incluir os documentos Digitalizados no AFD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Divisão de Arquivo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eastAsia="Calibri" w:cs="Times New Roman" w:eastAsiaTheme="minorHAnsi"/>
                      <w:sz w:val="20"/>
                      <w:szCs w:val="20"/>
                    </w:rPr>
                  </w:pPr>
                  <w:r>
                    <w:rPr>
                      <w:rFonts w:eastAsia="Calibri" w:cs="Times New Roman" w:ascii="Times New Roman" w:hAnsi="Times New Roman" w:eastAsiaTheme="minorHAnsi"/>
                      <w:sz w:val="20"/>
                      <w:szCs w:val="20"/>
                    </w:rPr>
                    <w:t>Encaminhar (tramitar no SIGA) o processo de contratação para a Divisão de Cadastros.</w:t>
                  </w:r>
                </w:p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Receber o Processo de Contratação  via SIGA.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Proceder à confecção do Cadastro Manual do professor substituto em formulário disponível no Setor.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Proceder à inclusão dos dados do professor substituto no sistema de cadastros SIAPE, onde será gerada a matrícula SIAPE. Anotar matrícula no Cadastro Manual.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 - Observar o cronograma da Folha de Pagamento/MPOG.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Apor no verso do Ofício de Entrada em Exercício e da Portaria de Contratação, a confirmação de inclusão dos dados, assinatura e data.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Imediatamente após a inclusão dos dados no sistema.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Encaminhar o Processo à Divisão de Pagamentos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Imediatamente após a inclusão dos dados no sistema.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 xml:space="preserve">Verificar qual é o valor da remuneração estabelecida no contrato, conferir se os valores estão de acordo com as tabelas de remunerações e auxílios vigentes e incluir manualmente a rubrica de pagamento do professor substituto com prazo em acordo ao período da contratação. 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 - Observar o cronograma da Folha de Pagamento/MPOG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Realizar quando necessário o cálculo manual de valores retroativos (mês anterior da folha de pagamento vigente) e lançar no sistema.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 - Observar o cronograma da Folha de Pagamento/MPOG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Imprimir uma ficha financeira de comprovação da execução do pagamento.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 - Observar o cronograma da Folha de Pagamento/MPOG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Apor no verso do Ofício de Entrada em Exercício e da Portaria de Contratação, a confirmação de inclusão do pagamento, assinatura e data.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Imediatamente após a confirmação de lançamento do pagamento.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Encaminhar o processo para a Divisão de Cadastros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Divisão de Pagamentos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Imediatamente após a confirmação de lançamento do pagamento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 xml:space="preserve">Manter o Processo de Contratação sob guarda até a data de Homologação da Folha de Pagamentos. 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Observar o cronograma da Folha de Pagamento/MPOG.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Por ocasião da Homologação da Folha, conferir os dados lançados no sistema (proceder às eventuais correções) e imprimir Relatórios de Dados Pessoais e Funcionais e anexá-los ao Processo.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Normal"/>
                    <w:jc w:val="center"/>
                    <w:rPr>
                      <w:rFonts w:ascii="Times New Roman" w:hAnsi="Times New Roman" w:cs="Times New Roman"/>
                      <w:color w:val="00000A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color w:val="00000A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 - Observar o cronograma da Folha de Pagamento/MPOG.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Lançar exercício do novo servidor no SIGA.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Tramitar Processo para a DLN via SIGA.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  <w:vAlign w:val="center"/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Div. Cadastros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01 dia</w:t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eastAsia="Calibri" w:cs="Times New Roman" w:eastAsiaTheme="minorHAnsi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Se faltar alguma documentação, enviar o processo à DSCV para complementação.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eastAsia="Calibri" w:cs="Times New Roman" w:eastAsiaTheme="minorHAnsi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Providenciar a documentação faltosa e reenviar o processo à DLN.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DSCV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eastAsia="Calibri" w:cs="Times New Roman" w:eastAsiaTheme="minorHAnsi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Preencher o cadastro referente à contratação no Sistema E_Pessoal  do Tribunal de Contas da União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Enviar o processo ao Arquivo da PROGEP.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DLN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138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numPr>
                      <w:ilvl w:val="0"/>
                      <w:numId w:val="2"/>
                    </w:numPr>
                    <w:spacing w:lineRule="atLeast" w:line="100" w:before="0" w:after="0"/>
                    <w:jc w:val="center"/>
                    <w:rPr>
                      <w:rFonts w:ascii="Times New Roman" w:hAnsi="Times New Roman" w:cs="Times New Roman"/>
                      <w:b/>
                      <w:b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b/>
                      <w:sz w:val="20"/>
                      <w:szCs w:val="20"/>
                    </w:rPr>
                  </w:r>
                </w:p>
              </w:tc>
              <w:tc>
                <w:tcPr>
                  <w:tcW w:w="517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Arquivar o processo</w:t>
                  </w:r>
                </w:p>
              </w:tc>
              <w:tc>
                <w:tcPr>
                  <w:tcW w:w="16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  <w:t>Divisão de Arquivo</w:t>
                  </w:r>
                </w:p>
              </w:tc>
              <w:tc>
                <w:tcPr>
                  <w:tcW w:w="180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cs="Times New Roman" w:ascii="Times New Roman" w:hAnsi="Times New Roman"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tbl>
            <w:tblPr>
              <w:tblW w:w="9988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946"/>
              <w:gridCol w:w="1243"/>
              <w:gridCol w:w="1682"/>
              <w:gridCol w:w="4116"/>
            </w:tblGrid>
            <w:tr>
              <w:trPr/>
              <w:tc>
                <w:tcPr>
                  <w:tcW w:w="29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tbl>
                  <w:tblPr>
                    <w:tblW w:w="1698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0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0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Nome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2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voip</w:t>
                  </w:r>
                </w:p>
              </w:tc>
              <w:tc>
                <w:tcPr>
                  <w:tcW w:w="16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celular</w:t>
                  </w:r>
                </w:p>
              </w:tc>
              <w:tc>
                <w:tcPr>
                  <w:tcW w:w="4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Divisão de Seleção e Controle de Vagas</w:t>
                  </w:r>
                </w:p>
              </w:tc>
              <w:tc>
                <w:tcPr>
                  <w:tcW w:w="12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8168</w:t>
                  </w:r>
                </w:p>
              </w:tc>
              <w:tc>
                <w:tcPr>
                  <w:tcW w:w="16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4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concursos@ufvjm.edu.br</w:t>
                  </w:r>
                </w:p>
              </w:tc>
            </w:tr>
            <w:tr>
              <w:trPr/>
              <w:tc>
                <w:tcPr>
                  <w:tcW w:w="29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Divisão de Legislação e Normas</w:t>
                  </w:r>
                </w:p>
              </w:tc>
              <w:tc>
                <w:tcPr>
                  <w:tcW w:w="12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8170/8062</w:t>
                  </w:r>
                </w:p>
              </w:tc>
              <w:tc>
                <w:tcPr>
                  <w:tcW w:w="16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4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dln.progep@ufvjm.edu.br</w:t>
                  </w:r>
                </w:p>
              </w:tc>
            </w:tr>
            <w:tr>
              <w:trPr/>
              <w:tc>
                <w:tcPr>
                  <w:tcW w:w="29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Divisão de Cadastros</w:t>
                  </w:r>
                </w:p>
              </w:tc>
              <w:tc>
                <w:tcPr>
                  <w:tcW w:w="12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8173, 8169</w:t>
                  </w:r>
                </w:p>
              </w:tc>
              <w:tc>
                <w:tcPr>
                  <w:tcW w:w="16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4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cadastros.progep@ufvjm.edu.br</w:t>
                  </w:r>
                </w:p>
              </w:tc>
            </w:tr>
            <w:tr>
              <w:trPr/>
              <w:tc>
                <w:tcPr>
                  <w:tcW w:w="29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Divisão de Pagamentos</w:t>
                  </w:r>
                </w:p>
              </w:tc>
              <w:tc>
                <w:tcPr>
                  <w:tcW w:w="12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8174</w:t>
                  </w:r>
                </w:p>
              </w:tc>
              <w:tc>
                <w:tcPr>
                  <w:tcW w:w="16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4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pagamento.progep@ufvjm.edu.br</w:t>
                  </w:r>
                </w:p>
              </w:tc>
            </w:tr>
            <w:tr>
              <w:trPr/>
              <w:tc>
                <w:tcPr>
                  <w:tcW w:w="294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Divisão de Arquivo</w:t>
                  </w:r>
                </w:p>
              </w:tc>
              <w:tc>
                <w:tcPr>
                  <w:tcW w:w="124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8171</w:t>
                  </w:r>
                </w:p>
              </w:tc>
              <w:tc>
                <w:tcPr>
                  <w:tcW w:w="168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411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arquivo.progep@ufvjm.edu.br</w:t>
                  </w:r>
                </w:p>
              </w:tc>
            </w:tr>
          </w:tbl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 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b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 xml:space="preserve">DSCV –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Divisão de Seleção e Controle de Vagas</w:t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PSS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– Processo Seletivo Simplificado</w:t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SIGA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– Sistema Integrado de Gestão Acadêmica</w:t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DLN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Divisão de Legislação e Normas</w:t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DOU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– Diário Oficial da União</w:t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CGU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– Controladoria Geral da União</w:t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Material de suporte</w:t>
            </w:r>
          </w:p>
          <w:p>
            <w:pPr>
              <w:pStyle w:val="Normal"/>
              <w:numPr>
                <w:ilvl w:val="0"/>
                <w:numId w:val="6"/>
              </w:numPr>
              <w:spacing w:lineRule="atLeast" w:line="10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Lei nº 8745 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de 9 de dezembro de 1993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–</w:t>
            </w: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  Dispõe sobre a contratação por tempo determinado para atender a necessidade temporária de excepcional interesse público, nos termos do inciso IX do art. 37 da Constituição Federal, e dá outras providências.        </w:t>
            </w:r>
            <w:hyperlink r:id="rId3">
              <w:r>
                <w:rPr>
                  <w:rStyle w:val="LinkdaInternet"/>
                  <w:rFonts w:cs="Times New Roman" w:ascii="Times New Roman" w:hAnsi="Times New Roman"/>
                  <w:color w:val="00000A"/>
                  <w:sz w:val="24"/>
                  <w:szCs w:val="24"/>
                  <w:highlight w:val="white"/>
                  <w:u w:val="none"/>
                </w:rPr>
                <w:t>http://www.planalto.gov.br/ccivil_03/leis/L8745cons.htm</w:t>
              </w:r>
            </w:hyperlink>
          </w:p>
          <w:p>
            <w:pPr>
              <w:pStyle w:val="Normal"/>
              <w:numPr>
                <w:ilvl w:val="0"/>
                <w:numId w:val="6"/>
              </w:numPr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 xml:space="preserve">Lei nº 9.849, de 26 de outubro de 1999 - Altera os Arts. 2o, 3o, 4o, 5o, 6o, 7o e 9o da Lei no 8.745, de 9 de dezembro de 1993. </w:t>
            </w:r>
          </w:p>
          <w:p>
            <w:pPr>
              <w:pStyle w:val="Normal"/>
              <w:spacing w:lineRule="atLeast" w:line="100" w:before="0" w:after="0"/>
              <w:ind w:left="720" w:hanging="0"/>
              <w:rPr/>
            </w:pPr>
            <w:hyperlink r:id="rId4">
              <w:r>
                <w:rPr>
                  <w:rStyle w:val="LinkdaInternet"/>
                  <w:rFonts w:cs="Times New Roman" w:ascii="Times New Roman" w:hAnsi="Times New Roman"/>
                  <w:color w:val="00000A"/>
                  <w:sz w:val="24"/>
                  <w:szCs w:val="24"/>
                  <w:highlight w:val="white"/>
                  <w:u w:val="none"/>
                </w:rPr>
                <w:t>http://www.planalto.gov.br/ccivil_03/leis/L9849.htm</w:t>
              </w:r>
            </w:hyperlink>
          </w:p>
          <w:p>
            <w:pPr>
              <w:pStyle w:val="Normal"/>
              <w:numPr>
                <w:ilvl w:val="0"/>
                <w:numId w:val="7"/>
              </w:numPr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FF" w:val="clear"/>
              </w:rPr>
              <w:t>Constituição da República Federativa do Brasil de 1988</w:t>
            </w:r>
          </w:p>
          <w:p>
            <w:pPr>
              <w:pStyle w:val="Normal"/>
              <w:spacing w:lineRule="atLeast" w:line="100" w:before="0" w:after="0"/>
              <w:ind w:left="720" w:hanging="0"/>
              <w:rPr/>
            </w:pPr>
            <w:hyperlink r:id="rId5">
              <w:r>
                <w:rPr>
                  <w:rStyle w:val="LinkdaInternet"/>
                  <w:rFonts w:cs="Times New Roman" w:ascii="Times New Roman" w:hAnsi="Times New Roman"/>
                  <w:color w:val="00000A"/>
                  <w:sz w:val="24"/>
                  <w:szCs w:val="24"/>
                  <w:highlight w:val="white"/>
                  <w:u w:val="none"/>
                </w:rPr>
                <w:t>http://www.planalto.gov.br/ccivil_03/constituicao/constituicao.htm</w:t>
              </w:r>
            </w:hyperlink>
          </w:p>
          <w:p>
            <w:pPr>
              <w:pStyle w:val="Normal"/>
              <w:numPr>
                <w:ilvl w:val="0"/>
                <w:numId w:val="7"/>
              </w:numPr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Resolução Nº 14 – CONSU, 3 de Julho de 2011. </w:t>
            </w:r>
          </w:p>
          <w:p>
            <w:pPr>
              <w:pStyle w:val="Normal"/>
              <w:spacing w:lineRule="atLeast" w:line="100" w:before="0" w:after="0"/>
              <w:ind w:left="720" w:hang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Administração - Conselhos – CONSU- Resoluções</w:t>
            </w:r>
          </w:p>
          <w:p>
            <w:pPr>
              <w:pStyle w:val="ListParagraph"/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Fluxograma do processo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Normal"/>
              <w:spacing w:lineRule="atLeast" w:line="10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/>
              <w:drawing>
                <wp:inline distT="0" distB="4445" distL="0" distR="0">
                  <wp:extent cx="5667375" cy="5558790"/>
                  <wp:effectExtent l="0" t="0" r="0" b="0"/>
                  <wp:docPr id="2" name="Imagem 1" descr="e:\Users\usuario\Desktop\POPS GERRI\PROCESSO DE CONTRATAÇÃO FLUXOGRAMA VERSAO 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1" descr="e:\Users\usuario\Desktop\POPS GERRI\PROCESSO DE CONTRATAÇÃO FLUXOGRAMA VERSAO 0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7375" cy="5558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tbl>
            <w:tblPr>
              <w:tblW w:w="10130" w:type="dxa"/>
              <w:jc w:val="left"/>
              <w:tblInd w:w="250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2064"/>
              <w:gridCol w:w="1310"/>
              <w:gridCol w:w="4486"/>
              <w:gridCol w:w="2269"/>
            </w:tblGrid>
            <w:tr>
              <w:trPr/>
              <w:tc>
                <w:tcPr>
                  <w:tcW w:w="2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tbl>
                  <w:tblPr>
                    <w:tblW w:w="1740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1073"/>
                    <w:gridCol w:w="222"/>
                    <w:gridCol w:w="222"/>
                    <w:gridCol w:w="222"/>
                  </w:tblGrid>
                  <w:tr>
                    <w:trPr>
                      <w:trHeight w:val="280" w:hRule="atLeast"/>
                    </w:trPr>
                    <w:tc>
                      <w:tcPr>
                        <w:tcW w:w="1073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ind w:right="-143" w:hanging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bookmarkStart w:id="0" w:name="_GoBack"/>
                        <w:bookmarkEnd w:id="0"/>
                        <w:r>
                          <w:rPr>
                            <w:rFonts w:cs="Times New Roman"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Atividade </w:t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31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Data</w:t>
                  </w:r>
                </w:p>
              </w:tc>
              <w:tc>
                <w:tcPr>
                  <w:tcW w:w="44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Nome</w:t>
                  </w:r>
                </w:p>
              </w:tc>
              <w:tc>
                <w:tcPr>
                  <w:tcW w:w="22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2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Data da elaboração</w:t>
                  </w:r>
                </w:p>
              </w:tc>
              <w:tc>
                <w:tcPr>
                  <w:tcW w:w="131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25/04/2018</w:t>
                  </w:r>
                </w:p>
              </w:tc>
              <w:tc>
                <w:tcPr>
                  <w:tcW w:w="44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 xml:space="preserve">Gerri de Maio Faustino </w:t>
                  </w:r>
                </w:p>
              </w:tc>
              <w:tc>
                <w:tcPr>
                  <w:tcW w:w="22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Assistente em Administração</w:t>
                  </w:r>
                </w:p>
              </w:tc>
            </w:tr>
            <w:tr>
              <w:trPr/>
              <w:tc>
                <w:tcPr>
                  <w:tcW w:w="2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Data da aprovação</w:t>
                  </w:r>
                </w:p>
              </w:tc>
              <w:tc>
                <w:tcPr>
                  <w:tcW w:w="131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44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2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2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Data da publicação</w:t>
                  </w:r>
                </w:p>
              </w:tc>
              <w:tc>
                <w:tcPr>
                  <w:tcW w:w="131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44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2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206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Data da revisão</w:t>
                  </w:r>
                </w:p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131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25/04/2018</w:t>
                  </w:r>
                </w:p>
              </w:tc>
              <w:tc>
                <w:tcPr>
                  <w:tcW w:w="448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Débora Cristina dos Santos</w:t>
                  </w:r>
                </w:p>
              </w:tc>
              <w:tc>
                <w:tcPr>
                  <w:tcW w:w="226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  <w:t>Assistente em Administração/Chefe da Divisão de Seleção e Controle de Vagas</w:t>
                  </w:r>
                </w:p>
              </w:tc>
            </w:tr>
          </w:tbl>
          <w:p>
            <w:pPr>
              <w:pStyle w:val="ListParagraph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tLeast" w:line="10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03" w:type="dxa"/>
            </w:tcMar>
          </w:tcPr>
          <w:p>
            <w:pPr>
              <w:pStyle w:val="ListParagraph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  <w:tbl>
            <w:tblPr>
              <w:tblW w:w="9988" w:type="dxa"/>
              <w:jc w:val="left"/>
              <w:tblInd w:w="392" w:type="dxa"/>
              <w:tblBorders>
                <w:top w:val="single" w:sz="4" w:space="0" w:color="00000A"/>
                <w:left w:val="single" w:sz="4" w:space="0" w:color="00000A"/>
                <w:bottom w:val="single" w:sz="4" w:space="0" w:color="00000A"/>
                <w:right w:val="single" w:sz="4" w:space="0" w:color="00000A"/>
                <w:insideH w:val="single" w:sz="4" w:space="0" w:color="00000A"/>
                <w:insideV w:val="single" w:sz="4" w:space="0" w:color="00000A"/>
              </w:tblBorders>
              <w:tblCellMar>
                <w:top w:w="0" w:type="dxa"/>
                <w:left w:w="103" w:type="dxa"/>
                <w:bottom w:w="0" w:type="dxa"/>
                <w:right w:w="108" w:type="dxa"/>
              </w:tblCellMar>
              <w:tblLook w:firstRow="0" w:noVBand="0" w:lastRow="0" w:firstColumn="0" w:lastColumn="0" w:noHBand="0" w:val="0000"/>
            </w:tblPr>
            <w:tblGrid>
              <w:gridCol w:w="1925"/>
              <w:gridCol w:w="960"/>
              <w:gridCol w:w="5036"/>
              <w:gridCol w:w="2066"/>
            </w:tblGrid>
            <w:tr>
              <w:trPr/>
              <w:tc>
                <w:tcPr>
                  <w:tcW w:w="192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tbl>
                  <w:tblPr>
                    <w:tblW w:w="1603" w:type="dxa"/>
                    <w:jc w:val="left"/>
                    <w:tblInd w:w="108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36"/>
                    <w:gridCol w:w="222"/>
                    <w:gridCol w:w="222"/>
                    <w:gridCol w:w="222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  <w:tc>
                      <w:tcPr>
                        <w:tcW w:w="22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tLeast" w:line="100" w:before="0" w:after="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cs="Times New Roman" w:ascii="Times New Roman" w:hAnsi="Times New Roman"/>
                            <w:sz w:val="24"/>
                            <w:szCs w:val="24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9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Data</w:t>
                  </w:r>
                </w:p>
              </w:tc>
              <w:tc>
                <w:tcPr>
                  <w:tcW w:w="50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Descrição das mudanças</w:t>
                  </w:r>
                </w:p>
              </w:tc>
              <w:tc>
                <w:tcPr>
                  <w:tcW w:w="206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92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9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50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6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92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9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50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6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192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960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503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  <w:tc>
                <w:tcPr>
                  <w:tcW w:w="2066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103" w:type="dxa"/>
                  </w:tcMar>
                </w:tcPr>
                <w:p>
                  <w:pPr>
                    <w:pStyle w:val="ListParagraph"/>
                    <w:spacing w:lineRule="atLeast" w:line="100" w:before="0" w:after="0"/>
                    <w:ind w:left="0" w:hanging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cs="Times New Roman" w:ascii="Times New Roman" w:hAnsi="Times New Roman"/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ListParagraph"/>
              <w:spacing w:lineRule="atLeast" w:line="10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/>
      </w:r>
    </w:p>
    <w:sectPr>
      <w:footerReference w:type="default" r:id="rId7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Arial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jc w:val="right"/>
      <w:rPr/>
    </w:pPr>
    <w:r>
      <w:rPr>
        <w:color w:val="76923C"/>
      </w:rPr>
      <w:t>_______________________________________________________________________________________________</w:t>
    </w:r>
  </w:p>
  <w:p>
    <w:pPr>
      <w:pStyle w:val="Rodap"/>
      <w:jc w:val="right"/>
      <w:rPr/>
    </w:pPr>
    <w:r>
      <w:rPr/>
      <w:t xml:space="preserve">Página </w:t>
    </w:r>
    <w:r>
      <w:rPr/>
      <w:fldChar w:fldCharType="begin"/>
    </w:r>
    <w:r>
      <w:instrText> PAGE </w:instrText>
    </w:r>
    <w:r>
      <w:fldChar w:fldCharType="separate"/>
    </w:r>
    <w:r>
      <w:t>5</w:t>
    </w:r>
    <w:r>
      <w:fldChar w:fldCharType="end"/>
    </w:r>
    <w:r>
      <w:rPr/>
      <w:t xml:space="preserve"> de </w:t>
    </w:r>
    <w:r>
      <w:rPr/>
      <w:fldChar w:fldCharType="begin"/>
    </w:r>
    <w:r>
      <w:instrText> NUMPAGES </w:instrText>
    </w:r>
    <w:r>
      <w:fldChar w:fldCharType="separate"/>
    </w:r>
    <w:r>
      <w:t>5</w:t>
    </w:r>
    <w:r>
      <w:fldChar w:fldCharType="end"/>
    </w:r>
  </w:p>
  <w:p>
    <w:pPr>
      <w:pStyle w:val="Standard"/>
      <w:ind w:left="-851" w:right="-851" w:hanging="0"/>
      <w:jc w:val="center"/>
      <w:rPr/>
    </w:pPr>
    <w:r>
      <w:rPr>
        <w:rFonts w:cs="Arial Narrow" w:ascii="Arial Narrow" w:hAnsi="Arial Narrow"/>
        <w:sz w:val="14"/>
        <w:szCs w:val="14"/>
      </w:rPr>
      <w:t>PROGEP/UFVJM:  Rodovia MGT 367- km 583, nº 5000 – Alto da Jacuba / CEP: 39100-000  Diamantina-MG-Brasil / PABX: (38) 3532-1200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lvl w:ilvl="0">
      <w:start w:val="1"/>
      <w:numFmt w:val="bullet"/>
      <w:lvlText w:val=""/>
      <w:lvlJc w:val="left"/>
      <w:pPr>
        <w:ind w:left="80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4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6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40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2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65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4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customStyle="1">
    <w:name w:val="Normal"/>
    <w:qFormat/>
    <w:pPr>
      <w:widowControl/>
      <w:suppressAutoHyphens w:val="true"/>
      <w:bidi w:val="0"/>
      <w:jc w:val="left"/>
    </w:pPr>
    <w:rPr>
      <w:rFonts w:ascii="Calibri" w:hAnsi="Calibri" w:eastAsia="Lucida Sans Unicode" w:cs="Calibri" w:asciiTheme="minorHAnsi" w:hAnsiTheme="minorHAnsi"/>
      <w:color w:val="auto"/>
      <w:sz w:val="24"/>
      <w:szCs w:val="22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qFormat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qFormat/>
    <w:rPr/>
  </w:style>
  <w:style w:type="character" w:styleId="WW8Num1ztrue" w:customStyle="1">
    <w:name w:val="WW8Num1ztrue"/>
    <w:qFormat/>
    <w:rPr/>
  </w:style>
  <w:style w:type="character" w:styleId="LinkdaInternet">
    <w:name w:val="Link da Internet"/>
    <w:basedOn w:val="DefaultParagraphFont"/>
    <w:uiPriority w:val="99"/>
    <w:unhideWhenUsed/>
    <w:rsid w:val="00dc69cd"/>
    <w:rPr>
      <w:color w:val="0000FF" w:themeColor="hyperlink"/>
      <w:u w:val="single"/>
    </w:rPr>
  </w:style>
  <w:style w:type="character" w:styleId="ListLabel1" w:customStyle="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ascii="Times New Roman" w:hAnsi="Times New Roman"/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rFonts w:ascii="Times New Roman" w:hAnsi="Times New Roman"/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Corpodotexto" w:customStyle="1">
    <w:name w:val="Corpo do texto"/>
    <w:basedOn w:val="Normal"/>
    <w:qFormat/>
    <w:pPr>
      <w:spacing w:before="0" w:after="120"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BalloonText">
    <w:name w:val="Balloon Text"/>
    <w:basedOn w:val="Normal"/>
    <w:qFormat/>
    <w:pPr>
      <w:spacing w:lineRule="atLeast" w:line="10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  <w:spacing w:lineRule="atLeast" w:line="100" w:before="0" w:after="0"/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  <w:spacing w:lineRule="atLeast" w:line="100" w:before="0" w:after="0"/>
    </w:pPr>
    <w:rPr/>
  </w:style>
  <w:style w:type="paragraph" w:styleId="Normal1" w:customStyle="1">
    <w:name w:val="Normal1"/>
    <w:qFormat/>
    <w:pPr>
      <w:widowControl/>
      <w:suppressAutoHyphens w:val="true"/>
      <w:bidi w:val="0"/>
      <w:spacing w:lineRule="atLeast" w:line="10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eastAsia="zh-CN" w:val="pt-BR" w:bidi="ar-SA"/>
    </w:rPr>
  </w:style>
  <w:style w:type="paragraph" w:styleId="Standard" w:customStyle="1">
    <w:name w:val="Standard"/>
    <w:qFormat/>
    <w:pPr>
      <w:widowControl w:val="false"/>
      <w:suppressAutoHyphens w:val="true"/>
      <w:bidi w:val="0"/>
      <w:spacing w:lineRule="atLeast" w:line="100" w:before="0" w:after="0"/>
      <w:jc w:val="left"/>
      <w:textAlignment w:val="baseline"/>
    </w:pPr>
    <w:rPr>
      <w:rFonts w:ascii="Times New Roman" w:hAnsi="Times New Roman" w:eastAsia="Lucida Sans Unicode" w:cs="Mangal"/>
      <w:color w:val="auto"/>
      <w:sz w:val="24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planalto.gov.br/ccivil_03/leis/L8745cons.htm" TargetMode="External"/><Relationship Id="rId4" Type="http://schemas.openxmlformats.org/officeDocument/2006/relationships/hyperlink" Target="http://www.planalto.gov.br/ccivil_03/leis/L9849.htm" TargetMode="External"/><Relationship Id="rId5" Type="http://schemas.openxmlformats.org/officeDocument/2006/relationships/hyperlink" Target="http://www.planalto.gov.br/ccivil_03/constituicao/constituicao.htm" TargetMode="External"/><Relationship Id="rId6" Type="http://schemas.openxmlformats.org/officeDocument/2006/relationships/image" Target="media/image2.png"/><Relationship Id="rId7" Type="http://schemas.openxmlformats.org/officeDocument/2006/relationships/footer" Target="footer1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LibreOffice/5.1.5.2$Windows_x86 LibreOffice_project/7a864d8825610a8c07cfc3bc01dd4fce6a9447e5</Application>
  <Pages>1</Pages>
  <Words>1383</Words>
  <CharactersWithSpaces>7471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2018-04-25T17:51:00Z</dcterms:created>
  <dc:creator>usuario</dc:creator>
  <dc:description/>
  <dc:language>pt-BR</dc:language>
  <cp:lastModifiedBy>r</cp:lastModifiedBy>
  <cp:lastPrinted>2018-04-25T13:56:00Z</cp:lastPrinted>
  <dcterms:modified xsi:type="dcterms:W3CDTF">2018-04-26T11:24:00Z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