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media/image2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Corpodetexto"/>
        <w:rPr/>
      </w:pPr>
      <w:r>
        <w:rPr/>
      </w:r>
    </w:p>
    <w:tbl>
      <w:tblPr>
        <w:tblW w:w="10627" w:type="dxa"/>
        <w:jc w:val="left"/>
        <w:tblInd w:w="38" w:type="dxa"/>
        <w:tblBorders>
          <w:top w:val="single" w:sz="4" w:space="0" w:color="00000A"/>
          <w:left w:val="single" w:sz="4" w:space="0" w:color="00000A"/>
          <w:bottom w:val="single" w:sz="4" w:space="0" w:color="00000A"/>
          <w:insideH w:val="single" w:sz="4" w:space="0" w:color="00000A"/>
        </w:tblBorders>
        <w:tblCellMar>
          <w:top w:w="0" w:type="dxa"/>
          <w:left w:w="43" w:type="dxa"/>
          <w:bottom w:w="0" w:type="dxa"/>
          <w:right w:w="108" w:type="dxa"/>
        </w:tblCellMar>
        <w:tblLook w:val="0000"/>
      </w:tblPr>
      <w:tblGrid>
        <w:gridCol w:w="1667"/>
        <w:gridCol w:w="3448"/>
        <w:gridCol w:w="2746"/>
        <w:gridCol w:w="1"/>
        <w:gridCol w:w="1619"/>
        <w:gridCol w:w="1"/>
        <w:gridCol w:w="1144"/>
      </w:tblGrid>
      <w:tr>
        <w:trPr>
          <w:trHeight w:val="1140" w:hRule="atLeast"/>
        </w:trPr>
        <w:tc>
          <w:tcPr>
            <w:tcW w:w="511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color="auto" w:fill="auto" w:val="clear"/>
            <w:tcMar>
              <w:left w:w="43" w:type="dxa"/>
            </w:tcMar>
          </w:tcPr>
          <w:p>
            <w:pPr>
              <w:pStyle w:val="Normal"/>
              <w:ind w:left="170" w:hanging="0"/>
              <w:jc w:val="center"/>
              <w:rPr/>
            </w:pPr>
            <w:r>
              <w:rPr/>
              <w:drawing>
                <wp:inline distT="0" distB="0" distL="0" distR="0">
                  <wp:extent cx="3018155" cy="715010"/>
                  <wp:effectExtent l="0" t="0" r="0" b="0"/>
                  <wp:docPr id="1" name="Picture" descr="PRÓ-REITORIA DE GESTÃO DE PESSOA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" descr="PRÓ-REITORIA DE GESTÃO DE PESSOA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rcRect l="0" t="0" r="54665" b="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18155" cy="7150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11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43" w:type="dxa"/>
            </w:tcMar>
          </w:tcPr>
          <w:p>
            <w:pPr>
              <w:pStyle w:val="Normal"/>
              <w:ind w:left="170" w:hanging="0"/>
              <w:jc w:val="center"/>
              <w:rPr>
                <w:sz w:val="44"/>
                <w:szCs w:val="44"/>
              </w:rPr>
            </w:pPr>
            <w:r>
              <w:rPr>
                <w:rFonts w:cs="Calibri" w:ascii="Calibri" w:hAnsi="Calibri"/>
                <w:b/>
                <w:sz w:val="44"/>
                <w:szCs w:val="44"/>
              </w:rPr>
              <w:t xml:space="preserve">PRÓ-REITORIA DE </w:t>
            </w:r>
          </w:p>
          <w:p>
            <w:pPr>
              <w:pStyle w:val="Normal"/>
              <w:ind w:left="170" w:hanging="0"/>
              <w:jc w:val="center"/>
              <w:rPr>
                <w:sz w:val="44"/>
                <w:szCs w:val="44"/>
              </w:rPr>
            </w:pPr>
            <w:r>
              <w:rPr>
                <w:rFonts w:cs="Calibri" w:ascii="Calibri" w:hAnsi="Calibri"/>
                <w:b/>
                <w:sz w:val="44"/>
                <w:szCs w:val="44"/>
              </w:rPr>
              <w:t>GESTÃO DE PESSOAS</w:t>
            </w:r>
          </w:p>
        </w:tc>
      </w:tr>
      <w:tr>
        <w:trPr/>
        <w:tc>
          <w:tcPr>
            <w:tcW w:w="78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3" w:type="dxa"/>
            </w:tcMar>
          </w:tcPr>
          <w:p>
            <w:pPr>
              <w:pStyle w:val="Normal1"/>
              <w:jc w:val="center"/>
              <w:rPr/>
            </w:pPr>
            <w:r>
              <w:rPr>
                <w:b/>
                <w:sz w:val="36"/>
                <w:szCs w:val="36"/>
              </w:rPr>
              <w:t>PROCEDIMENTO OPERACIONAL PADRÃO</w:t>
            </w:r>
          </w:p>
        </w:tc>
        <w:tc>
          <w:tcPr>
            <w:tcW w:w="162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3" w:type="dxa"/>
            </w:tcMar>
          </w:tcPr>
          <w:p>
            <w:pPr>
              <w:pStyle w:val="Normal1"/>
              <w:jc w:val="center"/>
              <w:rPr/>
            </w:pPr>
            <w:r>
              <w:rPr>
                <w:rFonts w:cs="Lao UI" w:ascii="Lao UI" w:hAnsi="Lao UI"/>
                <w:b/>
                <w:sz w:val="36"/>
                <w:szCs w:val="36"/>
              </w:rPr>
              <w:t>POP</w:t>
            </w:r>
          </w:p>
        </w:tc>
        <w:tc>
          <w:tcPr>
            <w:tcW w:w="114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3" w:type="dxa"/>
            </w:tcMar>
          </w:tcPr>
          <w:p>
            <w:pPr>
              <w:pStyle w:val="Normal1"/>
              <w:rPr/>
            </w:pPr>
            <w:r>
              <w:rPr>
                <w:b/>
                <w:bCs/>
              </w:rPr>
              <w:t>Nº 01</w:t>
            </w:r>
          </w:p>
        </w:tc>
      </w:tr>
      <w:tr>
        <w:trPr>
          <w:trHeight w:val="418" w:hRule="atLeast"/>
        </w:trPr>
        <w:tc>
          <w:tcPr>
            <w:tcW w:w="7861" w:type="dxa"/>
            <w:gridSpan w:val="3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3" w:type="dxa"/>
            </w:tcMar>
            <w:vAlign w:val="center"/>
          </w:tcPr>
          <w:p>
            <w:pPr>
              <w:pStyle w:val="Normal1"/>
              <w:rPr/>
            </w:pPr>
            <w:r>
              <w:rPr>
                <w:b/>
              </w:rPr>
              <w:t>Ministério da Educação</w:t>
            </w:r>
          </w:p>
          <w:p>
            <w:pPr>
              <w:pStyle w:val="Normal1"/>
              <w:rPr/>
            </w:pPr>
            <w:r>
              <w:rPr>
                <w:b/>
              </w:rPr>
              <w:t>Universidade Federal dos Vales do Jequitinhonha e Mucuri – UFVJM</w:t>
            </w:r>
          </w:p>
          <w:p>
            <w:pPr>
              <w:pStyle w:val="Normal1"/>
              <w:rPr/>
            </w:pPr>
            <w:r>
              <w:rPr>
                <w:b/>
              </w:rPr>
              <w:t>Pró-Reitoria de Gestão de Pessoas – PROGEP</w:t>
            </w:r>
          </w:p>
          <w:p>
            <w:pPr>
              <w:pStyle w:val="Normal1"/>
              <w:rPr/>
            </w:pPr>
            <w:r>
              <w:rPr>
                <w:b/>
              </w:rPr>
              <w:t>Diretoria de Seleção e Desenvolvimento - DSD</w:t>
            </w:r>
          </w:p>
          <w:p>
            <w:pPr>
              <w:pStyle w:val="Normal1"/>
              <w:rPr/>
            </w:pPr>
            <w:r>
              <w:rPr/>
            </w:r>
          </w:p>
        </w:tc>
        <w:tc>
          <w:tcPr>
            <w:tcW w:w="162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3" w:type="dxa"/>
            </w:tcMar>
          </w:tcPr>
          <w:p>
            <w:pPr>
              <w:pStyle w:val="Normal1"/>
              <w:rPr/>
            </w:pPr>
            <w:r>
              <w:rPr>
                <w:sz w:val="16"/>
                <w:szCs w:val="16"/>
              </w:rPr>
              <w:t>Versão Nº</w:t>
            </w:r>
          </w:p>
        </w:tc>
        <w:tc>
          <w:tcPr>
            <w:tcW w:w="114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3" w:type="dxa"/>
            </w:tcMar>
          </w:tcPr>
          <w:p>
            <w:pPr>
              <w:pStyle w:val="Normal1"/>
              <w:rPr/>
            </w:pPr>
            <w:r>
              <w:rPr/>
            </w:r>
          </w:p>
        </w:tc>
      </w:tr>
      <w:tr>
        <w:trPr>
          <w:trHeight w:val="422" w:hRule="atLeast"/>
        </w:trPr>
        <w:tc>
          <w:tcPr>
            <w:tcW w:w="7861" w:type="dxa"/>
            <w:gridSpan w:val="3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3" w:type="dxa"/>
            </w:tcMar>
            <w:vAlign w:val="center"/>
          </w:tcPr>
          <w:p>
            <w:pPr>
              <w:pStyle w:val="Normal1"/>
              <w:rPr/>
            </w:pPr>
            <w:r>
              <w:rPr/>
            </w:r>
          </w:p>
        </w:tc>
        <w:tc>
          <w:tcPr>
            <w:tcW w:w="162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3" w:type="dxa"/>
            </w:tcMar>
          </w:tcPr>
          <w:p>
            <w:pPr>
              <w:pStyle w:val="Normal1"/>
              <w:rPr/>
            </w:pPr>
            <w:r>
              <w:rPr>
                <w:sz w:val="16"/>
                <w:szCs w:val="16"/>
              </w:rPr>
              <w:t>Data de Aprovação</w:t>
            </w:r>
          </w:p>
        </w:tc>
        <w:tc>
          <w:tcPr>
            <w:tcW w:w="114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3" w:type="dxa"/>
            </w:tcMar>
          </w:tcPr>
          <w:p>
            <w:pPr>
              <w:pStyle w:val="Normal1"/>
              <w:rPr/>
            </w:pPr>
            <w:r>
              <w:rPr/>
            </w:r>
          </w:p>
        </w:tc>
      </w:tr>
      <w:tr>
        <w:trPr>
          <w:trHeight w:val="426" w:hRule="atLeast"/>
        </w:trPr>
        <w:tc>
          <w:tcPr>
            <w:tcW w:w="7861" w:type="dxa"/>
            <w:gridSpan w:val="3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3" w:type="dxa"/>
            </w:tcMar>
            <w:vAlign w:val="center"/>
          </w:tcPr>
          <w:p>
            <w:pPr>
              <w:pStyle w:val="Normal1"/>
              <w:rPr/>
            </w:pPr>
            <w:r>
              <w:rPr/>
            </w:r>
          </w:p>
        </w:tc>
        <w:tc>
          <w:tcPr>
            <w:tcW w:w="162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3" w:type="dxa"/>
            </w:tcMar>
          </w:tcPr>
          <w:p>
            <w:pPr>
              <w:pStyle w:val="Normal1"/>
              <w:rPr/>
            </w:pPr>
            <w:r>
              <w:rPr>
                <w:sz w:val="16"/>
                <w:szCs w:val="16"/>
              </w:rPr>
              <w:t>Data de Publicação</w:t>
            </w:r>
          </w:p>
        </w:tc>
        <w:tc>
          <w:tcPr>
            <w:tcW w:w="114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3" w:type="dxa"/>
            </w:tcMar>
          </w:tcPr>
          <w:p>
            <w:pPr>
              <w:pStyle w:val="Normal1"/>
              <w:rPr/>
            </w:pPr>
            <w:r>
              <w:rPr/>
            </w:r>
          </w:p>
        </w:tc>
      </w:tr>
      <w:tr>
        <w:trPr>
          <w:trHeight w:val="409" w:hRule="atLeast"/>
        </w:trPr>
        <w:tc>
          <w:tcPr>
            <w:tcW w:w="7861" w:type="dxa"/>
            <w:gridSpan w:val="3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3" w:type="dxa"/>
            </w:tcMar>
            <w:vAlign w:val="center"/>
          </w:tcPr>
          <w:p>
            <w:pPr>
              <w:pStyle w:val="Normal1"/>
              <w:rPr/>
            </w:pPr>
            <w:r>
              <w:rPr/>
            </w:r>
          </w:p>
        </w:tc>
        <w:tc>
          <w:tcPr>
            <w:tcW w:w="162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3" w:type="dxa"/>
            </w:tcMar>
          </w:tcPr>
          <w:p>
            <w:pPr>
              <w:pStyle w:val="Normal1"/>
              <w:rPr/>
            </w:pPr>
            <w:r>
              <w:rPr>
                <w:sz w:val="16"/>
                <w:szCs w:val="16"/>
              </w:rPr>
              <w:t>Data da última revisão</w:t>
            </w:r>
          </w:p>
        </w:tc>
        <w:tc>
          <w:tcPr>
            <w:tcW w:w="114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3" w:type="dxa"/>
            </w:tcMar>
          </w:tcPr>
          <w:p>
            <w:pPr>
              <w:pStyle w:val="Normal1"/>
              <w:rPr/>
            </w:pPr>
            <w:r>
              <w:rPr/>
            </w:r>
          </w:p>
        </w:tc>
      </w:tr>
      <w:tr>
        <w:trPr/>
        <w:tc>
          <w:tcPr>
            <w:tcW w:w="16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3" w:type="dxa"/>
            </w:tcMar>
          </w:tcPr>
          <w:p>
            <w:pPr>
              <w:pStyle w:val="Normal1"/>
              <w:rPr/>
            </w:pPr>
            <w:r>
              <w:rPr/>
              <w:t>Elaborador por</w:t>
            </w:r>
          </w:p>
        </w:tc>
        <w:tc>
          <w:tcPr>
            <w:tcW w:w="619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3" w:type="dxa"/>
            </w:tcMar>
          </w:tcPr>
          <w:p>
            <w:pPr>
              <w:pStyle w:val="Normal1"/>
              <w:rPr/>
            </w:pPr>
            <w:r>
              <w:rPr>
                <w:b/>
                <w:bCs/>
                <w:sz w:val="22"/>
              </w:rPr>
              <w:t>Patrícia Neves Orsetti</w:t>
            </w:r>
          </w:p>
        </w:tc>
        <w:tc>
          <w:tcPr>
            <w:tcW w:w="162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3" w:type="dxa"/>
            </w:tcMar>
          </w:tcPr>
          <w:p>
            <w:pPr>
              <w:pStyle w:val="Normal1"/>
              <w:rPr/>
            </w:pPr>
            <w:r>
              <w:rPr>
                <w:sz w:val="16"/>
                <w:szCs w:val="16"/>
              </w:rPr>
              <w:t>Data da elaboração</w:t>
            </w:r>
          </w:p>
        </w:tc>
        <w:tc>
          <w:tcPr>
            <w:tcW w:w="11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3" w:type="dxa"/>
            </w:tcMar>
          </w:tcPr>
          <w:p>
            <w:pPr>
              <w:pStyle w:val="Normal1"/>
              <w:rPr/>
            </w:pPr>
            <w:r>
              <w:rPr>
                <w:sz w:val="16"/>
                <w:szCs w:val="16"/>
              </w:rPr>
              <w:t>25/04/2018</w:t>
            </w:r>
          </w:p>
        </w:tc>
      </w:tr>
      <w:tr>
        <w:trPr/>
        <w:tc>
          <w:tcPr>
            <w:tcW w:w="16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3" w:type="dxa"/>
            </w:tcMar>
          </w:tcPr>
          <w:p>
            <w:pPr>
              <w:pStyle w:val="Normal1"/>
              <w:rPr/>
            </w:pPr>
            <w:r>
              <w:rPr/>
              <w:t>Gestor</w:t>
            </w:r>
          </w:p>
        </w:tc>
        <w:tc>
          <w:tcPr>
            <w:tcW w:w="8959" w:type="dxa"/>
            <w:gridSpan w:val="6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3" w:type="dxa"/>
            </w:tcMar>
          </w:tcPr>
          <w:p>
            <w:pPr>
              <w:pStyle w:val="Normal1"/>
              <w:rPr/>
            </w:pPr>
            <w:r>
              <w:rPr>
                <w:b/>
                <w:bCs/>
                <w:sz w:val="22"/>
              </w:rPr>
              <w:t>Rosângela Borborema Rodrigues</w:t>
            </w:r>
          </w:p>
        </w:tc>
      </w:tr>
      <w:tr>
        <w:trPr/>
        <w:tc>
          <w:tcPr>
            <w:tcW w:w="16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3" w:type="dxa"/>
            </w:tcMar>
          </w:tcPr>
          <w:p>
            <w:pPr>
              <w:pStyle w:val="Normal1"/>
              <w:rPr/>
            </w:pPr>
            <w:r>
              <w:rPr/>
              <w:t xml:space="preserve">Título </w:t>
            </w:r>
          </w:p>
        </w:tc>
        <w:tc>
          <w:tcPr>
            <w:tcW w:w="8959" w:type="dxa"/>
            <w:gridSpan w:val="6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3" w:type="dxa"/>
            </w:tcMar>
          </w:tcPr>
          <w:p>
            <w:pPr>
              <w:pStyle w:val="Normal1"/>
              <w:rPr/>
            </w:pPr>
            <w:r>
              <w:rPr>
                <w:b/>
                <w:bCs/>
                <w:sz w:val="22"/>
              </w:rPr>
              <w:t xml:space="preserve">Mudança de Lotação </w:t>
            </w:r>
            <w:r>
              <w:rPr>
                <w:b/>
                <w:bCs/>
                <w:sz w:val="22"/>
              </w:rPr>
              <w:t>de servidores Técnico-Administrativos</w:t>
            </w:r>
          </w:p>
        </w:tc>
      </w:tr>
    </w:tbl>
    <w:p>
      <w:pPr>
        <w:pStyle w:val="Normal1"/>
        <w:jc w:val="right"/>
        <w:rPr/>
      </w:pPr>
      <w:r>
        <w:rPr/>
      </w:r>
    </w:p>
    <w:tbl>
      <w:tblPr>
        <w:tblW w:w="10606" w:type="dxa"/>
        <w:jc w:val="left"/>
        <w:tblInd w:w="58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63" w:type="dxa"/>
          <w:bottom w:w="0" w:type="dxa"/>
          <w:right w:w="108" w:type="dxa"/>
        </w:tblCellMar>
        <w:tblLook w:val="0000"/>
      </w:tblPr>
      <w:tblGrid>
        <w:gridCol w:w="10606"/>
      </w:tblGrid>
      <w:tr>
        <w:trPr/>
        <w:tc>
          <w:tcPr>
            <w:tcW w:w="106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3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before="0" w:after="0"/>
              <w:contextualSpacing/>
              <w:rPr/>
            </w:pPr>
            <w:r>
              <w:rPr>
                <w:b/>
              </w:rPr>
              <w:t>Descrição</w:t>
            </w:r>
          </w:p>
        </w:tc>
      </w:tr>
      <w:tr>
        <w:trPr/>
        <w:tc>
          <w:tcPr>
            <w:tcW w:w="106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3" w:type="dxa"/>
            </w:tcMar>
          </w:tcPr>
          <w:p>
            <w:pPr>
              <w:pStyle w:val="Normal1"/>
              <w:jc w:val="both"/>
              <w:rPr/>
            </w:pPr>
            <w:r>
              <w:rPr/>
              <w:t xml:space="preserve">Mudança de Lotação é o deslocamento do servidor, a pedido ou de ofício, no âmbito do mesmo quadro, sem mudança de sede. </w:t>
            </w:r>
          </w:p>
        </w:tc>
      </w:tr>
      <w:tr>
        <w:trPr/>
        <w:tc>
          <w:tcPr>
            <w:tcW w:w="106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3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before="0" w:after="0"/>
              <w:contextualSpacing/>
              <w:rPr/>
            </w:pPr>
            <w:r>
              <w:rPr>
                <w:b/>
              </w:rPr>
              <w:t>Objetivo</w:t>
            </w:r>
          </w:p>
        </w:tc>
      </w:tr>
      <w:tr>
        <w:trPr/>
        <w:tc>
          <w:tcPr>
            <w:tcW w:w="106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3" w:type="dxa"/>
            </w:tcMar>
          </w:tcPr>
          <w:p>
            <w:pPr>
              <w:pStyle w:val="Normal1"/>
              <w:jc w:val="both"/>
              <w:rPr/>
            </w:pPr>
            <w:r>
              <w:rPr/>
              <w:t>A mudança de lotação tem por objetivo adequar a força de trabalho às necessidades institucionais bem como atender aos anseios dos servidores, visando melhor qualidade de vida no trabalho.</w:t>
            </w:r>
          </w:p>
          <w:p>
            <w:pPr>
              <w:pStyle w:val="Normal1"/>
              <w:ind w:left="360" w:hanging="0"/>
              <w:jc w:val="both"/>
              <w:rPr/>
            </w:pPr>
            <w:r>
              <w:rPr/>
            </w:r>
          </w:p>
        </w:tc>
      </w:tr>
      <w:tr>
        <w:trPr/>
        <w:tc>
          <w:tcPr>
            <w:tcW w:w="106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3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before="0" w:after="0"/>
              <w:contextualSpacing/>
              <w:rPr/>
            </w:pPr>
            <w:r>
              <w:rPr>
                <w:b/>
              </w:rPr>
              <w:t>Público Alvo</w:t>
            </w:r>
          </w:p>
        </w:tc>
      </w:tr>
      <w:tr>
        <w:trPr/>
        <w:tc>
          <w:tcPr>
            <w:tcW w:w="106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3" w:type="dxa"/>
            </w:tcMar>
          </w:tcPr>
          <w:p>
            <w:pPr>
              <w:pStyle w:val="Normal1"/>
              <w:rPr/>
            </w:pPr>
            <w:r>
              <w:rPr/>
              <w:t>Servidores Técnicos Administrativos.</w:t>
            </w:r>
          </w:p>
          <w:p>
            <w:pPr>
              <w:pStyle w:val="Normal1"/>
              <w:rPr/>
            </w:pPr>
            <w:r>
              <w:rPr/>
            </w:r>
          </w:p>
        </w:tc>
      </w:tr>
      <w:tr>
        <w:trPr/>
        <w:tc>
          <w:tcPr>
            <w:tcW w:w="106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3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before="0" w:after="0"/>
              <w:contextualSpacing/>
              <w:rPr/>
            </w:pPr>
            <w:r>
              <w:rPr>
                <w:b/>
              </w:rPr>
              <w:t>Pré-requisitos</w:t>
            </w:r>
          </w:p>
        </w:tc>
      </w:tr>
      <w:tr>
        <w:trPr/>
        <w:tc>
          <w:tcPr>
            <w:tcW w:w="106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3" w:type="dxa"/>
            </w:tcMar>
          </w:tcPr>
          <w:p>
            <w:pPr>
              <w:pStyle w:val="Normal"/>
              <w:spacing w:beforeAutospacing="1" w:afterAutospacing="1"/>
              <w:rPr/>
            </w:pPr>
            <w:r>
              <w:rPr>
                <w:rFonts w:ascii="Times New Roman" w:hAnsi="Times New Roman"/>
              </w:rPr>
              <w:t>1. Interesse da Administração</w:t>
            </w:r>
          </w:p>
        </w:tc>
      </w:tr>
      <w:tr>
        <w:trPr/>
        <w:tc>
          <w:tcPr>
            <w:tcW w:w="106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3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before="0" w:after="0"/>
              <w:contextualSpacing/>
              <w:rPr/>
            </w:pPr>
            <w:r>
              <w:rPr>
                <w:b/>
              </w:rPr>
              <w:t>Responsáveis</w:t>
            </w:r>
          </w:p>
        </w:tc>
      </w:tr>
      <w:tr>
        <w:trPr/>
        <w:tc>
          <w:tcPr>
            <w:tcW w:w="106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3" w:type="dxa"/>
            </w:tcMar>
          </w:tcPr>
          <w:p>
            <w:pPr>
              <w:pStyle w:val="Normal1"/>
              <w:rPr/>
            </w:pPr>
            <w:r>
              <w:rPr/>
              <w:t>Diretoria de Seleção e Desenvolvimento de Pessoas – DSD/ PROGEP</w:t>
            </w:r>
          </w:p>
        </w:tc>
      </w:tr>
      <w:tr>
        <w:trPr/>
        <w:tc>
          <w:tcPr>
            <w:tcW w:w="106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3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before="0" w:after="0"/>
              <w:contextualSpacing/>
              <w:rPr/>
            </w:pPr>
            <w:r>
              <w:rPr>
                <w:b/>
              </w:rPr>
              <w:t>Atividades</w:t>
            </w:r>
          </w:p>
        </w:tc>
      </w:tr>
      <w:tr>
        <w:trPr/>
        <w:tc>
          <w:tcPr>
            <w:tcW w:w="106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3" w:type="dxa"/>
            </w:tcMar>
          </w:tcPr>
          <w:p>
            <w:pPr>
              <w:pStyle w:val="Normal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tbl>
            <w:tblPr>
              <w:tblW w:w="9992" w:type="dxa"/>
              <w:jc w:val="left"/>
              <w:tblInd w:w="392" w:type="dxa"/>
              <w:tblBorders>
                <w:top w:val="single" w:sz="4" w:space="0" w:color="00000A"/>
                <w:left w:val="single" w:sz="4" w:space="0" w:color="00000A"/>
                <w:bottom w:val="single" w:sz="4" w:space="0" w:color="00000A"/>
                <w:right w:val="single" w:sz="4" w:space="0" w:color="00000A"/>
                <w:insideH w:val="single" w:sz="4" w:space="0" w:color="00000A"/>
                <w:insideV w:val="single" w:sz="4" w:space="0" w:color="00000A"/>
              </w:tblBorders>
              <w:tblCellMar>
                <w:top w:w="0" w:type="dxa"/>
                <w:left w:w="63" w:type="dxa"/>
                <w:bottom w:w="0" w:type="dxa"/>
                <w:right w:w="108" w:type="dxa"/>
              </w:tblCellMar>
              <w:tblLook w:val="0000"/>
            </w:tblPr>
            <w:tblGrid>
              <w:gridCol w:w="1413"/>
              <w:gridCol w:w="5398"/>
              <w:gridCol w:w="1608"/>
              <w:gridCol w:w="1572"/>
            </w:tblGrid>
            <w:tr>
              <w:trPr/>
              <w:tc>
                <w:tcPr>
                  <w:tcW w:w="141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tbl>
                  <w:tblPr>
                    <w:tblW w:w="1027" w:type="dxa"/>
                    <w:jc w:val="left"/>
                    <w:tblInd w:w="108" w:type="dxa"/>
                    <w:tblBorders/>
                    <w:tblCellMar>
                      <w:top w:w="0" w:type="dxa"/>
                      <w:left w:w="108" w:type="dxa"/>
                      <w:bottom w:w="0" w:type="dxa"/>
                      <w:right w:w="108" w:type="dxa"/>
                    </w:tblCellMar>
                    <w:tblLook w:val="0000"/>
                  </w:tblPr>
                  <w:tblGrid>
                    <w:gridCol w:w="412"/>
                    <w:gridCol w:w="205"/>
                    <w:gridCol w:w="205"/>
                    <w:gridCol w:w="204"/>
                  </w:tblGrid>
                  <w:tr>
                    <w:trPr>
                      <w:trHeight w:val="280" w:hRule="atLeast"/>
                    </w:trPr>
                    <w:tc>
                      <w:tcPr>
                        <w:tcW w:w="412" w:type="dxa"/>
                        <w:tcBorders/>
                        <w:shd w:color="auto" w:fill="auto" w:val="clear"/>
                      </w:tcPr>
                      <w:p>
                        <w:pPr>
                          <w:pStyle w:val="Normal1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b/>
                            <w:bCs/>
                            <w:sz w:val="22"/>
                            <w:szCs w:val="22"/>
                          </w:rPr>
                          <w:t xml:space="preserve">Nº </w:t>
                        </w:r>
                      </w:p>
                    </w:tc>
                    <w:tc>
                      <w:tcPr>
                        <w:tcW w:w="205" w:type="dxa"/>
                        <w:tcBorders/>
                        <w:shd w:color="auto" w:fill="auto" w:val="clear"/>
                      </w:tcPr>
                      <w:p>
                        <w:pPr>
                          <w:pStyle w:val="Normal1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</w:r>
                      </w:p>
                    </w:tc>
                    <w:tc>
                      <w:tcPr>
                        <w:tcW w:w="205" w:type="dxa"/>
                        <w:tcBorders/>
                        <w:shd w:color="auto" w:fill="auto" w:val="clear"/>
                      </w:tcPr>
                      <w:p>
                        <w:pPr>
                          <w:pStyle w:val="Normal1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</w:r>
                      </w:p>
                    </w:tc>
                    <w:tc>
                      <w:tcPr>
                        <w:tcW w:w="204" w:type="dxa"/>
                        <w:tcBorders/>
                        <w:shd w:color="auto" w:fill="auto" w:val="clear"/>
                      </w:tcPr>
                      <w:p>
                        <w:pPr>
                          <w:pStyle w:val="Normal1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</w:r>
                      </w:p>
                    </w:tc>
                  </w:tr>
                </w:tbl>
                <w:p>
                  <w:pPr>
                    <w:pStyle w:val="ListParagraph"/>
                    <w:spacing w:before="0" w:after="200"/>
                    <w:ind w:left="0" w:hanging="0"/>
                    <w:contextualSpacing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>
                    <w:rPr>
                      <w:rFonts w:cs="Times New Roman" w:ascii="Times New Roman" w:hAnsi="Times New Roman"/>
                      <w:sz w:val="22"/>
                      <w:szCs w:val="22"/>
                    </w:rPr>
                  </w:r>
                </w:p>
              </w:tc>
              <w:tc>
                <w:tcPr>
                  <w:tcW w:w="539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200"/>
                    <w:ind w:left="0" w:hanging="0"/>
                    <w:contextualSpacing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>
                    <w:rPr>
                      <w:rFonts w:cs="Times New Roman" w:ascii="Times New Roman" w:hAnsi="Times New Roman"/>
                      <w:b/>
                      <w:bCs/>
                      <w:sz w:val="22"/>
                      <w:szCs w:val="22"/>
                    </w:rPr>
                    <w:t>Atividade / Descrição</w:t>
                  </w:r>
                </w:p>
              </w:tc>
              <w:tc>
                <w:tcPr>
                  <w:tcW w:w="160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200"/>
                    <w:ind w:left="0" w:hanging="0"/>
                    <w:contextualSpacing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>
                    <w:rPr>
                      <w:rFonts w:cs="Times New Roman" w:ascii="Times New Roman" w:hAnsi="Times New Roman"/>
                      <w:b/>
                      <w:bCs/>
                      <w:sz w:val="22"/>
                      <w:szCs w:val="22"/>
                    </w:rPr>
                    <w:t>Responsável</w:t>
                  </w:r>
                </w:p>
              </w:tc>
              <w:tc>
                <w:tcPr>
                  <w:tcW w:w="157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200"/>
                    <w:ind w:left="0" w:hanging="0"/>
                    <w:contextualSpacing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>
                    <w:rPr>
                      <w:rFonts w:cs="Times New Roman" w:ascii="Times New Roman" w:hAnsi="Times New Roman"/>
                      <w:b/>
                      <w:bCs/>
                      <w:sz w:val="22"/>
                      <w:szCs w:val="22"/>
                    </w:rPr>
                    <w:t>Prazo de execução</w:t>
                  </w:r>
                </w:p>
              </w:tc>
            </w:tr>
            <w:tr>
              <w:trPr/>
              <w:tc>
                <w:tcPr>
                  <w:tcW w:w="141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ind w:left="0" w:hanging="0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cs="Times New Roman" w:ascii="Times New Roman" w:hAnsi="Times New Roman"/>
                    </w:rPr>
                  </w:r>
                </w:p>
                <w:p>
                  <w:pPr>
                    <w:pStyle w:val="ListParagraph"/>
                    <w:spacing w:before="0" w:after="200"/>
                    <w:ind w:left="0" w:hanging="0"/>
                    <w:contextualSpacing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>
                    <w:rPr>
                      <w:rFonts w:cs="Times New Roman" w:ascii="Times New Roman" w:hAnsi="Times New Roman"/>
                    </w:rPr>
                    <w:t>01</w:t>
                  </w:r>
                </w:p>
              </w:tc>
              <w:tc>
                <w:tcPr>
                  <w:tcW w:w="539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NormalWeb"/>
                    <w:shd w:val="clear" w:color="auto" w:fill="FFFFFF"/>
                    <w:spacing w:beforeAutospacing="0" w:before="280" w:afterAutospacing="0" w:after="280"/>
                    <w:jc w:val="both"/>
                    <w:rPr/>
                  </w:pPr>
                  <w:r>
                    <w:rPr/>
                    <w:t>Receber o requerimento de mudança de lotação preenchido e assinado pelo servidor e pela chefia imediata;</w:t>
                  </w:r>
                </w:p>
              </w:tc>
              <w:tc>
                <w:tcPr>
                  <w:tcW w:w="160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ind w:left="0" w:hanging="0"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cs="Times New Roman" w:ascii="Times New Roman" w:hAnsi="Times New Roman"/>
                    </w:rPr>
                  </w:r>
                </w:p>
                <w:p>
                  <w:pPr>
                    <w:pStyle w:val="ListParagraph"/>
                    <w:spacing w:before="0" w:after="200"/>
                    <w:ind w:left="0" w:hanging="0"/>
                    <w:contextualSpacing/>
                    <w:jc w:val="center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>
                    <w:rPr>
                      <w:rFonts w:cs="Times New Roman" w:ascii="Times New Roman" w:hAnsi="Times New Roman"/>
                    </w:rPr>
                    <w:t>DSD</w:t>
                  </w:r>
                </w:p>
              </w:tc>
              <w:tc>
                <w:tcPr>
                  <w:tcW w:w="157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ind w:left="0" w:hanging="0"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cs="Times New Roman" w:ascii="Times New Roman" w:hAnsi="Times New Roman"/>
                    </w:rPr>
                  </w:r>
                </w:p>
                <w:p>
                  <w:pPr>
                    <w:pStyle w:val="ListParagraph"/>
                    <w:spacing w:before="0" w:after="200"/>
                    <w:ind w:left="0" w:hanging="0"/>
                    <w:contextualSpacing/>
                    <w:jc w:val="center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>
                    <w:rPr>
                      <w:rFonts w:cs="Times New Roman" w:ascii="Times New Roman" w:hAnsi="Times New Roman"/>
                    </w:rPr>
                    <w:t>Sob demanda</w:t>
                  </w:r>
                </w:p>
              </w:tc>
            </w:tr>
            <w:tr>
              <w:trPr/>
              <w:tc>
                <w:tcPr>
                  <w:tcW w:w="141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200"/>
                    <w:ind w:left="0" w:hanging="0"/>
                    <w:contextualSpacing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>
                    <w:rPr>
                      <w:rFonts w:cs="Times New Roman" w:ascii="Times New Roman" w:hAnsi="Times New Roman"/>
                    </w:rPr>
                    <w:t>02</w:t>
                  </w:r>
                </w:p>
              </w:tc>
              <w:tc>
                <w:tcPr>
                  <w:tcW w:w="539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NormalWeb"/>
                    <w:shd w:val="clear" w:color="auto" w:fill="FFFFFF"/>
                    <w:spacing w:beforeAutospacing="0" w:before="280" w:afterAutospacing="0" w:after="280"/>
                    <w:jc w:val="both"/>
                    <w:rPr/>
                  </w:pPr>
                  <w:r>
                    <w:rPr/>
                    <w:t>Verificar a disponibilidade de vaga no setor de destino;</w:t>
                  </w:r>
                </w:p>
              </w:tc>
              <w:tc>
                <w:tcPr>
                  <w:tcW w:w="160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200"/>
                    <w:ind w:left="0" w:hanging="0"/>
                    <w:contextualSpacing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cs="Times New Roman" w:ascii="Times New Roman" w:hAnsi="Times New Roman"/>
                    </w:rPr>
                    <w:t>DSD</w:t>
                  </w:r>
                </w:p>
              </w:tc>
              <w:tc>
                <w:tcPr>
                  <w:tcW w:w="157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200"/>
                    <w:ind w:left="0" w:hanging="0"/>
                    <w:contextualSpacing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cs="Times New Roman" w:ascii="Times New Roman" w:hAnsi="Times New Roman"/>
                    </w:rPr>
                    <w:t>2 dias</w:t>
                  </w:r>
                </w:p>
              </w:tc>
            </w:tr>
            <w:tr>
              <w:trPr/>
              <w:tc>
                <w:tcPr>
                  <w:tcW w:w="141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200"/>
                    <w:ind w:left="0" w:hanging="0"/>
                    <w:contextualSpacing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>
                    <w:rPr>
                      <w:rFonts w:cs="Times New Roman" w:ascii="Times New Roman" w:hAnsi="Times New Roman"/>
                    </w:rPr>
                    <w:t>03</w:t>
                  </w:r>
                </w:p>
              </w:tc>
              <w:tc>
                <w:tcPr>
                  <w:tcW w:w="539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NormalWeb"/>
                    <w:shd w:val="clear" w:color="auto" w:fill="FFFFFF"/>
                    <w:spacing w:beforeAutospacing="0" w:before="280" w:afterAutospacing="0" w:after="280"/>
                    <w:jc w:val="both"/>
                    <w:rPr/>
                  </w:pPr>
                  <w:r>
                    <w:rPr/>
                    <w:t>Se não houver vaga e for servidor docente, avisar da impossibilidade e arquivar pedido;</w:t>
                  </w:r>
                </w:p>
              </w:tc>
              <w:tc>
                <w:tcPr>
                  <w:tcW w:w="160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200"/>
                    <w:ind w:left="0" w:hanging="0"/>
                    <w:contextualSpacing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cs="Times New Roman" w:ascii="Times New Roman" w:hAnsi="Times New Roman"/>
                    </w:rPr>
                    <w:t>DSD</w:t>
                  </w:r>
                </w:p>
              </w:tc>
              <w:tc>
                <w:tcPr>
                  <w:tcW w:w="157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200"/>
                    <w:ind w:left="0" w:hanging="0"/>
                    <w:contextualSpacing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cs="Times New Roman" w:ascii="Times New Roman" w:hAnsi="Times New Roman"/>
                    </w:rPr>
                    <w:t>1 dia</w:t>
                  </w:r>
                </w:p>
              </w:tc>
            </w:tr>
            <w:tr>
              <w:trPr/>
              <w:tc>
                <w:tcPr>
                  <w:tcW w:w="141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200"/>
                    <w:ind w:left="0" w:hanging="0"/>
                    <w:contextualSpacing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cs="Times New Roman" w:ascii="Times New Roman" w:hAnsi="Times New Roman"/>
                    </w:rPr>
                    <w:t>04</w:t>
                  </w:r>
                </w:p>
              </w:tc>
              <w:tc>
                <w:tcPr>
                  <w:tcW w:w="539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NormalWeb"/>
                    <w:shd w:val="clear" w:color="auto" w:fill="FFFFFF"/>
                    <w:spacing w:beforeAutospacing="0" w:before="280" w:afterAutospacing="0" w:after="280"/>
                    <w:jc w:val="both"/>
                    <w:rPr/>
                  </w:pPr>
                  <w:r>
                    <w:rPr/>
                    <w:t xml:space="preserve">Se não houver vaga e for servidor técnico-administrativo, incluir interesse na tabela de movimentação. </w:t>
                  </w:r>
                </w:p>
                <w:p>
                  <w:pPr>
                    <w:pStyle w:val="NormalWeb"/>
                    <w:shd w:val="clear" w:color="auto" w:fill="FFFFFF"/>
                    <w:spacing w:beforeAutospacing="0" w:before="280" w:afterAutospacing="0" w:after="280"/>
                    <w:jc w:val="both"/>
                    <w:rPr/>
                  </w:pPr>
                  <w:r>
                    <w:rPr/>
                    <w:t>Quando aparecer a vaga passar para o passo nº 06</w:t>
                  </w:r>
                </w:p>
              </w:tc>
              <w:tc>
                <w:tcPr>
                  <w:tcW w:w="160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200"/>
                    <w:ind w:left="0" w:hanging="0"/>
                    <w:contextualSpacing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cs="Times New Roman" w:ascii="Times New Roman" w:hAnsi="Times New Roman"/>
                    </w:rPr>
                    <w:t>DSD</w:t>
                  </w:r>
                </w:p>
              </w:tc>
              <w:tc>
                <w:tcPr>
                  <w:tcW w:w="157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200"/>
                    <w:ind w:left="0" w:hanging="0"/>
                    <w:contextualSpacing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cs="Times New Roman" w:ascii="Times New Roman" w:hAnsi="Times New Roman"/>
                    </w:rPr>
                    <w:t>1 dia</w:t>
                  </w:r>
                </w:p>
              </w:tc>
            </w:tr>
            <w:tr>
              <w:trPr/>
              <w:tc>
                <w:tcPr>
                  <w:tcW w:w="141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200"/>
                    <w:ind w:left="0" w:hanging="0"/>
                    <w:contextualSpacing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cs="Times New Roman" w:ascii="Times New Roman" w:hAnsi="Times New Roman"/>
                    </w:rPr>
                    <w:t>05</w:t>
                  </w:r>
                </w:p>
              </w:tc>
              <w:tc>
                <w:tcPr>
                  <w:tcW w:w="539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NormalWeb"/>
                    <w:shd w:val="clear" w:color="auto" w:fill="FFFFFF"/>
                    <w:spacing w:beforeAutospacing="0" w:before="280" w:afterAutospacing="0" w:after="280"/>
                    <w:jc w:val="both"/>
                    <w:rPr/>
                  </w:pPr>
                  <w:r>
                    <w:rPr/>
                    <w:t>Se houver vaga e for servidor docente, exigir autorização da chefia imediata do setor de destino e passar para o passo nº 10</w:t>
                  </w:r>
                </w:p>
              </w:tc>
              <w:tc>
                <w:tcPr>
                  <w:tcW w:w="160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200"/>
                    <w:ind w:left="0" w:hanging="0"/>
                    <w:contextualSpacing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cs="Times New Roman" w:ascii="Times New Roman" w:hAnsi="Times New Roman"/>
                    </w:rPr>
                    <w:t>DSD</w:t>
                  </w:r>
                </w:p>
              </w:tc>
              <w:tc>
                <w:tcPr>
                  <w:tcW w:w="157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200"/>
                    <w:ind w:left="0" w:hanging="0"/>
                    <w:contextualSpacing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cs="Times New Roman" w:ascii="Times New Roman" w:hAnsi="Times New Roman"/>
                    </w:rPr>
                    <w:t>2 dias</w:t>
                  </w:r>
                </w:p>
              </w:tc>
            </w:tr>
            <w:tr>
              <w:trPr/>
              <w:tc>
                <w:tcPr>
                  <w:tcW w:w="141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200"/>
                    <w:ind w:left="0" w:hanging="0"/>
                    <w:contextualSpacing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cs="Times New Roman" w:ascii="Times New Roman" w:hAnsi="Times New Roman"/>
                    </w:rPr>
                    <w:t>06</w:t>
                  </w:r>
                </w:p>
              </w:tc>
              <w:tc>
                <w:tcPr>
                  <w:tcW w:w="539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NormalWeb"/>
                    <w:shd w:val="clear" w:color="auto" w:fill="FFFFFF"/>
                    <w:spacing w:beforeAutospacing="0" w:before="280" w:afterAutospacing="0" w:after="280"/>
                    <w:jc w:val="both"/>
                    <w:rPr/>
                  </w:pPr>
                  <w:r>
                    <w:rPr/>
                    <w:t>Se houver vaga e for servidor técnico-administrativo, redigir memorando ao Serviço de Psicologia da DASA/PROACE, solicitando que o servidor seja entrevistado para mudança de lotação;</w:t>
                  </w:r>
                </w:p>
              </w:tc>
              <w:tc>
                <w:tcPr>
                  <w:tcW w:w="160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Normal"/>
                    <w:jc w:val="center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>
                    <w:rPr>
                      <w:rFonts w:cs="Times New Roman" w:ascii="Times New Roman" w:hAnsi="Times New Roman"/>
                    </w:rPr>
                    <w:t>DSD</w:t>
                  </w:r>
                </w:p>
              </w:tc>
              <w:tc>
                <w:tcPr>
                  <w:tcW w:w="157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200"/>
                    <w:ind w:left="0" w:hanging="0"/>
                    <w:contextualSpacing/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cs="Times New Roman" w:ascii="Times New Roman" w:hAnsi="Times New Roman"/>
                    </w:rPr>
                    <w:t>2 dias</w:t>
                  </w:r>
                </w:p>
              </w:tc>
            </w:tr>
            <w:tr>
              <w:trPr/>
              <w:tc>
                <w:tcPr>
                  <w:tcW w:w="141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200"/>
                    <w:ind w:left="0" w:hanging="0"/>
                    <w:contextualSpacing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cs="Times New Roman" w:ascii="Times New Roman" w:hAnsi="Times New Roman"/>
                    </w:rPr>
                    <w:t>07</w:t>
                  </w:r>
                </w:p>
              </w:tc>
              <w:tc>
                <w:tcPr>
                  <w:tcW w:w="539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NormalWeb"/>
                    <w:shd w:val="clear" w:color="auto" w:fill="FFFFFF"/>
                    <w:spacing w:beforeAutospacing="0" w:before="280" w:afterAutospacing="0" w:after="280"/>
                    <w:jc w:val="both"/>
                    <w:rPr/>
                  </w:pPr>
                  <w:r>
                    <w:rPr/>
                    <w:t>Encaminhar o memorando à PROACE com o requerimento anexo;</w:t>
                  </w:r>
                </w:p>
              </w:tc>
              <w:tc>
                <w:tcPr>
                  <w:tcW w:w="160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Normal"/>
                    <w:jc w:val="center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>
                    <w:rPr>
                      <w:rFonts w:cs="Times New Roman" w:ascii="Times New Roman" w:hAnsi="Times New Roman"/>
                    </w:rPr>
                    <w:t>DSD</w:t>
                  </w:r>
                </w:p>
              </w:tc>
              <w:tc>
                <w:tcPr>
                  <w:tcW w:w="157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200"/>
                    <w:ind w:left="0" w:hanging="0"/>
                    <w:contextualSpacing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cs="Times New Roman" w:ascii="Times New Roman" w:hAnsi="Times New Roman"/>
                    </w:rPr>
                    <w:t>1 dia</w:t>
                  </w:r>
                </w:p>
              </w:tc>
            </w:tr>
            <w:tr>
              <w:trPr/>
              <w:tc>
                <w:tcPr>
                  <w:tcW w:w="141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200"/>
                    <w:ind w:left="0" w:hanging="0"/>
                    <w:contextualSpacing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cs="Times New Roman" w:ascii="Times New Roman" w:hAnsi="Times New Roman"/>
                    </w:rPr>
                    <w:t>08</w:t>
                  </w:r>
                </w:p>
              </w:tc>
              <w:tc>
                <w:tcPr>
                  <w:tcW w:w="539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NormalWeb"/>
                    <w:shd w:val="clear" w:color="auto" w:fill="FFFFFF"/>
                    <w:spacing w:beforeAutospacing="0" w:before="280" w:afterAutospacing="0" w:after="280"/>
                    <w:jc w:val="both"/>
                    <w:rPr/>
                  </w:pPr>
                  <w:r>
                    <w:rPr/>
                    <w:t xml:space="preserve">Receber da PROACE memorando com resultado da entrevista e devolução do requerimento </w:t>
                  </w:r>
                </w:p>
              </w:tc>
              <w:tc>
                <w:tcPr>
                  <w:tcW w:w="160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Normal"/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cs="Times New Roman" w:ascii="Times New Roman" w:hAnsi="Times New Roman"/>
                    </w:rPr>
                    <w:t>DSD</w:t>
                  </w:r>
                </w:p>
              </w:tc>
              <w:tc>
                <w:tcPr>
                  <w:tcW w:w="157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200"/>
                    <w:ind w:left="0" w:hanging="0"/>
                    <w:contextualSpacing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cs="Times New Roman" w:ascii="Times New Roman" w:hAnsi="Times New Roman"/>
                    </w:rPr>
                    <w:t>1 dia</w:t>
                  </w:r>
                </w:p>
              </w:tc>
            </w:tr>
            <w:tr>
              <w:trPr/>
              <w:tc>
                <w:tcPr>
                  <w:tcW w:w="141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200"/>
                    <w:ind w:left="0" w:hanging="0"/>
                    <w:contextualSpacing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cs="Times New Roman" w:ascii="Times New Roman" w:hAnsi="Times New Roman"/>
                    </w:rPr>
                    <w:t>09</w:t>
                  </w:r>
                </w:p>
              </w:tc>
              <w:tc>
                <w:tcPr>
                  <w:tcW w:w="539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NormalWeb"/>
                    <w:shd w:val="clear" w:color="auto" w:fill="FFFFFF"/>
                    <w:spacing w:beforeAutospacing="0" w:before="280" w:afterAutospacing="0" w:after="280"/>
                    <w:jc w:val="both"/>
                    <w:rPr/>
                  </w:pPr>
                  <w:r>
                    <w:rPr/>
                    <w:t>Receber do servidor documento de indicação de local de lotação, emitido pela PROACE, assinado pelo servidor e pela chefia imediata do novo local de lotação;</w:t>
                  </w:r>
                </w:p>
              </w:tc>
              <w:tc>
                <w:tcPr>
                  <w:tcW w:w="160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Normal"/>
                    <w:jc w:val="center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>
                    <w:rPr>
                      <w:rFonts w:cs="Times New Roman" w:ascii="Times New Roman" w:hAnsi="Times New Roman"/>
                    </w:rPr>
                    <w:t>DSD</w:t>
                  </w:r>
                </w:p>
              </w:tc>
              <w:tc>
                <w:tcPr>
                  <w:tcW w:w="157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200"/>
                    <w:ind w:left="0" w:hanging="0"/>
                    <w:contextualSpacing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cs="Times New Roman" w:ascii="Times New Roman" w:hAnsi="Times New Roman"/>
                    </w:rPr>
                    <w:t>1 dia</w:t>
                  </w:r>
                </w:p>
              </w:tc>
            </w:tr>
            <w:tr>
              <w:trPr/>
              <w:tc>
                <w:tcPr>
                  <w:tcW w:w="141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200"/>
                    <w:ind w:left="0" w:hanging="0"/>
                    <w:contextualSpacing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cs="Times New Roman" w:ascii="Times New Roman" w:hAnsi="Times New Roman"/>
                    </w:rPr>
                    <w:t>10</w:t>
                  </w:r>
                </w:p>
              </w:tc>
              <w:tc>
                <w:tcPr>
                  <w:tcW w:w="539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NormalWeb"/>
                    <w:shd w:val="clear" w:color="auto" w:fill="FFFFFF"/>
                    <w:spacing w:beforeAutospacing="0" w:before="280" w:afterAutospacing="0" w:after="280"/>
                    <w:jc w:val="both"/>
                    <w:rPr/>
                  </w:pPr>
                  <w:r>
                    <w:rPr/>
                    <w:t>Confirmar com o servidor a data da mudança da lotação;</w:t>
                  </w:r>
                </w:p>
              </w:tc>
              <w:tc>
                <w:tcPr>
                  <w:tcW w:w="160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Normal"/>
                    <w:jc w:val="center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>
                    <w:rPr>
                      <w:rFonts w:cs="Times New Roman" w:ascii="Times New Roman" w:hAnsi="Times New Roman"/>
                    </w:rPr>
                    <w:t>DSD</w:t>
                  </w:r>
                </w:p>
              </w:tc>
              <w:tc>
                <w:tcPr>
                  <w:tcW w:w="157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200"/>
                    <w:ind w:left="0" w:hanging="0"/>
                    <w:contextualSpacing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cs="Times New Roman" w:ascii="Times New Roman" w:hAnsi="Times New Roman"/>
                    </w:rPr>
                    <w:t>1 dia</w:t>
                  </w:r>
                </w:p>
              </w:tc>
            </w:tr>
            <w:tr>
              <w:trPr/>
              <w:tc>
                <w:tcPr>
                  <w:tcW w:w="141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200"/>
                    <w:ind w:left="0" w:hanging="0"/>
                    <w:contextualSpacing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cs="Times New Roman" w:ascii="Times New Roman" w:hAnsi="Times New Roman"/>
                    </w:rPr>
                    <w:t>11</w:t>
                  </w:r>
                </w:p>
              </w:tc>
              <w:tc>
                <w:tcPr>
                  <w:tcW w:w="539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NormalWeb"/>
                    <w:shd w:val="clear" w:color="auto" w:fill="FFFFFF"/>
                    <w:spacing w:beforeAutospacing="0" w:before="280" w:afterAutospacing="0" w:after="280"/>
                    <w:jc w:val="both"/>
                    <w:rPr/>
                  </w:pPr>
                  <w:r>
                    <w:rPr/>
                    <w:t>Redigir despacho para a DLN publicar portaria de mudança de lotação;</w:t>
                  </w:r>
                </w:p>
              </w:tc>
              <w:tc>
                <w:tcPr>
                  <w:tcW w:w="160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Normal"/>
                    <w:jc w:val="center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>
                    <w:rPr>
                      <w:rFonts w:cs="Times New Roman" w:ascii="Times New Roman" w:hAnsi="Times New Roman"/>
                    </w:rPr>
                    <w:t>DSD</w:t>
                  </w:r>
                </w:p>
              </w:tc>
              <w:tc>
                <w:tcPr>
                  <w:tcW w:w="157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200"/>
                    <w:ind w:left="0" w:hanging="0"/>
                    <w:contextualSpacing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cs="Times New Roman" w:ascii="Times New Roman" w:hAnsi="Times New Roman"/>
                    </w:rPr>
                    <w:t>1 dia</w:t>
                  </w:r>
                </w:p>
              </w:tc>
            </w:tr>
            <w:tr>
              <w:trPr/>
              <w:tc>
                <w:tcPr>
                  <w:tcW w:w="141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200"/>
                    <w:ind w:left="0" w:hanging="0"/>
                    <w:contextualSpacing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cs="Times New Roman" w:ascii="Times New Roman" w:hAnsi="Times New Roman"/>
                    </w:rPr>
                    <w:t>12</w:t>
                  </w:r>
                </w:p>
              </w:tc>
              <w:tc>
                <w:tcPr>
                  <w:tcW w:w="539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NormalWeb"/>
                    <w:shd w:val="clear" w:color="auto" w:fill="FFFFFF"/>
                    <w:spacing w:beforeAutospacing="0" w:before="280" w:afterAutospacing="0" w:after="280"/>
                    <w:jc w:val="both"/>
                    <w:rPr/>
                  </w:pPr>
                  <w:r>
                    <w:rPr/>
                    <w:t>Encaminhar o despacho à DLN com o requerimento e documento de indicação de local de lotação anexos;</w:t>
                  </w:r>
                </w:p>
              </w:tc>
              <w:tc>
                <w:tcPr>
                  <w:tcW w:w="160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Normal"/>
                    <w:jc w:val="center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>
                    <w:rPr>
                      <w:rFonts w:cs="Times New Roman" w:ascii="Times New Roman" w:hAnsi="Times New Roman"/>
                    </w:rPr>
                    <w:t>DSD</w:t>
                  </w:r>
                </w:p>
              </w:tc>
              <w:tc>
                <w:tcPr>
                  <w:tcW w:w="157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200"/>
                    <w:ind w:left="0" w:hanging="0"/>
                    <w:contextualSpacing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cs="Times New Roman" w:ascii="Times New Roman" w:hAnsi="Times New Roman"/>
                    </w:rPr>
                    <w:t>1 dia</w:t>
                  </w:r>
                </w:p>
              </w:tc>
            </w:tr>
            <w:tr>
              <w:trPr/>
              <w:tc>
                <w:tcPr>
                  <w:tcW w:w="141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200"/>
                    <w:ind w:left="0" w:hanging="0"/>
                    <w:contextualSpacing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cs="Times New Roman" w:ascii="Times New Roman" w:hAnsi="Times New Roman"/>
                    </w:rPr>
                    <w:t>13</w:t>
                  </w:r>
                </w:p>
              </w:tc>
              <w:tc>
                <w:tcPr>
                  <w:tcW w:w="539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NormalWeb"/>
                    <w:shd w:val="clear" w:color="auto" w:fill="FFFFFF"/>
                    <w:spacing w:beforeAutospacing="0" w:before="280" w:afterAutospacing="0" w:after="280"/>
                    <w:jc w:val="both"/>
                    <w:rPr/>
                  </w:pPr>
                  <w:r>
                    <w:rPr/>
                    <w:t>Lavrar a Portaria de mudança de lotação</w:t>
                  </w:r>
                </w:p>
              </w:tc>
              <w:tc>
                <w:tcPr>
                  <w:tcW w:w="160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Normal"/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cs="Times New Roman" w:ascii="Times New Roman" w:hAnsi="Times New Roman"/>
                    </w:rPr>
                    <w:t>DLN</w:t>
                  </w:r>
                </w:p>
              </w:tc>
              <w:tc>
                <w:tcPr>
                  <w:tcW w:w="157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200"/>
                    <w:ind w:left="0" w:hanging="0"/>
                    <w:contextualSpacing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cs="Times New Roman" w:ascii="Times New Roman" w:hAnsi="Times New Roman"/>
                    </w:rPr>
                    <w:t>3 dias</w:t>
                  </w:r>
                </w:p>
              </w:tc>
            </w:tr>
            <w:tr>
              <w:trPr/>
              <w:tc>
                <w:tcPr>
                  <w:tcW w:w="141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200"/>
                    <w:ind w:left="0" w:hanging="0"/>
                    <w:contextualSpacing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cs="Times New Roman" w:ascii="Times New Roman" w:hAnsi="Times New Roman"/>
                    </w:rPr>
                    <w:t>14</w:t>
                  </w:r>
                </w:p>
              </w:tc>
              <w:tc>
                <w:tcPr>
                  <w:tcW w:w="539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NormalWeb"/>
                    <w:shd w:val="clear" w:color="auto" w:fill="FFFFFF"/>
                    <w:spacing w:beforeAutospacing="0" w:before="280" w:afterAutospacing="0" w:after="280"/>
                    <w:jc w:val="both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Enviar a Portaria para ser assinada na Reitoria</w:t>
                  </w:r>
                </w:p>
              </w:tc>
              <w:tc>
                <w:tcPr>
                  <w:tcW w:w="160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Normal"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cs="Times New Roman" w:ascii="Times New Roman" w:hAnsi="Times New Roman"/>
                    </w:rPr>
                    <w:t>DLN</w:t>
                  </w:r>
                </w:p>
              </w:tc>
              <w:tc>
                <w:tcPr>
                  <w:tcW w:w="157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200"/>
                    <w:ind w:left="0" w:hanging="0"/>
                    <w:contextualSpacing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cs="Times New Roman" w:ascii="Times New Roman" w:hAnsi="Times New Roman"/>
                    </w:rPr>
                    <w:t>3 dias</w:t>
                  </w:r>
                </w:p>
              </w:tc>
            </w:tr>
            <w:tr>
              <w:trPr/>
              <w:tc>
                <w:tcPr>
                  <w:tcW w:w="141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200"/>
                    <w:ind w:left="0" w:hanging="0"/>
                    <w:contextualSpacing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cs="Times New Roman" w:ascii="Times New Roman" w:hAnsi="Times New Roman"/>
                    </w:rPr>
                    <w:t>15</w:t>
                  </w:r>
                </w:p>
              </w:tc>
              <w:tc>
                <w:tcPr>
                  <w:tcW w:w="539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NormalWeb"/>
                    <w:shd w:val="clear" w:color="auto" w:fill="FFFFFF"/>
                    <w:spacing w:beforeAutospacing="0" w:before="280" w:afterAutospacing="0" w:after="280"/>
                    <w:jc w:val="both"/>
                    <w:rPr/>
                  </w:pPr>
                  <w:r>
                    <w:rPr/>
                    <w:t>Juntar a Portaria à pasta de lotações e enviar à Divisão de Cadastro</w:t>
                  </w:r>
                </w:p>
              </w:tc>
              <w:tc>
                <w:tcPr>
                  <w:tcW w:w="160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Normal"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cs="Times New Roman" w:ascii="Times New Roman" w:hAnsi="Times New Roman"/>
                    </w:rPr>
                    <w:t>DLN</w:t>
                  </w:r>
                </w:p>
              </w:tc>
              <w:tc>
                <w:tcPr>
                  <w:tcW w:w="157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200"/>
                    <w:ind w:left="0" w:hanging="0"/>
                    <w:contextualSpacing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cs="Times New Roman" w:ascii="Times New Roman" w:hAnsi="Times New Roman"/>
                    </w:rPr>
                    <w:t>2 dias</w:t>
                  </w:r>
                </w:p>
              </w:tc>
            </w:tr>
            <w:tr>
              <w:trPr/>
              <w:tc>
                <w:tcPr>
                  <w:tcW w:w="141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ind w:left="0" w:hanging="0"/>
                    <w:rPr>
                      <w:rFonts w:ascii="Times New Roman" w:hAnsi="Times New Roman"/>
                    </w:rPr>
                  </w:pPr>
                  <w:r>
                    <w:rPr>
                      <w:rFonts w:cs="Times New Roman" w:ascii="Times New Roman" w:hAnsi="Times New Roman"/>
                    </w:rPr>
                    <w:t xml:space="preserve"> </w:t>
                  </w:r>
                </w:p>
                <w:p>
                  <w:pPr>
                    <w:pStyle w:val="ListParagraph"/>
                    <w:ind w:left="0" w:hanging="0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cs="Times New Roman" w:ascii="Times New Roman" w:hAnsi="Times New Roman"/>
                    </w:rPr>
                    <w:t>16</w:t>
                  </w:r>
                </w:p>
                <w:p>
                  <w:pPr>
                    <w:pStyle w:val="ListParagraph"/>
                    <w:spacing w:before="0" w:after="200"/>
                    <w:ind w:left="0" w:hanging="0"/>
                    <w:contextualSpacing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cs="Times New Roman" w:ascii="Times New Roman" w:hAnsi="Times New Roman"/>
                    </w:rPr>
                  </w:r>
                </w:p>
              </w:tc>
              <w:tc>
                <w:tcPr>
                  <w:tcW w:w="539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NormalWeb"/>
                    <w:shd w:val="clear" w:color="auto" w:fill="FFFFFF"/>
                    <w:spacing w:beforeAutospacing="0" w:before="280" w:afterAutospacing="0" w:after="280"/>
                    <w:jc w:val="both"/>
                    <w:rPr/>
                  </w:pPr>
                  <w:bookmarkStart w:id="0" w:name="_GoBack"/>
                  <w:bookmarkEnd w:id="0"/>
                  <w:r>
                    <w:rPr/>
                    <w:t>Proceder à alteração de lotação no sistema SIAPE e no cadastro manual da Divisão.</w:t>
                  </w:r>
                </w:p>
              </w:tc>
              <w:tc>
                <w:tcPr>
                  <w:tcW w:w="160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Normal"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cs="Times New Roman" w:ascii="Times New Roman" w:hAnsi="Times New Roman"/>
                    </w:rPr>
                    <w:t>Divisão de Cadastros</w:t>
                  </w:r>
                </w:p>
              </w:tc>
              <w:tc>
                <w:tcPr>
                  <w:tcW w:w="157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200"/>
                    <w:ind w:left="0" w:hanging="0"/>
                    <w:contextualSpacing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cs="Times New Roman" w:ascii="Times New Roman" w:hAnsi="Times New Roman"/>
                    </w:rPr>
                    <w:t xml:space="preserve">01 dia </w:t>
                  </w:r>
                  <w:r>
                    <w:rPr>
                      <w:rFonts w:cs="Times New Roman" w:ascii="Times New Roman" w:hAnsi="Times New Roman"/>
                      <w:sz w:val="20"/>
                      <w:szCs w:val="20"/>
                    </w:rPr>
                    <w:t>(observar cronograma da folha de pagamentos)</w:t>
                  </w:r>
                </w:p>
              </w:tc>
            </w:tr>
            <w:tr>
              <w:trPr/>
              <w:tc>
                <w:tcPr>
                  <w:tcW w:w="141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200"/>
                    <w:ind w:left="0" w:hanging="0"/>
                    <w:contextualSpacing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17</w:t>
                  </w:r>
                </w:p>
              </w:tc>
              <w:tc>
                <w:tcPr>
                  <w:tcW w:w="539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NormalWeb"/>
                    <w:shd w:val="clear" w:color="auto" w:fill="FFFFFF"/>
                    <w:spacing w:beforeAutospacing="0" w:before="280" w:afterAutospacing="0" w:after="280"/>
                    <w:jc w:val="both"/>
                    <w:rPr/>
                  </w:pPr>
                  <w:r>
                    <w:rPr/>
                    <w:t>Enviar o processo à Divisão de Pagamentos para ciência.</w:t>
                  </w:r>
                </w:p>
              </w:tc>
              <w:tc>
                <w:tcPr>
                  <w:tcW w:w="160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Normal"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cs="Times New Roman" w:ascii="Times New Roman" w:hAnsi="Times New Roman"/>
                    </w:rPr>
                    <w:t>Divisão de Cadastros</w:t>
                  </w:r>
                </w:p>
              </w:tc>
              <w:tc>
                <w:tcPr>
                  <w:tcW w:w="157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200"/>
                    <w:ind w:left="0" w:hanging="0"/>
                    <w:contextualSpacing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cs="Times New Roman" w:ascii="Times New Roman" w:hAnsi="Times New Roman"/>
                    </w:rPr>
                    <w:t>01 dia</w:t>
                  </w:r>
                </w:p>
              </w:tc>
            </w:tr>
            <w:tr>
              <w:trPr/>
              <w:tc>
                <w:tcPr>
                  <w:tcW w:w="141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200"/>
                    <w:ind w:left="0" w:hanging="0"/>
                    <w:contextualSpacing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cs="Times New Roman" w:ascii="Times New Roman" w:hAnsi="Times New Roman"/>
                    </w:rPr>
                    <w:t>18</w:t>
                  </w:r>
                </w:p>
              </w:tc>
              <w:tc>
                <w:tcPr>
                  <w:tcW w:w="539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NormalWeb"/>
                    <w:shd w:val="clear" w:color="auto" w:fill="FFFFFF"/>
                    <w:spacing w:beforeAutospacing="0" w:before="280" w:afterAutospacing="0" w:after="280"/>
                    <w:jc w:val="both"/>
                    <w:rPr/>
                  </w:pPr>
                  <w:r>
                    <w:rPr/>
                    <w:t>Dar ciência na portaria de mudança de lotação e enviar o processo ao Setor de Arquivo.</w:t>
                  </w:r>
                </w:p>
              </w:tc>
              <w:tc>
                <w:tcPr>
                  <w:tcW w:w="160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Normal"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cs="Times New Roman" w:ascii="Times New Roman" w:hAnsi="Times New Roman"/>
                    </w:rPr>
                    <w:t>Divisão de Pagamentos</w:t>
                  </w:r>
                </w:p>
              </w:tc>
              <w:tc>
                <w:tcPr>
                  <w:tcW w:w="157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200"/>
                    <w:ind w:left="0" w:hanging="0"/>
                    <w:contextualSpacing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cs="Times New Roman" w:ascii="Times New Roman" w:hAnsi="Times New Roman"/>
                    </w:rPr>
                    <w:t>01 dia</w:t>
                  </w:r>
                </w:p>
              </w:tc>
            </w:tr>
            <w:tr>
              <w:trPr/>
              <w:tc>
                <w:tcPr>
                  <w:tcW w:w="141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200"/>
                    <w:ind w:left="0" w:hanging="0"/>
                    <w:contextualSpacing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cs="Times New Roman" w:ascii="Times New Roman" w:hAnsi="Times New Roman"/>
                    </w:rPr>
                    <w:t>19</w:t>
                  </w:r>
                </w:p>
              </w:tc>
              <w:tc>
                <w:tcPr>
                  <w:tcW w:w="539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NormalWeb"/>
                    <w:shd w:val="clear" w:color="auto" w:fill="FFFFFF"/>
                    <w:spacing w:beforeAutospacing="0" w:before="280" w:afterAutospacing="0" w:after="280"/>
                    <w:jc w:val="both"/>
                    <w:rPr>
                      <w:lang w:eastAsia="zh-CN"/>
                    </w:rPr>
                  </w:pPr>
                  <w:r>
                    <w:rPr>
                      <w:lang w:eastAsia="zh-CN"/>
                    </w:rPr>
                    <w:t>Arquivar o processo</w:t>
                  </w:r>
                </w:p>
              </w:tc>
              <w:tc>
                <w:tcPr>
                  <w:tcW w:w="160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200"/>
                    <w:ind w:left="0" w:hanging="0"/>
                    <w:contextualSpacing/>
                    <w:jc w:val="center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>
                    <w:rPr>
                      <w:rFonts w:cs="Times New Roman" w:ascii="Times New Roman" w:hAnsi="Times New Roman"/>
                    </w:rPr>
                    <w:t>Divisão de Arquivo</w:t>
                  </w:r>
                </w:p>
              </w:tc>
              <w:tc>
                <w:tcPr>
                  <w:tcW w:w="157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200"/>
                    <w:ind w:left="0" w:hanging="0"/>
                    <w:contextualSpacing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cs="Times New Roman" w:ascii="Times New Roman" w:hAnsi="Times New Roman"/>
                    </w:rPr>
                    <w:t>01 dia</w:t>
                  </w:r>
                </w:p>
              </w:tc>
            </w:tr>
          </w:tbl>
          <w:p>
            <w:pPr>
              <w:pStyle w:val="Normal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/>
        <w:tc>
          <w:tcPr>
            <w:tcW w:w="106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3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before="0" w:after="0"/>
              <w:contextualSpacing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b/>
                <w:sz w:val="22"/>
                <w:szCs w:val="22"/>
              </w:rPr>
              <w:t>Lista de contatos para realização da ação</w:t>
            </w:r>
          </w:p>
        </w:tc>
      </w:tr>
      <w:tr>
        <w:trPr/>
        <w:tc>
          <w:tcPr>
            <w:tcW w:w="106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3" w:type="dxa"/>
            </w:tcMar>
          </w:tcPr>
          <w:p>
            <w:pPr>
              <w:pStyle w:val="Normal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tbl>
            <w:tblPr>
              <w:tblW w:w="9801" w:type="dxa"/>
              <w:jc w:val="left"/>
              <w:tblInd w:w="392" w:type="dxa"/>
              <w:tblBorders>
                <w:top w:val="single" w:sz="4" w:space="0" w:color="00000A"/>
                <w:left w:val="single" w:sz="4" w:space="0" w:color="00000A"/>
                <w:bottom w:val="single" w:sz="4" w:space="0" w:color="00000A"/>
                <w:right w:val="single" w:sz="4" w:space="0" w:color="00000A"/>
                <w:insideH w:val="single" w:sz="4" w:space="0" w:color="00000A"/>
                <w:insideV w:val="single" w:sz="4" w:space="0" w:color="00000A"/>
              </w:tblBorders>
              <w:tblCellMar>
                <w:top w:w="0" w:type="dxa"/>
                <w:left w:w="63" w:type="dxa"/>
                <w:bottom w:w="0" w:type="dxa"/>
                <w:right w:w="108" w:type="dxa"/>
              </w:tblCellMar>
              <w:tblLook w:val="0000"/>
            </w:tblPr>
            <w:tblGrid>
              <w:gridCol w:w="4367"/>
              <w:gridCol w:w="1137"/>
              <w:gridCol w:w="4297"/>
            </w:tblGrid>
            <w:tr>
              <w:trPr/>
              <w:tc>
                <w:tcPr>
                  <w:tcW w:w="4367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tbl>
                  <w:tblPr>
                    <w:tblW w:w="1698" w:type="dxa"/>
                    <w:jc w:val="left"/>
                    <w:tblInd w:w="108" w:type="dxa"/>
                    <w:tblBorders/>
                    <w:tblCellMar>
                      <w:top w:w="0" w:type="dxa"/>
                      <w:left w:w="108" w:type="dxa"/>
                      <w:bottom w:w="0" w:type="dxa"/>
                      <w:right w:w="108" w:type="dxa"/>
                    </w:tblCellMar>
                    <w:tblLook w:val="0000"/>
                  </w:tblPr>
                  <w:tblGrid>
                    <w:gridCol w:w="990"/>
                    <w:gridCol w:w="236"/>
                    <w:gridCol w:w="236"/>
                    <w:gridCol w:w="235"/>
                  </w:tblGrid>
                  <w:tr>
                    <w:trPr>
                      <w:trHeight w:val="280" w:hRule="atLeast"/>
                    </w:trPr>
                    <w:tc>
                      <w:tcPr>
                        <w:tcW w:w="990" w:type="dxa"/>
                        <w:tcBorders/>
                        <w:shd w:color="auto" w:fill="auto" w:val="clear"/>
                      </w:tcPr>
                      <w:p>
                        <w:pPr>
                          <w:pStyle w:val="Normal1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b/>
                            <w:bCs/>
                            <w:sz w:val="22"/>
                            <w:szCs w:val="22"/>
                          </w:rPr>
                          <w:t xml:space="preserve">Nome </w:t>
                        </w:r>
                      </w:p>
                    </w:tc>
                    <w:tc>
                      <w:tcPr>
                        <w:tcW w:w="236" w:type="dxa"/>
                        <w:tcBorders/>
                        <w:shd w:color="auto" w:fill="auto" w:val="clear"/>
                      </w:tcPr>
                      <w:p>
                        <w:pPr>
                          <w:pStyle w:val="Normal1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</w:r>
                      </w:p>
                    </w:tc>
                    <w:tc>
                      <w:tcPr>
                        <w:tcW w:w="236" w:type="dxa"/>
                        <w:tcBorders/>
                        <w:shd w:color="auto" w:fill="auto" w:val="clear"/>
                      </w:tcPr>
                      <w:p>
                        <w:pPr>
                          <w:pStyle w:val="Normal1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</w:r>
                      </w:p>
                    </w:tc>
                    <w:tc>
                      <w:tcPr>
                        <w:tcW w:w="235" w:type="dxa"/>
                        <w:tcBorders/>
                        <w:shd w:color="auto" w:fill="auto" w:val="clear"/>
                      </w:tcPr>
                      <w:p>
                        <w:pPr>
                          <w:pStyle w:val="Normal1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</w:r>
                      </w:p>
                    </w:tc>
                  </w:tr>
                </w:tbl>
                <w:p>
                  <w:pPr>
                    <w:pStyle w:val="ListParagraph"/>
                    <w:spacing w:before="0" w:after="200"/>
                    <w:ind w:left="0" w:hanging="0"/>
                    <w:contextualSpacing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>
                    <w:rPr>
                      <w:rFonts w:cs="Times New Roman" w:ascii="Times New Roman" w:hAnsi="Times New Roman"/>
                      <w:sz w:val="22"/>
                      <w:szCs w:val="22"/>
                    </w:rPr>
                  </w:r>
                </w:p>
              </w:tc>
              <w:tc>
                <w:tcPr>
                  <w:tcW w:w="1137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200"/>
                    <w:ind w:left="0" w:hanging="0"/>
                    <w:contextualSpacing/>
                    <w:jc w:val="center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>
                    <w:rPr>
                      <w:rFonts w:cs="Times New Roman" w:ascii="Times New Roman" w:hAnsi="Times New Roman"/>
                      <w:b/>
                      <w:bCs/>
                      <w:sz w:val="22"/>
                      <w:szCs w:val="22"/>
                    </w:rPr>
                    <w:t>voip</w:t>
                  </w:r>
                </w:p>
              </w:tc>
              <w:tc>
                <w:tcPr>
                  <w:tcW w:w="4297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200"/>
                    <w:ind w:left="0" w:hanging="0"/>
                    <w:contextualSpacing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>
                    <w:rPr>
                      <w:rFonts w:cs="Times New Roman" w:ascii="Times New Roman" w:hAnsi="Times New Roman"/>
                      <w:b/>
                      <w:bCs/>
                      <w:sz w:val="22"/>
                      <w:szCs w:val="22"/>
                    </w:rPr>
                    <w:t>e-mail</w:t>
                  </w:r>
                </w:p>
              </w:tc>
            </w:tr>
            <w:tr>
              <w:trPr/>
              <w:tc>
                <w:tcPr>
                  <w:tcW w:w="4367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200"/>
                    <w:ind w:left="0" w:hanging="0"/>
                    <w:contextualSpacing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>
                    <w:rPr>
                      <w:rFonts w:cs="Times New Roman" w:ascii="Times New Roman" w:hAnsi="Times New Roman"/>
                      <w:sz w:val="22"/>
                      <w:szCs w:val="22"/>
                    </w:rPr>
                    <w:t xml:space="preserve"> </w:t>
                  </w:r>
                  <w:r>
                    <w:rPr>
                      <w:rFonts w:cs="Times New Roman" w:ascii="Times New Roman" w:hAnsi="Times New Roman"/>
                      <w:sz w:val="22"/>
                      <w:szCs w:val="22"/>
                    </w:rPr>
                    <w:t>Diretoria de Seleção e Desenvolvimento de Pessoas</w:t>
                  </w:r>
                </w:p>
              </w:tc>
              <w:tc>
                <w:tcPr>
                  <w:tcW w:w="1137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200"/>
                    <w:ind w:left="0" w:hanging="0"/>
                    <w:contextualSpacing/>
                    <w:jc w:val="center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>
                    <w:rPr>
                      <w:rFonts w:cs="Times New Roman" w:ascii="Times New Roman" w:hAnsi="Times New Roman"/>
                      <w:sz w:val="22"/>
                      <w:szCs w:val="22"/>
                    </w:rPr>
                    <w:t>8175</w:t>
                  </w:r>
                </w:p>
              </w:tc>
              <w:tc>
                <w:tcPr>
                  <w:tcW w:w="4297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200"/>
                    <w:ind w:left="0" w:hanging="0"/>
                    <w:contextualSpacing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>
                    <w:rPr>
                      <w:rStyle w:val="LinkdaInternet"/>
                      <w:rFonts w:cs="Times New Roman" w:ascii="Times New Roman" w:hAnsi="Times New Roman"/>
                      <w:color w:val="00000A"/>
                      <w:sz w:val="22"/>
                      <w:szCs w:val="22"/>
                      <w:u w:val="none"/>
                    </w:rPr>
                    <w:t>diretoriasd@progep@ufvjm.edu.br</w:t>
                  </w:r>
                </w:p>
              </w:tc>
            </w:tr>
            <w:tr>
              <w:trPr/>
              <w:tc>
                <w:tcPr>
                  <w:tcW w:w="4367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200"/>
                    <w:ind w:left="0" w:hanging="0"/>
                    <w:contextualSpacing/>
                    <w:rPr/>
                  </w:pPr>
                  <w:r>
                    <w:rPr>
                      <w:rFonts w:cs="Times New Roman" w:ascii="Times New Roman" w:hAnsi="Times New Roman"/>
                      <w:sz w:val="22"/>
                      <w:szCs w:val="22"/>
                    </w:rPr>
                    <w:t>Divisão de Legislação e Normas</w:t>
                  </w:r>
                </w:p>
              </w:tc>
              <w:tc>
                <w:tcPr>
                  <w:tcW w:w="1137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200"/>
                    <w:ind w:left="0" w:hanging="0"/>
                    <w:contextualSpacing/>
                    <w:jc w:val="center"/>
                    <w:rPr/>
                  </w:pPr>
                  <w:r>
                    <w:rPr>
                      <w:rFonts w:cs="Times New Roman" w:ascii="Times New Roman" w:hAnsi="Times New Roman"/>
                      <w:sz w:val="22"/>
                      <w:szCs w:val="22"/>
                    </w:rPr>
                    <w:t>8170</w:t>
                  </w:r>
                </w:p>
              </w:tc>
              <w:tc>
                <w:tcPr>
                  <w:tcW w:w="4297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200"/>
                    <w:ind w:left="0" w:hanging="0"/>
                    <w:contextualSpacing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>
                    <w:rPr>
                      <w:rFonts w:cs="Times New Roman" w:ascii="Times New Roman" w:hAnsi="Times New Roman"/>
                      <w:sz w:val="22"/>
                      <w:szCs w:val="22"/>
                    </w:rPr>
                    <w:t>dln.progep@ufvjm.edu.br</w:t>
                  </w:r>
                </w:p>
              </w:tc>
            </w:tr>
            <w:tr>
              <w:trPr/>
              <w:tc>
                <w:tcPr>
                  <w:tcW w:w="4367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200"/>
                    <w:ind w:left="0" w:hanging="0"/>
                    <w:contextualSpacing/>
                    <w:rPr/>
                  </w:pPr>
                  <w:r>
                    <w:rPr>
                      <w:rFonts w:cs="Times New Roman" w:ascii="Times New Roman" w:hAnsi="Times New Roman"/>
                      <w:sz w:val="22"/>
                      <w:szCs w:val="22"/>
                    </w:rPr>
                    <w:t>Divisão de Cadastro</w:t>
                  </w:r>
                </w:p>
              </w:tc>
              <w:tc>
                <w:tcPr>
                  <w:tcW w:w="1137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200"/>
                    <w:ind w:left="0" w:hanging="0"/>
                    <w:contextualSpacing/>
                    <w:jc w:val="center"/>
                    <w:rPr/>
                  </w:pPr>
                  <w:r>
                    <w:rPr>
                      <w:rFonts w:cs="Times New Roman" w:ascii="Times New Roman" w:hAnsi="Times New Roman"/>
                      <w:sz w:val="22"/>
                      <w:szCs w:val="22"/>
                    </w:rPr>
                    <w:t>8173</w:t>
                  </w:r>
                </w:p>
              </w:tc>
              <w:tc>
                <w:tcPr>
                  <w:tcW w:w="4297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200"/>
                    <w:ind w:left="0" w:hanging="0"/>
                    <w:contextualSpacing/>
                    <w:rPr/>
                  </w:pPr>
                  <w:hyperlink r:id="rId3">
                    <w:r>
                      <w:rPr>
                        <w:rStyle w:val="LinkdaInternet"/>
                        <w:rFonts w:cs="Times New Roman" w:ascii="Times New Roman" w:hAnsi="Times New Roman"/>
                        <w:color w:val="00000A"/>
                        <w:sz w:val="22"/>
                        <w:szCs w:val="22"/>
                        <w:u w:val="none"/>
                      </w:rPr>
                      <w:t>cadastro.progep@ufvjm.edu.br</w:t>
                    </w:r>
                  </w:hyperlink>
                </w:p>
              </w:tc>
            </w:tr>
            <w:tr>
              <w:trPr/>
              <w:tc>
                <w:tcPr>
                  <w:tcW w:w="4367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200"/>
                    <w:ind w:left="0" w:hanging="0"/>
                    <w:contextualSpacing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>
                    <w:rPr>
                      <w:rFonts w:cs="Times New Roman" w:ascii="Times New Roman" w:hAnsi="Times New Roman"/>
                      <w:sz w:val="22"/>
                      <w:szCs w:val="22"/>
                    </w:rPr>
                    <w:t>Divisão de Pagamentos</w:t>
                  </w:r>
                </w:p>
              </w:tc>
              <w:tc>
                <w:tcPr>
                  <w:tcW w:w="1137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200"/>
                    <w:ind w:left="0" w:hanging="0"/>
                    <w:contextualSpacing/>
                    <w:jc w:val="center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>
                    <w:rPr>
                      <w:rFonts w:cs="Times New Roman" w:ascii="Times New Roman" w:hAnsi="Times New Roman"/>
                      <w:sz w:val="22"/>
                      <w:szCs w:val="22"/>
                    </w:rPr>
                    <w:t>8174</w:t>
                  </w:r>
                </w:p>
              </w:tc>
              <w:tc>
                <w:tcPr>
                  <w:tcW w:w="4297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200"/>
                    <w:ind w:left="0" w:hanging="0"/>
                    <w:contextualSpacing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>
                    <w:rPr>
                      <w:rFonts w:cs="Times New Roman" w:ascii="Times New Roman" w:hAnsi="Times New Roman"/>
                      <w:sz w:val="22"/>
                      <w:szCs w:val="22"/>
                    </w:rPr>
                    <w:t>pagamento.progep@ufvjm.edu.br</w:t>
                  </w:r>
                </w:p>
              </w:tc>
            </w:tr>
          </w:tbl>
          <w:p>
            <w:pPr>
              <w:pStyle w:val="Normal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</w:t>
            </w:r>
          </w:p>
        </w:tc>
      </w:tr>
      <w:tr>
        <w:trPr/>
        <w:tc>
          <w:tcPr>
            <w:tcW w:w="106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3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before="0" w:after="0"/>
              <w:contextualSpacing/>
              <w:rPr/>
            </w:pPr>
            <w:r>
              <w:rPr>
                <w:b/>
              </w:rPr>
              <w:t>Definições / Legenda</w:t>
            </w:r>
          </w:p>
        </w:tc>
      </w:tr>
      <w:tr>
        <w:trPr/>
        <w:tc>
          <w:tcPr>
            <w:tcW w:w="106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3" w:type="dxa"/>
            </w:tcMar>
          </w:tcPr>
          <w:p>
            <w:pPr>
              <w:pStyle w:val="Normal1"/>
              <w:rPr/>
            </w:pPr>
            <w:r>
              <w:rPr/>
              <w:t>DSD – Diretoria de Seleção e Desenvolvimento de Pessoas</w:t>
            </w:r>
          </w:p>
          <w:p>
            <w:pPr>
              <w:pStyle w:val="Normal1"/>
              <w:rPr/>
            </w:pPr>
            <w:r>
              <w:rPr/>
              <w:t>DLN – Divisão de Legislação e Normas</w:t>
            </w:r>
          </w:p>
        </w:tc>
      </w:tr>
      <w:tr>
        <w:trPr/>
        <w:tc>
          <w:tcPr>
            <w:tcW w:w="106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3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before="0" w:after="0"/>
              <w:contextualSpacing/>
              <w:rPr/>
            </w:pPr>
            <w:r>
              <w:rPr>
                <w:b/>
              </w:rPr>
              <w:t>Material de suporte</w:t>
            </w:r>
          </w:p>
        </w:tc>
      </w:tr>
      <w:tr>
        <w:trPr/>
        <w:tc>
          <w:tcPr>
            <w:tcW w:w="106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3" w:type="dxa"/>
            </w:tcMar>
          </w:tcPr>
          <w:p>
            <w:pPr>
              <w:pStyle w:val="NormalWeb"/>
              <w:spacing w:before="280" w:afterAutospacing="0" w:after="198"/>
              <w:rPr/>
            </w:pPr>
            <w:r>
              <w:rPr/>
              <w:t>. 1.</w:t>
            </w:r>
            <w:hyperlink r:id="rId4">
              <w:r>
                <w:rPr>
                  <w:rStyle w:val="LinkdaInternet"/>
                </w:rPr>
                <w:t xml:space="preserve"> Lei nº 8.112, de 11/12/90 (DOU 12/12/90).</w:t>
              </w:r>
            </w:hyperlink>
          </w:p>
        </w:tc>
      </w:tr>
      <w:tr>
        <w:trPr/>
        <w:tc>
          <w:tcPr>
            <w:tcW w:w="106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3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before="0" w:after="0"/>
              <w:contextualSpacing/>
              <w:rPr/>
            </w:pPr>
            <w:r>
              <w:rPr>
                <w:b/>
              </w:rPr>
              <w:t>Fluxograma do processo</w:t>
            </w:r>
          </w:p>
        </w:tc>
      </w:tr>
      <w:tr>
        <w:trPr/>
        <w:tc>
          <w:tcPr>
            <w:tcW w:w="106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3" w:type="dxa"/>
            </w:tcMar>
          </w:tcPr>
          <w:p>
            <w:pPr>
              <w:pStyle w:val="Normal1"/>
              <w:rPr>
                <w:lang w:eastAsia="pt-BR"/>
              </w:rPr>
            </w:pPr>
            <w:r>
              <w:rPr>
                <w:lang w:eastAsia="pt-BR"/>
              </w:rPr>
            </w:r>
          </w:p>
          <w:p>
            <w:pPr>
              <w:pStyle w:val="Normal1"/>
              <w:rPr/>
            </w:pPr>
            <w:r>
              <w:rPr/>
              <w:drawing>
                <wp:inline distT="0" distB="0" distL="0" distR="0">
                  <wp:extent cx="6645910" cy="6468110"/>
                  <wp:effectExtent l="0" t="0" r="0" b="0"/>
                  <wp:docPr id="2" name="Imagem 1" descr="Fluxograma Progep - Mudança de Lotaçã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m 1" descr="Fluxograma Progep - Mudança de Lotação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45910" cy="64681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pStyle w:val="Normal1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106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3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before="0" w:after="0"/>
              <w:contextualSpacing/>
              <w:rPr/>
            </w:pPr>
            <w:r>
              <w:rPr>
                <w:b/>
              </w:rPr>
              <w:t>Elaboração, aprovação, publicação, revisão</w:t>
            </w:r>
          </w:p>
        </w:tc>
      </w:tr>
      <w:tr>
        <w:trPr/>
        <w:tc>
          <w:tcPr>
            <w:tcW w:w="106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3" w:type="dxa"/>
            </w:tcMar>
          </w:tcPr>
          <w:p>
            <w:pPr>
              <w:pStyle w:val="ListParagraph"/>
              <w:rPr/>
            </w:pPr>
            <w:r>
              <w:rPr/>
            </w:r>
          </w:p>
          <w:tbl>
            <w:tblPr>
              <w:tblW w:w="10130" w:type="dxa"/>
              <w:jc w:val="left"/>
              <w:tblInd w:w="250" w:type="dxa"/>
              <w:tblBorders>
                <w:top w:val="single" w:sz="4" w:space="0" w:color="00000A"/>
                <w:left w:val="single" w:sz="4" w:space="0" w:color="00000A"/>
                <w:bottom w:val="single" w:sz="4" w:space="0" w:color="00000A"/>
                <w:right w:val="single" w:sz="4" w:space="0" w:color="00000A"/>
                <w:insideH w:val="single" w:sz="4" w:space="0" w:color="00000A"/>
                <w:insideV w:val="single" w:sz="4" w:space="0" w:color="00000A"/>
              </w:tblBorders>
              <w:tblCellMar>
                <w:top w:w="0" w:type="dxa"/>
                <w:left w:w="63" w:type="dxa"/>
                <w:bottom w:w="0" w:type="dxa"/>
                <w:right w:w="108" w:type="dxa"/>
              </w:tblCellMar>
              <w:tblLook w:val="0000"/>
            </w:tblPr>
            <w:tblGrid>
              <w:gridCol w:w="2018"/>
              <w:gridCol w:w="1277"/>
              <w:gridCol w:w="4785"/>
              <w:gridCol w:w="2049"/>
            </w:tblGrid>
            <w:tr>
              <w:trPr/>
              <w:tc>
                <w:tcPr>
                  <w:tcW w:w="201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tbl>
                  <w:tblPr>
                    <w:tblW w:w="1537" w:type="dxa"/>
                    <w:jc w:val="left"/>
                    <w:tblInd w:w="108" w:type="dxa"/>
                    <w:tblBorders/>
                    <w:tblCellMar>
                      <w:top w:w="0" w:type="dxa"/>
                      <w:left w:w="108" w:type="dxa"/>
                      <w:bottom w:w="0" w:type="dxa"/>
                      <w:right w:w="108" w:type="dxa"/>
                    </w:tblCellMar>
                    <w:tblLook w:val="0000"/>
                  </w:tblPr>
                  <w:tblGrid>
                    <w:gridCol w:w="940"/>
                    <w:gridCol w:w="199"/>
                    <w:gridCol w:w="200"/>
                    <w:gridCol w:w="197"/>
                  </w:tblGrid>
                  <w:tr>
                    <w:trPr>
                      <w:trHeight w:val="280" w:hRule="atLeast"/>
                    </w:trPr>
                    <w:tc>
                      <w:tcPr>
                        <w:tcW w:w="940" w:type="dxa"/>
                        <w:tcBorders/>
                        <w:shd w:color="auto" w:fill="auto" w:val="clear"/>
                      </w:tcPr>
                      <w:p>
                        <w:pPr>
                          <w:pStyle w:val="Normal1"/>
                          <w:rPr/>
                        </w:pPr>
                        <w:r>
                          <w:rPr>
                            <w:rFonts w:cs="Verdana"/>
                            <w:b/>
                            <w:bCs/>
                            <w:sz w:val="20"/>
                            <w:szCs w:val="20"/>
                          </w:rPr>
                          <w:t xml:space="preserve">Atividade </w:t>
                        </w:r>
                      </w:p>
                    </w:tc>
                    <w:tc>
                      <w:tcPr>
                        <w:tcW w:w="199" w:type="dxa"/>
                        <w:tcBorders/>
                        <w:shd w:color="auto" w:fill="auto" w:val="clear"/>
                      </w:tcPr>
                      <w:p>
                        <w:pPr>
                          <w:pStyle w:val="Normal1"/>
                          <w:rPr/>
                        </w:pPr>
                        <w:r>
                          <w:rPr/>
                        </w:r>
                      </w:p>
                    </w:tc>
                    <w:tc>
                      <w:tcPr>
                        <w:tcW w:w="200" w:type="dxa"/>
                        <w:tcBorders/>
                        <w:shd w:color="auto" w:fill="auto" w:val="clear"/>
                      </w:tcPr>
                      <w:p>
                        <w:pPr>
                          <w:pStyle w:val="Normal1"/>
                          <w:rPr/>
                        </w:pPr>
                        <w:r>
                          <w:rPr/>
                        </w:r>
                      </w:p>
                    </w:tc>
                    <w:tc>
                      <w:tcPr>
                        <w:tcW w:w="197" w:type="dxa"/>
                        <w:tcBorders/>
                        <w:shd w:color="auto" w:fill="auto" w:val="clear"/>
                      </w:tcPr>
                      <w:p>
                        <w:pPr>
                          <w:pStyle w:val="Normal1"/>
                          <w:rPr/>
                        </w:pPr>
                        <w:r>
                          <w:rPr/>
                        </w:r>
                      </w:p>
                    </w:tc>
                  </w:tr>
                </w:tbl>
                <w:p>
                  <w:pPr>
                    <w:pStyle w:val="ListParagraph"/>
                    <w:spacing w:before="0" w:after="200"/>
                    <w:ind w:left="0" w:hanging="0"/>
                    <w:contextualSpacing/>
                    <w:rPr/>
                  </w:pPr>
                  <w:r>
                    <w:rPr/>
                  </w:r>
                </w:p>
              </w:tc>
              <w:tc>
                <w:tcPr>
                  <w:tcW w:w="1277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200"/>
                    <w:ind w:left="0" w:hanging="0"/>
                    <w:contextualSpacing/>
                    <w:rPr/>
                  </w:pPr>
                  <w:r>
                    <w:rPr>
                      <w:b/>
                      <w:bCs/>
                      <w:sz w:val="20"/>
                      <w:szCs w:val="20"/>
                    </w:rPr>
                    <w:t>Data</w:t>
                  </w:r>
                </w:p>
              </w:tc>
              <w:tc>
                <w:tcPr>
                  <w:tcW w:w="478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200"/>
                    <w:ind w:left="0" w:hanging="0"/>
                    <w:contextualSpacing/>
                    <w:rPr/>
                  </w:pPr>
                  <w:r>
                    <w:rPr>
                      <w:b/>
                      <w:bCs/>
                      <w:sz w:val="20"/>
                      <w:szCs w:val="20"/>
                    </w:rPr>
                    <w:t>Nome</w:t>
                  </w:r>
                </w:p>
              </w:tc>
              <w:tc>
                <w:tcPr>
                  <w:tcW w:w="2049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200"/>
                    <w:ind w:left="0" w:hanging="0"/>
                    <w:contextualSpacing/>
                    <w:rPr/>
                  </w:pPr>
                  <w:r>
                    <w:rPr>
                      <w:b/>
                      <w:bCs/>
                      <w:sz w:val="20"/>
                      <w:szCs w:val="20"/>
                    </w:rPr>
                    <w:t>Função</w:t>
                  </w:r>
                </w:p>
              </w:tc>
            </w:tr>
            <w:tr>
              <w:trPr/>
              <w:tc>
                <w:tcPr>
                  <w:tcW w:w="201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200"/>
                    <w:ind w:left="0" w:hanging="0"/>
                    <w:contextualSpacing/>
                    <w:rPr/>
                  </w:pPr>
                  <w:r>
                    <w:rPr>
                      <w:sz w:val="18"/>
                      <w:szCs w:val="18"/>
                    </w:rPr>
                    <w:t>Data da elaboração</w:t>
                  </w:r>
                </w:p>
              </w:tc>
              <w:tc>
                <w:tcPr>
                  <w:tcW w:w="1277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200"/>
                    <w:ind w:left="0" w:hanging="0"/>
                    <w:contextualSpacing/>
                    <w:rPr/>
                  </w:pPr>
                  <w:r>
                    <w:rPr>
                      <w:sz w:val="18"/>
                      <w:szCs w:val="18"/>
                    </w:rPr>
                    <w:t>25/04/2018</w:t>
                  </w:r>
                </w:p>
              </w:tc>
              <w:tc>
                <w:tcPr>
                  <w:tcW w:w="478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200"/>
                    <w:ind w:left="0" w:hanging="0"/>
                    <w:contextualSpacing/>
                    <w:rPr/>
                  </w:pPr>
                  <w:r>
                    <w:rPr>
                      <w:sz w:val="18"/>
                      <w:szCs w:val="18"/>
                    </w:rPr>
                    <w:t>Patrícia Neves Orsetti</w:t>
                  </w:r>
                </w:p>
              </w:tc>
              <w:tc>
                <w:tcPr>
                  <w:tcW w:w="2049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200"/>
                    <w:ind w:left="0" w:hanging="0"/>
                    <w:contextualSpacing/>
                    <w:rPr/>
                  </w:pPr>
                  <w:r>
                    <w:rPr>
                      <w:sz w:val="18"/>
                      <w:szCs w:val="18"/>
                    </w:rPr>
                    <w:t>Diretora de Seleção e Desenvolvimento de Pessoas</w:t>
                  </w:r>
                </w:p>
              </w:tc>
            </w:tr>
            <w:tr>
              <w:trPr/>
              <w:tc>
                <w:tcPr>
                  <w:tcW w:w="201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200"/>
                    <w:ind w:left="0" w:hanging="0"/>
                    <w:contextualSpacing/>
                    <w:rPr/>
                  </w:pPr>
                  <w:r>
                    <w:rPr>
                      <w:sz w:val="18"/>
                      <w:szCs w:val="18"/>
                    </w:rPr>
                    <w:t>Data da aprovação</w:t>
                  </w:r>
                </w:p>
              </w:tc>
              <w:tc>
                <w:tcPr>
                  <w:tcW w:w="1277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200"/>
                    <w:ind w:left="0" w:hanging="0"/>
                    <w:contextualSpacing/>
                    <w:rPr/>
                  </w:pPr>
                  <w:r>
                    <w:rPr/>
                  </w:r>
                </w:p>
              </w:tc>
              <w:tc>
                <w:tcPr>
                  <w:tcW w:w="478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200"/>
                    <w:ind w:left="0" w:hanging="0"/>
                    <w:contextualSpacing/>
                    <w:rPr/>
                  </w:pPr>
                  <w:r>
                    <w:rPr/>
                  </w:r>
                </w:p>
              </w:tc>
              <w:tc>
                <w:tcPr>
                  <w:tcW w:w="2049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200"/>
                    <w:ind w:left="0" w:hanging="0"/>
                    <w:contextualSpacing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201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200"/>
                    <w:ind w:left="0" w:hanging="0"/>
                    <w:contextualSpacing/>
                    <w:rPr/>
                  </w:pPr>
                  <w:r>
                    <w:rPr>
                      <w:sz w:val="18"/>
                      <w:szCs w:val="18"/>
                    </w:rPr>
                    <w:t>Data da publicação</w:t>
                  </w:r>
                </w:p>
              </w:tc>
              <w:tc>
                <w:tcPr>
                  <w:tcW w:w="1277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200"/>
                    <w:ind w:left="0" w:hanging="0"/>
                    <w:contextualSpacing/>
                    <w:rPr/>
                  </w:pPr>
                  <w:r>
                    <w:rPr/>
                  </w:r>
                </w:p>
              </w:tc>
              <w:tc>
                <w:tcPr>
                  <w:tcW w:w="478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200"/>
                    <w:ind w:left="0" w:hanging="0"/>
                    <w:contextualSpacing/>
                    <w:rPr/>
                  </w:pPr>
                  <w:r>
                    <w:rPr/>
                  </w:r>
                </w:p>
              </w:tc>
              <w:tc>
                <w:tcPr>
                  <w:tcW w:w="2049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200"/>
                    <w:ind w:left="0" w:hanging="0"/>
                    <w:contextualSpacing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201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ind w:left="0" w:hanging="0"/>
                    <w:rPr/>
                  </w:pPr>
                  <w:r>
                    <w:rPr>
                      <w:sz w:val="18"/>
                      <w:szCs w:val="18"/>
                    </w:rPr>
                    <w:t>Data da revisão</w:t>
                  </w:r>
                </w:p>
                <w:p>
                  <w:pPr>
                    <w:pStyle w:val="ListParagraph"/>
                    <w:spacing w:before="0" w:after="200"/>
                    <w:ind w:left="0" w:hanging="0"/>
                    <w:contextualSpacing/>
                    <w:rPr/>
                  </w:pPr>
                  <w:r>
                    <w:rPr/>
                  </w:r>
                </w:p>
              </w:tc>
              <w:tc>
                <w:tcPr>
                  <w:tcW w:w="1277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200"/>
                    <w:ind w:left="0" w:hanging="0"/>
                    <w:contextualSpacing/>
                    <w:rPr/>
                  </w:pPr>
                  <w:r>
                    <w:rPr/>
                  </w:r>
                </w:p>
              </w:tc>
              <w:tc>
                <w:tcPr>
                  <w:tcW w:w="478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200"/>
                    <w:ind w:left="0" w:hanging="0"/>
                    <w:contextualSpacing/>
                    <w:rPr/>
                  </w:pPr>
                  <w:r>
                    <w:rPr/>
                  </w:r>
                </w:p>
              </w:tc>
              <w:tc>
                <w:tcPr>
                  <w:tcW w:w="2049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200"/>
                    <w:ind w:left="0" w:hanging="0"/>
                    <w:contextualSpacing/>
                    <w:rPr/>
                  </w:pPr>
                  <w:r>
                    <w:rPr/>
                  </w:r>
                </w:p>
              </w:tc>
            </w:tr>
          </w:tbl>
          <w:p>
            <w:pPr>
              <w:pStyle w:val="ListParagraph"/>
              <w:rPr/>
            </w:pPr>
            <w:r>
              <w:rPr/>
            </w:r>
          </w:p>
          <w:p>
            <w:pPr>
              <w:pStyle w:val="Normal1"/>
              <w:rPr/>
            </w:pPr>
            <w:r>
              <w:rPr/>
            </w:r>
          </w:p>
        </w:tc>
      </w:tr>
      <w:tr>
        <w:trPr/>
        <w:tc>
          <w:tcPr>
            <w:tcW w:w="106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3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before="0" w:after="0"/>
              <w:contextualSpacing/>
              <w:rPr/>
            </w:pPr>
            <w:r>
              <w:rPr>
                <w:b/>
              </w:rPr>
              <w:t>Histórico de revisões</w:t>
            </w:r>
          </w:p>
        </w:tc>
      </w:tr>
      <w:tr>
        <w:trPr>
          <w:trHeight w:val="1570" w:hRule="atLeast"/>
        </w:trPr>
        <w:tc>
          <w:tcPr>
            <w:tcW w:w="106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3" w:type="dxa"/>
            </w:tcMar>
          </w:tcPr>
          <w:p>
            <w:pPr>
              <w:pStyle w:val="ListParagraph"/>
              <w:rPr/>
            </w:pPr>
            <w:r>
              <w:rPr/>
            </w:r>
          </w:p>
          <w:tbl>
            <w:tblPr>
              <w:tblW w:w="9988" w:type="dxa"/>
              <w:jc w:val="left"/>
              <w:tblInd w:w="392" w:type="dxa"/>
              <w:tblBorders>
                <w:top w:val="single" w:sz="4" w:space="0" w:color="00000A"/>
                <w:left w:val="single" w:sz="4" w:space="0" w:color="00000A"/>
                <w:bottom w:val="single" w:sz="4" w:space="0" w:color="00000A"/>
                <w:right w:val="single" w:sz="4" w:space="0" w:color="00000A"/>
                <w:insideH w:val="single" w:sz="4" w:space="0" w:color="00000A"/>
                <w:insideV w:val="single" w:sz="4" w:space="0" w:color="00000A"/>
              </w:tblBorders>
              <w:tblCellMar>
                <w:top w:w="0" w:type="dxa"/>
                <w:left w:w="63" w:type="dxa"/>
                <w:bottom w:w="0" w:type="dxa"/>
                <w:right w:w="108" w:type="dxa"/>
              </w:tblCellMar>
              <w:tblLook w:val="0000"/>
            </w:tblPr>
            <w:tblGrid>
              <w:gridCol w:w="1782"/>
              <w:gridCol w:w="961"/>
              <w:gridCol w:w="5174"/>
              <w:gridCol w:w="2070"/>
            </w:tblGrid>
            <w:tr>
              <w:trPr/>
              <w:tc>
                <w:tcPr>
                  <w:tcW w:w="178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tbl>
                  <w:tblPr>
                    <w:tblW w:w="1459" w:type="dxa"/>
                    <w:jc w:val="left"/>
                    <w:tblInd w:w="108" w:type="dxa"/>
                    <w:tblBorders/>
                    <w:tblCellMar>
                      <w:top w:w="0" w:type="dxa"/>
                      <w:left w:w="108" w:type="dxa"/>
                      <w:bottom w:w="0" w:type="dxa"/>
                      <w:right w:w="108" w:type="dxa"/>
                    </w:tblCellMar>
                    <w:tblLook w:val="0000"/>
                  </w:tblPr>
                  <w:tblGrid>
                    <w:gridCol w:w="802"/>
                    <w:gridCol w:w="219"/>
                    <w:gridCol w:w="219"/>
                    <w:gridCol w:w="218"/>
                  </w:tblGrid>
                  <w:tr>
                    <w:trPr>
                      <w:trHeight w:val="280" w:hRule="atLeast"/>
                    </w:trPr>
                    <w:tc>
                      <w:tcPr>
                        <w:tcW w:w="802" w:type="dxa"/>
                        <w:tcBorders/>
                        <w:shd w:color="auto" w:fill="auto" w:val="clear"/>
                      </w:tcPr>
                      <w:p>
                        <w:pPr>
                          <w:pStyle w:val="Normal1"/>
                          <w:rPr/>
                        </w:pPr>
                        <w:r>
                          <w:rPr>
                            <w:rFonts w:cs="Verdana"/>
                            <w:b/>
                            <w:bCs/>
                            <w:sz w:val="20"/>
                            <w:szCs w:val="20"/>
                          </w:rPr>
                          <w:t xml:space="preserve">Versão </w:t>
                        </w:r>
                      </w:p>
                    </w:tc>
                    <w:tc>
                      <w:tcPr>
                        <w:tcW w:w="219" w:type="dxa"/>
                        <w:tcBorders/>
                        <w:shd w:color="auto" w:fill="auto" w:val="clear"/>
                      </w:tcPr>
                      <w:p>
                        <w:pPr>
                          <w:pStyle w:val="Normal1"/>
                          <w:rPr/>
                        </w:pPr>
                        <w:r>
                          <w:rPr/>
                        </w:r>
                      </w:p>
                    </w:tc>
                    <w:tc>
                      <w:tcPr>
                        <w:tcW w:w="219" w:type="dxa"/>
                        <w:tcBorders/>
                        <w:shd w:color="auto" w:fill="auto" w:val="clear"/>
                      </w:tcPr>
                      <w:p>
                        <w:pPr>
                          <w:pStyle w:val="Normal1"/>
                          <w:rPr/>
                        </w:pPr>
                        <w:r>
                          <w:rPr/>
                        </w:r>
                      </w:p>
                    </w:tc>
                    <w:tc>
                      <w:tcPr>
                        <w:tcW w:w="218" w:type="dxa"/>
                        <w:tcBorders/>
                        <w:shd w:color="auto" w:fill="auto" w:val="clear"/>
                      </w:tcPr>
                      <w:p>
                        <w:pPr>
                          <w:pStyle w:val="Normal1"/>
                          <w:rPr/>
                        </w:pPr>
                        <w:r>
                          <w:rPr/>
                        </w:r>
                      </w:p>
                    </w:tc>
                  </w:tr>
                </w:tbl>
                <w:p>
                  <w:pPr>
                    <w:pStyle w:val="ListParagraph"/>
                    <w:spacing w:before="0" w:after="200"/>
                    <w:ind w:left="0" w:hanging="0"/>
                    <w:contextualSpacing/>
                    <w:rPr/>
                  </w:pPr>
                  <w:r>
                    <w:rPr/>
                  </w:r>
                </w:p>
              </w:tc>
              <w:tc>
                <w:tcPr>
                  <w:tcW w:w="961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200"/>
                    <w:ind w:left="0" w:hanging="0"/>
                    <w:contextualSpacing/>
                    <w:rPr/>
                  </w:pPr>
                  <w:r>
                    <w:rPr>
                      <w:b/>
                      <w:bCs/>
                      <w:sz w:val="20"/>
                      <w:szCs w:val="20"/>
                    </w:rPr>
                    <w:t>Data</w:t>
                  </w:r>
                </w:p>
              </w:tc>
              <w:tc>
                <w:tcPr>
                  <w:tcW w:w="5174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200"/>
                    <w:ind w:left="0" w:hanging="0"/>
                    <w:contextualSpacing/>
                    <w:rPr/>
                  </w:pPr>
                  <w:r>
                    <w:rPr>
                      <w:b/>
                      <w:bCs/>
                      <w:sz w:val="20"/>
                      <w:szCs w:val="20"/>
                    </w:rPr>
                    <w:t>Descrição das mudanças</w:t>
                  </w:r>
                </w:p>
              </w:tc>
              <w:tc>
                <w:tcPr>
                  <w:tcW w:w="2070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200"/>
                    <w:ind w:left="0" w:hanging="0"/>
                    <w:contextualSpacing/>
                    <w:rPr/>
                  </w:pPr>
                  <w:r>
                    <w:rPr>
                      <w:b/>
                      <w:bCs/>
                      <w:sz w:val="20"/>
                      <w:szCs w:val="20"/>
                    </w:rPr>
                    <w:t>Requisitado por:</w:t>
                  </w:r>
                </w:p>
              </w:tc>
            </w:tr>
            <w:tr>
              <w:trPr/>
              <w:tc>
                <w:tcPr>
                  <w:tcW w:w="178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200"/>
                    <w:ind w:left="0" w:hanging="0"/>
                    <w:contextualSpacing/>
                    <w:rPr/>
                  </w:pPr>
                  <w:r>
                    <w:rPr/>
                  </w:r>
                </w:p>
              </w:tc>
              <w:tc>
                <w:tcPr>
                  <w:tcW w:w="961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200"/>
                    <w:ind w:left="0" w:hanging="0"/>
                    <w:contextualSpacing/>
                    <w:rPr/>
                  </w:pPr>
                  <w:r>
                    <w:rPr/>
                  </w:r>
                </w:p>
              </w:tc>
              <w:tc>
                <w:tcPr>
                  <w:tcW w:w="5174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200"/>
                    <w:ind w:left="0" w:hanging="0"/>
                    <w:contextualSpacing/>
                    <w:rPr/>
                  </w:pPr>
                  <w:r>
                    <w:rPr/>
                  </w:r>
                </w:p>
              </w:tc>
              <w:tc>
                <w:tcPr>
                  <w:tcW w:w="2070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200"/>
                    <w:ind w:left="0" w:hanging="0"/>
                    <w:contextualSpacing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78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200"/>
                    <w:ind w:left="0" w:hanging="0"/>
                    <w:contextualSpacing/>
                    <w:rPr/>
                  </w:pPr>
                  <w:r>
                    <w:rPr/>
                  </w:r>
                </w:p>
              </w:tc>
              <w:tc>
                <w:tcPr>
                  <w:tcW w:w="961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200"/>
                    <w:ind w:left="0" w:hanging="0"/>
                    <w:contextualSpacing/>
                    <w:rPr/>
                  </w:pPr>
                  <w:r>
                    <w:rPr/>
                  </w:r>
                </w:p>
              </w:tc>
              <w:tc>
                <w:tcPr>
                  <w:tcW w:w="5174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200"/>
                    <w:ind w:left="0" w:hanging="0"/>
                    <w:contextualSpacing/>
                    <w:rPr/>
                  </w:pPr>
                  <w:r>
                    <w:rPr/>
                  </w:r>
                </w:p>
              </w:tc>
              <w:tc>
                <w:tcPr>
                  <w:tcW w:w="2070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200"/>
                    <w:ind w:left="0" w:hanging="0"/>
                    <w:contextualSpacing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78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200"/>
                    <w:ind w:left="0" w:hanging="0"/>
                    <w:contextualSpacing/>
                    <w:rPr/>
                  </w:pPr>
                  <w:r>
                    <w:rPr/>
                  </w:r>
                </w:p>
              </w:tc>
              <w:tc>
                <w:tcPr>
                  <w:tcW w:w="961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200"/>
                    <w:ind w:left="0" w:hanging="0"/>
                    <w:contextualSpacing/>
                    <w:rPr/>
                  </w:pPr>
                  <w:r>
                    <w:rPr/>
                  </w:r>
                </w:p>
              </w:tc>
              <w:tc>
                <w:tcPr>
                  <w:tcW w:w="5174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200"/>
                    <w:ind w:left="0" w:hanging="0"/>
                    <w:contextualSpacing/>
                    <w:rPr/>
                  </w:pPr>
                  <w:r>
                    <w:rPr/>
                  </w:r>
                </w:p>
              </w:tc>
              <w:tc>
                <w:tcPr>
                  <w:tcW w:w="2070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200"/>
                    <w:ind w:left="0" w:hanging="0"/>
                    <w:contextualSpacing/>
                    <w:rPr/>
                  </w:pPr>
                  <w:r>
                    <w:rPr/>
                  </w:r>
                </w:p>
              </w:tc>
            </w:tr>
          </w:tbl>
          <w:p>
            <w:pPr>
              <w:pStyle w:val="ListParagraph"/>
              <w:spacing w:before="0" w:after="200"/>
              <w:ind w:left="720" w:hanging="0"/>
              <w:contextualSpacing/>
              <w:rPr/>
            </w:pPr>
            <w:r>
              <w:rPr/>
            </w:r>
          </w:p>
        </w:tc>
      </w:tr>
    </w:tbl>
    <w:p>
      <w:pPr>
        <w:pStyle w:val="Normal1"/>
        <w:rPr/>
      </w:pPr>
      <w:r>
        <w:rPr/>
      </w:r>
    </w:p>
    <w:p>
      <w:pPr>
        <w:pStyle w:val="Normal1"/>
        <w:rPr/>
      </w:pPr>
      <w:r>
        <w:rPr/>
      </w:r>
    </w:p>
    <w:p>
      <w:pPr>
        <w:pStyle w:val="Normal"/>
        <w:rPr/>
      </w:pPr>
      <w:r>
        <w:rPr/>
      </w:r>
    </w:p>
    <w:sectPr>
      <w:footerReference w:type="default" r:id="rId6"/>
      <w:type w:val="nextPage"/>
      <w:pgSz w:w="11906" w:h="16838"/>
      <w:pgMar w:left="720" w:right="720" w:header="0" w:top="720" w:footer="708" w:bottom="765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Verdana">
    <w:charset w:val="00"/>
    <w:family w:val="roman"/>
    <w:pitch w:val="variable"/>
  </w:font>
  <w:font w:name="Tahoma">
    <w:charset w:val="00"/>
    <w:family w:val="roman"/>
    <w:pitch w:val="variable"/>
  </w:font>
  <w:font w:name="OpenSymbol">
    <w:altName w:val="Arial Unicode MS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">
    <w:charset w:val="00"/>
    <w:family w:val="roman"/>
    <w:pitch w:val="variable"/>
  </w:font>
  <w:font w:name="Calibri">
    <w:charset w:val="00"/>
    <w:family w:val="roman"/>
    <w:pitch w:val="variable"/>
  </w:font>
  <w:font w:name="Lao UI">
    <w:charset w:val="00"/>
    <w:family w:val="roman"/>
    <w:pitch w:val="variable"/>
  </w:font>
  <w:font w:name="Arial Narrow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Rodap"/>
      <w:jc w:val="right"/>
      <w:rPr/>
    </w:pPr>
    <w:r>
      <w:rPr>
        <w:color w:val="76923C"/>
      </w:rPr>
      <w:t>____________________________________________________________________</w:t>
    </w:r>
  </w:p>
  <w:p>
    <w:pPr>
      <w:pStyle w:val="Rodap"/>
      <w:jc w:val="right"/>
      <w:rPr/>
    </w:pPr>
    <w:r>
      <w:rPr/>
      <w:t xml:space="preserve">Página </w:t>
    </w:r>
    <w:r>
      <w:rPr/>
      <w:fldChar w:fldCharType="begin"/>
    </w:r>
    <w:r>
      <w:instrText> PAGE </w:instrText>
    </w:r>
    <w:r>
      <w:fldChar w:fldCharType="separate"/>
    </w:r>
    <w:r>
      <w:t>5</w:t>
    </w:r>
    <w:r>
      <w:fldChar w:fldCharType="end"/>
    </w:r>
    <w:r>
      <w:rPr/>
      <w:t xml:space="preserve"> de </w:t>
    </w:r>
    <w:r>
      <w:rPr/>
      <w:fldChar w:fldCharType="begin"/>
    </w:r>
    <w:r>
      <w:instrText> NUMPAGES </w:instrText>
    </w:r>
    <w:r>
      <w:fldChar w:fldCharType="separate"/>
    </w:r>
    <w:r>
      <w:t>5</w:t>
    </w:r>
    <w:r>
      <w:fldChar w:fldCharType="end"/>
    </w:r>
  </w:p>
  <w:p>
    <w:pPr>
      <w:pStyle w:val="Standard"/>
      <w:jc w:val="center"/>
      <w:rPr/>
    </w:pPr>
    <w:r>
      <w:rPr>
        <w:rFonts w:cs="Arial Narrow" w:ascii="Arial Narrow" w:hAnsi="Arial Narrow"/>
        <w:sz w:val="14"/>
        <w:szCs w:val="14"/>
      </w:rPr>
      <w:t>PROGEP/UFVJM:  Rodovia MGT 367- km 583, nº 5000 – Alto da Jacuba / CEP: 39100-000  Diamantina-MG-Brasil / PABX: (38) 3532-1200</w:t>
    </w:r>
  </w:p>
  <w:p>
    <w:pPr>
      <w:pStyle w:val="Rodap"/>
      <w:rPr/>
    </w:pPr>
    <w:r>
      <w:rPr/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false"/>
  <w:compat/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pt-BR" w:eastAsia="zh-CN" w:bidi="hi-IN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Normal (Web)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0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a3206e"/>
    <w:pPr>
      <w:widowControl/>
      <w:suppressAutoHyphens w:val="true"/>
      <w:bidi w:val="0"/>
      <w:spacing w:lineRule="atLeast" w:line="100"/>
      <w:jc w:val="left"/>
    </w:pPr>
    <w:rPr>
      <w:rFonts w:ascii="Verdana" w:hAnsi="Verdana" w:eastAsia="Lucida Sans Unicode" w:cs="Verdana"/>
      <w:color w:val="000000"/>
      <w:sz w:val="24"/>
      <w:szCs w:val="24"/>
      <w:lang w:val="pt-B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xtodebaloChar" w:customStyle="1">
    <w:name w:val="Texto de balão Char"/>
    <w:basedOn w:val="DefaultParagraphFont"/>
    <w:qFormat/>
    <w:rsid w:val="00a3206e"/>
    <w:rPr>
      <w:rFonts w:ascii="Tahoma" w:hAnsi="Tahoma" w:cs="Tahoma"/>
      <w:sz w:val="16"/>
      <w:szCs w:val="16"/>
    </w:rPr>
  </w:style>
  <w:style w:type="character" w:styleId="CabealhoChar" w:customStyle="1">
    <w:name w:val="Cabeçalho Char"/>
    <w:basedOn w:val="DefaultParagraphFont"/>
    <w:qFormat/>
    <w:rsid w:val="00a3206e"/>
    <w:rPr/>
  </w:style>
  <w:style w:type="character" w:styleId="RodapChar" w:customStyle="1">
    <w:name w:val="Rodapé Char"/>
    <w:basedOn w:val="DefaultParagraphFont"/>
    <w:qFormat/>
    <w:rsid w:val="00a3206e"/>
    <w:rPr/>
  </w:style>
  <w:style w:type="character" w:styleId="WW8Num1ztrue" w:customStyle="1">
    <w:name w:val="WW8Num1ztrue"/>
    <w:qFormat/>
    <w:rsid w:val="00a3206e"/>
    <w:rPr/>
  </w:style>
  <w:style w:type="character" w:styleId="LinkdaInternet" w:customStyle="1">
    <w:name w:val="Link da Internet"/>
    <w:basedOn w:val="DefaultParagraphFont"/>
    <w:uiPriority w:val="99"/>
    <w:unhideWhenUsed/>
    <w:rsid w:val="0086484b"/>
    <w:rPr>
      <w:color w:val="0000FF" w:themeColor="hyperlink"/>
      <w:u w:val="single"/>
    </w:rPr>
  </w:style>
  <w:style w:type="character" w:styleId="ListLabel1" w:customStyle="1">
    <w:name w:val="ListLabel 1"/>
    <w:qFormat/>
    <w:rsid w:val="00a3206e"/>
    <w:rPr>
      <w:rFonts w:cs="Courier New"/>
    </w:rPr>
  </w:style>
  <w:style w:type="character" w:styleId="Marcas" w:customStyle="1">
    <w:name w:val="Marcas"/>
    <w:qFormat/>
    <w:rsid w:val="00a3206e"/>
    <w:rPr>
      <w:rFonts w:ascii="OpenSymbol" w:hAnsi="OpenSymbol" w:eastAsia="OpenSymbol" w:cs="OpenSymbol"/>
    </w:rPr>
  </w:style>
  <w:style w:type="character" w:styleId="ListLabel2" w:customStyle="1">
    <w:name w:val="ListLabel 2"/>
    <w:qFormat/>
    <w:rsid w:val="00a3206e"/>
    <w:rPr>
      <w:rFonts w:cs="OpenSymbol"/>
    </w:rPr>
  </w:style>
  <w:style w:type="character" w:styleId="ListLabel3" w:customStyle="1">
    <w:name w:val="ListLabel 3"/>
    <w:qFormat/>
    <w:rsid w:val="00a3206e"/>
    <w:rPr>
      <w:rFonts w:cs="OpenSymbol"/>
    </w:rPr>
  </w:style>
  <w:style w:type="character" w:styleId="ListLabel4" w:customStyle="1">
    <w:name w:val="ListLabel 4"/>
    <w:qFormat/>
    <w:rsid w:val="00a3206e"/>
    <w:rPr>
      <w:rFonts w:cs="OpenSymbol"/>
    </w:rPr>
  </w:style>
  <w:style w:type="character" w:styleId="ListLabel5" w:customStyle="1">
    <w:name w:val="ListLabel 5"/>
    <w:qFormat/>
    <w:rsid w:val="00a3206e"/>
    <w:rPr>
      <w:rFonts w:cs="OpenSymbol"/>
    </w:rPr>
  </w:style>
  <w:style w:type="character" w:styleId="ListLabel6" w:customStyle="1">
    <w:name w:val="ListLabel 6"/>
    <w:qFormat/>
    <w:rsid w:val="00a3206e"/>
    <w:rPr>
      <w:rFonts w:cs="OpenSymbol"/>
    </w:rPr>
  </w:style>
  <w:style w:type="character" w:styleId="ListLabel7" w:customStyle="1">
    <w:name w:val="ListLabel 7"/>
    <w:qFormat/>
    <w:rsid w:val="00a3206e"/>
    <w:rPr>
      <w:rFonts w:cs="OpenSymbol"/>
    </w:rPr>
  </w:style>
  <w:style w:type="character" w:styleId="ListLabel8" w:customStyle="1">
    <w:name w:val="ListLabel 8"/>
    <w:qFormat/>
    <w:rsid w:val="00a3206e"/>
    <w:rPr>
      <w:rFonts w:cs="OpenSymbol"/>
    </w:rPr>
  </w:style>
  <w:style w:type="character" w:styleId="ListLabel9" w:customStyle="1">
    <w:name w:val="ListLabel 9"/>
    <w:qFormat/>
    <w:rsid w:val="00a3206e"/>
    <w:rPr>
      <w:rFonts w:cs="OpenSymbol"/>
    </w:rPr>
  </w:style>
  <w:style w:type="character" w:styleId="ListLabel10" w:customStyle="1">
    <w:name w:val="ListLabel 10"/>
    <w:qFormat/>
    <w:rsid w:val="00a3206e"/>
    <w:rPr>
      <w:rFonts w:cs="OpenSymbol"/>
    </w:rPr>
  </w:style>
  <w:style w:type="character" w:styleId="ListLabel11" w:customStyle="1">
    <w:name w:val="ListLabel 11"/>
    <w:qFormat/>
    <w:rsid w:val="00a3206e"/>
    <w:rPr>
      <w:rFonts w:cs="OpenSymbol"/>
    </w:rPr>
  </w:style>
  <w:style w:type="character" w:styleId="ListLabel12" w:customStyle="1">
    <w:name w:val="ListLabel 12"/>
    <w:qFormat/>
    <w:rsid w:val="00a3206e"/>
    <w:rPr>
      <w:rFonts w:cs="OpenSymbol"/>
    </w:rPr>
  </w:style>
  <w:style w:type="character" w:styleId="ListLabel13" w:customStyle="1">
    <w:name w:val="ListLabel 13"/>
    <w:qFormat/>
    <w:rsid w:val="00a3206e"/>
    <w:rPr>
      <w:rFonts w:cs="OpenSymbol"/>
    </w:rPr>
  </w:style>
  <w:style w:type="character" w:styleId="ListLabel14" w:customStyle="1">
    <w:name w:val="ListLabel 14"/>
    <w:qFormat/>
    <w:rsid w:val="00a3206e"/>
    <w:rPr>
      <w:rFonts w:cs="OpenSymbol"/>
    </w:rPr>
  </w:style>
  <w:style w:type="character" w:styleId="ListLabel15" w:customStyle="1">
    <w:name w:val="ListLabel 15"/>
    <w:qFormat/>
    <w:rsid w:val="00a3206e"/>
    <w:rPr>
      <w:rFonts w:cs="OpenSymbol"/>
    </w:rPr>
  </w:style>
  <w:style w:type="character" w:styleId="ListLabel16" w:customStyle="1">
    <w:name w:val="ListLabel 16"/>
    <w:qFormat/>
    <w:rsid w:val="00a3206e"/>
    <w:rPr>
      <w:rFonts w:cs="OpenSymbol"/>
    </w:rPr>
  </w:style>
  <w:style w:type="character" w:styleId="ListLabel17" w:customStyle="1">
    <w:name w:val="ListLabel 17"/>
    <w:qFormat/>
    <w:rsid w:val="00a3206e"/>
    <w:rPr>
      <w:rFonts w:cs="OpenSymbol"/>
    </w:rPr>
  </w:style>
  <w:style w:type="character" w:styleId="ListLabel18" w:customStyle="1">
    <w:name w:val="ListLabel 18"/>
    <w:qFormat/>
    <w:rsid w:val="00a3206e"/>
    <w:rPr>
      <w:rFonts w:cs="OpenSymbol"/>
    </w:rPr>
  </w:style>
  <w:style w:type="character" w:styleId="ListLabel19" w:customStyle="1">
    <w:name w:val="ListLabel 19"/>
    <w:qFormat/>
    <w:rsid w:val="00a3206e"/>
    <w:rPr>
      <w:rFonts w:cs="OpenSymbol"/>
    </w:rPr>
  </w:style>
  <w:style w:type="character" w:styleId="ListLabel20" w:customStyle="1">
    <w:name w:val="ListLabel 20"/>
    <w:qFormat/>
    <w:rsid w:val="00a3206e"/>
    <w:rPr>
      <w:rFonts w:cs="OpenSymbol"/>
    </w:rPr>
  </w:style>
  <w:style w:type="character" w:styleId="ListLabel21" w:customStyle="1">
    <w:name w:val="ListLabel 21"/>
    <w:qFormat/>
    <w:rsid w:val="00a3206e"/>
    <w:rPr>
      <w:rFonts w:cs="OpenSymbol"/>
    </w:rPr>
  </w:style>
  <w:style w:type="character" w:styleId="ListLabel22" w:customStyle="1">
    <w:name w:val="ListLabel 22"/>
    <w:qFormat/>
    <w:rsid w:val="00a3206e"/>
    <w:rPr>
      <w:rFonts w:cs="OpenSymbol"/>
    </w:rPr>
  </w:style>
  <w:style w:type="character" w:styleId="ListLabel23" w:customStyle="1">
    <w:name w:val="ListLabel 23"/>
    <w:qFormat/>
    <w:rsid w:val="00a3206e"/>
    <w:rPr>
      <w:rFonts w:cs="OpenSymbol"/>
    </w:rPr>
  </w:style>
  <w:style w:type="character" w:styleId="ListLabel24" w:customStyle="1">
    <w:name w:val="ListLabel 24"/>
    <w:qFormat/>
    <w:rsid w:val="00a3206e"/>
    <w:rPr>
      <w:rFonts w:cs="OpenSymbol"/>
    </w:rPr>
  </w:style>
  <w:style w:type="character" w:styleId="ListLabel25" w:customStyle="1">
    <w:name w:val="ListLabel 25"/>
    <w:qFormat/>
    <w:rsid w:val="00a3206e"/>
    <w:rPr>
      <w:rFonts w:cs="OpenSymbol"/>
    </w:rPr>
  </w:style>
  <w:style w:type="character" w:styleId="ListLabel26" w:customStyle="1">
    <w:name w:val="ListLabel 26"/>
    <w:qFormat/>
    <w:rsid w:val="00a3206e"/>
    <w:rPr>
      <w:rFonts w:cs="OpenSymbol"/>
    </w:rPr>
  </w:style>
  <w:style w:type="character" w:styleId="ListLabel27" w:customStyle="1">
    <w:name w:val="ListLabel 27"/>
    <w:qFormat/>
    <w:rsid w:val="00a3206e"/>
    <w:rPr>
      <w:rFonts w:cs="OpenSymbol"/>
    </w:rPr>
  </w:style>
  <w:style w:type="character" w:styleId="ListLabel28" w:customStyle="1">
    <w:name w:val="ListLabel 28"/>
    <w:qFormat/>
    <w:rsid w:val="00a3206e"/>
    <w:rPr>
      <w:rFonts w:cs="OpenSymbol"/>
    </w:rPr>
  </w:style>
  <w:style w:type="character" w:styleId="Strong">
    <w:name w:val="Strong"/>
    <w:basedOn w:val="DefaultParagraphFont"/>
    <w:uiPriority w:val="22"/>
    <w:qFormat/>
    <w:rsid w:val="00a63b43"/>
    <w:rPr>
      <w:b/>
      <w:bCs/>
    </w:rPr>
  </w:style>
  <w:style w:type="character" w:styleId="Appleconvertedspace" w:customStyle="1">
    <w:name w:val="apple-converted-space"/>
    <w:basedOn w:val="DefaultParagraphFont"/>
    <w:qFormat/>
    <w:rsid w:val="00ea0260"/>
    <w:rPr/>
  </w:style>
  <w:style w:type="character" w:styleId="ListLabel29" w:customStyle="1">
    <w:name w:val="ListLabel 29"/>
    <w:qFormat/>
    <w:rsid w:val="00b01e2c"/>
    <w:rPr>
      <w:rFonts w:cs="OpenSymbol"/>
    </w:rPr>
  </w:style>
  <w:style w:type="character" w:styleId="ListLabel30" w:customStyle="1">
    <w:name w:val="ListLabel 30"/>
    <w:qFormat/>
    <w:rsid w:val="00b01e2c"/>
    <w:rPr>
      <w:rFonts w:cs="OpenSymbol"/>
    </w:rPr>
  </w:style>
  <w:style w:type="character" w:styleId="ListLabel31" w:customStyle="1">
    <w:name w:val="ListLabel 31"/>
    <w:qFormat/>
    <w:rsid w:val="00b01e2c"/>
    <w:rPr>
      <w:rFonts w:cs="OpenSymbol"/>
    </w:rPr>
  </w:style>
  <w:style w:type="character" w:styleId="ListLabel32" w:customStyle="1">
    <w:name w:val="ListLabel 32"/>
    <w:qFormat/>
    <w:rsid w:val="00b01e2c"/>
    <w:rPr>
      <w:rFonts w:cs="OpenSymbol"/>
    </w:rPr>
  </w:style>
  <w:style w:type="character" w:styleId="ListLabel33" w:customStyle="1">
    <w:name w:val="ListLabel 33"/>
    <w:qFormat/>
    <w:rsid w:val="00b01e2c"/>
    <w:rPr>
      <w:rFonts w:cs="OpenSymbol"/>
    </w:rPr>
  </w:style>
  <w:style w:type="character" w:styleId="ListLabel34" w:customStyle="1">
    <w:name w:val="ListLabel 34"/>
    <w:qFormat/>
    <w:rsid w:val="00b01e2c"/>
    <w:rPr>
      <w:rFonts w:cs="OpenSymbol"/>
    </w:rPr>
  </w:style>
  <w:style w:type="character" w:styleId="ListLabel35" w:customStyle="1">
    <w:name w:val="ListLabel 35"/>
    <w:qFormat/>
    <w:rsid w:val="00b01e2c"/>
    <w:rPr>
      <w:rFonts w:cs="OpenSymbol"/>
    </w:rPr>
  </w:style>
  <w:style w:type="character" w:styleId="ListLabel36" w:customStyle="1">
    <w:name w:val="ListLabel 36"/>
    <w:qFormat/>
    <w:rsid w:val="00b01e2c"/>
    <w:rPr>
      <w:rFonts w:cs="OpenSymbol"/>
    </w:rPr>
  </w:style>
  <w:style w:type="character" w:styleId="ListLabel37" w:customStyle="1">
    <w:name w:val="ListLabel 37"/>
    <w:qFormat/>
    <w:rsid w:val="00b01e2c"/>
    <w:rPr>
      <w:rFonts w:cs="OpenSymbol"/>
    </w:rPr>
  </w:style>
  <w:style w:type="paragraph" w:styleId="Ttulo">
    <w:name w:val="Título"/>
    <w:basedOn w:val="Normal"/>
    <w:next w:val="Corpodetexto"/>
    <w:qFormat/>
    <w:pPr>
      <w:keepNext/>
      <w:spacing w:before="240" w:after="120"/>
    </w:pPr>
    <w:rPr>
      <w:rFonts w:ascii="Liberation Sans" w:hAnsi="Liberation Sans" w:eastAsia="Lucida Sans Unicode" w:cs="Mangal"/>
      <w:sz w:val="28"/>
      <w:szCs w:val="28"/>
    </w:rPr>
  </w:style>
  <w:style w:type="paragraph" w:styleId="Corpodetexto">
    <w:name w:val="Body Text"/>
    <w:basedOn w:val="Normal"/>
    <w:rsid w:val="00a3206e"/>
    <w:pPr>
      <w:spacing w:lineRule="auto" w:line="288" w:before="0" w:after="140"/>
    </w:pPr>
    <w:rPr/>
  </w:style>
  <w:style w:type="paragraph" w:styleId="Lista">
    <w:name w:val="List"/>
    <w:basedOn w:val="Corpodetexto"/>
    <w:rsid w:val="00a3206e"/>
    <w:pPr>
      <w:widowControl w:val="false"/>
    </w:pPr>
    <w:rPr>
      <w:rFonts w:ascii="Liberation Serif" w:hAnsi="Liberation Serif" w:eastAsia="SimSun" w:cs="Mangal"/>
      <w:color w:val="00000A"/>
      <w:sz w:val="20"/>
      <w:lang w:eastAsia="zh-CN" w:bidi="hi-IN"/>
    </w:rPr>
  </w:style>
  <w:style w:type="paragraph" w:styleId="Legenda" w:customStyle="1">
    <w:name w:val="Caption"/>
    <w:basedOn w:val="Normal"/>
    <w:qFormat/>
    <w:rsid w:val="006a7302"/>
    <w:pPr>
      <w:suppressLineNumbers/>
      <w:spacing w:before="120" w:after="120"/>
    </w:pPr>
    <w:rPr>
      <w:rFonts w:cs="Mangal"/>
      <w:i/>
      <w:iCs/>
    </w:rPr>
  </w:style>
  <w:style w:type="paragraph" w:styleId="Ndice" w:customStyle="1">
    <w:name w:val="Índice"/>
    <w:basedOn w:val="Normal"/>
    <w:qFormat/>
    <w:rsid w:val="00a3206e"/>
    <w:pPr>
      <w:suppressLineNumbers/>
    </w:pPr>
    <w:rPr>
      <w:rFonts w:cs="Mangal"/>
    </w:rPr>
  </w:style>
  <w:style w:type="paragraph" w:styleId="Ttulododocumento">
    <w:name w:val="Title"/>
    <w:basedOn w:val="Normal"/>
    <w:qFormat/>
    <w:rsid w:val="006a7302"/>
    <w:pPr>
      <w:keepNext/>
      <w:spacing w:before="240" w:after="120"/>
    </w:pPr>
    <w:rPr>
      <w:rFonts w:ascii="Liberation Sans" w:hAnsi="Liberation Sans" w:cs="Mangal"/>
      <w:sz w:val="28"/>
      <w:szCs w:val="28"/>
    </w:rPr>
  </w:style>
  <w:style w:type="paragraph" w:styleId="Caption">
    <w:name w:val="caption"/>
    <w:basedOn w:val="Normal"/>
    <w:qFormat/>
    <w:rsid w:val="00a3206e"/>
    <w:pPr>
      <w:suppressLineNumbers/>
      <w:spacing w:before="120" w:after="120"/>
    </w:pPr>
    <w:rPr>
      <w:rFonts w:cs="Mangal"/>
      <w:i/>
      <w:iCs/>
    </w:rPr>
  </w:style>
  <w:style w:type="paragraph" w:styleId="Ttulo1" w:customStyle="1">
    <w:name w:val="Título1"/>
    <w:basedOn w:val="Normal"/>
    <w:qFormat/>
    <w:rsid w:val="00a3206e"/>
    <w:pPr>
      <w:keepNext/>
      <w:spacing w:before="240" w:after="120"/>
    </w:pPr>
    <w:rPr>
      <w:rFonts w:ascii="Arial" w:hAnsi="Arial" w:cs="Mangal"/>
      <w:sz w:val="28"/>
      <w:szCs w:val="28"/>
    </w:rPr>
  </w:style>
  <w:style w:type="paragraph" w:styleId="Corpodotexto" w:customStyle="1">
    <w:name w:val="Corpo do texto"/>
    <w:basedOn w:val="Normal"/>
    <w:qFormat/>
    <w:rsid w:val="00a3206e"/>
    <w:pPr>
      <w:spacing w:before="0" w:after="120"/>
    </w:pPr>
    <w:rPr/>
  </w:style>
  <w:style w:type="paragraph" w:styleId="BalloonText">
    <w:name w:val="Balloon Text"/>
    <w:basedOn w:val="Normal"/>
    <w:qFormat/>
    <w:rsid w:val="00a3206e"/>
    <w:pPr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qFormat/>
    <w:rsid w:val="00a3206e"/>
    <w:pPr>
      <w:spacing w:before="0" w:after="200"/>
      <w:ind w:left="720" w:hanging="0"/>
      <w:contextualSpacing/>
    </w:pPr>
    <w:rPr/>
  </w:style>
  <w:style w:type="paragraph" w:styleId="Cabealho" w:customStyle="1">
    <w:name w:val="Header"/>
    <w:basedOn w:val="Normal"/>
    <w:rsid w:val="00a3206e"/>
    <w:pPr>
      <w:tabs>
        <w:tab w:val="center" w:pos="4252" w:leader="none"/>
        <w:tab w:val="right" w:pos="8504" w:leader="none"/>
      </w:tabs>
    </w:pPr>
    <w:rPr/>
  </w:style>
  <w:style w:type="paragraph" w:styleId="Rodap" w:customStyle="1">
    <w:name w:val="Footer"/>
    <w:basedOn w:val="Normal"/>
    <w:rsid w:val="00a3206e"/>
    <w:pPr>
      <w:tabs>
        <w:tab w:val="center" w:pos="4252" w:leader="none"/>
        <w:tab w:val="right" w:pos="8504" w:leader="none"/>
      </w:tabs>
    </w:pPr>
    <w:rPr/>
  </w:style>
  <w:style w:type="paragraph" w:styleId="Normal1" w:customStyle="1">
    <w:name w:val="Normal1"/>
    <w:qFormat/>
    <w:rsid w:val="00a3206e"/>
    <w:pPr>
      <w:widowControl/>
      <w:suppressAutoHyphens w:val="true"/>
      <w:bidi w:val="0"/>
      <w:spacing w:lineRule="atLeast" w:line="100"/>
      <w:jc w:val="left"/>
    </w:pPr>
    <w:rPr>
      <w:rFonts w:ascii="Times New Roman" w:hAnsi="Times New Roman" w:eastAsia="Times New Roman" w:cs="Times New Roman"/>
      <w:color w:val="000000"/>
      <w:sz w:val="24"/>
      <w:szCs w:val="24"/>
      <w:lang w:val="pt-BR" w:eastAsia="zh-CN" w:bidi="ar-SA"/>
    </w:rPr>
  </w:style>
  <w:style w:type="paragraph" w:styleId="Standard" w:customStyle="1">
    <w:name w:val="Standard"/>
    <w:qFormat/>
    <w:rsid w:val="00a3206e"/>
    <w:pPr>
      <w:widowControl w:val="false"/>
      <w:suppressAutoHyphens w:val="true"/>
      <w:bidi w:val="0"/>
      <w:spacing w:lineRule="atLeast" w:line="100"/>
      <w:jc w:val="left"/>
      <w:textAlignment w:val="baseline"/>
    </w:pPr>
    <w:rPr>
      <w:rFonts w:ascii="Times New Roman" w:hAnsi="Times New Roman" w:eastAsia="Lucida Sans Unicode" w:cs="Mangal"/>
      <w:color w:val="00000A"/>
      <w:sz w:val="24"/>
      <w:szCs w:val="24"/>
      <w:lang w:val="pt-BR" w:eastAsia="zh-CN" w:bidi="hi-IN"/>
    </w:rPr>
  </w:style>
  <w:style w:type="paragraph" w:styleId="Contedodatabela" w:customStyle="1">
    <w:name w:val="Conteúdo da tabela"/>
    <w:basedOn w:val="Normal"/>
    <w:qFormat/>
    <w:rsid w:val="00a3206e"/>
    <w:pPr/>
    <w:rPr/>
  </w:style>
  <w:style w:type="paragraph" w:styleId="Ttulodetabela" w:customStyle="1">
    <w:name w:val="Título de tabela"/>
    <w:basedOn w:val="Contedodatabela"/>
    <w:qFormat/>
    <w:rsid w:val="00a3206e"/>
    <w:pPr/>
    <w:rPr/>
  </w:style>
  <w:style w:type="paragraph" w:styleId="NormalWeb">
    <w:name w:val="Normal (Web)"/>
    <w:basedOn w:val="Normal"/>
    <w:uiPriority w:val="99"/>
    <w:unhideWhenUsed/>
    <w:qFormat/>
    <w:rsid w:val="007d19f9"/>
    <w:pPr>
      <w:suppressAutoHyphens w:val="false"/>
      <w:spacing w:lineRule="auto" w:line="240" w:beforeAutospacing="1" w:afterAutospacing="1"/>
    </w:pPr>
    <w:rPr>
      <w:rFonts w:ascii="Times New Roman" w:hAnsi="Times New Roman" w:eastAsia="Times New Roman" w:cs="Times New Roman"/>
      <w:color w:val="00000A"/>
      <w:lang w:val="pt-PT" w:eastAsia="pt-PT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yperlink" Target="mailto:cadastro.progep@ufvjm.edu.br" TargetMode="External"/><Relationship Id="rId4" Type="http://schemas.openxmlformats.org/officeDocument/2006/relationships/hyperlink" Target="http://www.planalto.gov.br/ccivil_03/Leis/L8112cons.htm" TargetMode="External"/><Relationship Id="rId5" Type="http://schemas.openxmlformats.org/officeDocument/2006/relationships/image" Target="media/image2.png"/><Relationship Id="rId6" Type="http://schemas.openxmlformats.org/officeDocument/2006/relationships/footer" Target="footer1.xml"/><Relationship Id="rId7" Type="http://schemas.openxmlformats.org/officeDocument/2006/relationships/numbering" Target="numbering.xml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LibreOffice/5.1.5.2$Windows_x86 LibreOffice_project/7a864d8825610a8c07cfc3bc01dd4fce6a9447e5</Application>
  <Pages>5</Pages>
  <Words>650</Words>
  <Characters>3476</Characters>
  <CharactersWithSpaces>3980</CharactersWithSpaces>
  <Paragraphs>159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2018-05-01T15:15:00Z</dcterms:created>
  <dc:creator>usuario</dc:creator>
  <dc:description/>
  <dc:language>pt-BR</dc:language>
  <cp:lastModifiedBy/>
  <cp:lastPrinted>2018-04-25T14:31:00Z</cp:lastPrinted>
  <dcterms:modified xsi:type="dcterms:W3CDTF">2018-05-02T08:30:50Z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