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texto"/>
        <w:rPr/>
      </w:pPr>
      <w:r>
        <w:rPr/>
      </w:r>
    </w:p>
    <w:tbl>
      <w:tblPr>
        <w:tblW w:w="10626" w:type="dxa"/>
        <w:jc w:val="left"/>
        <w:tblInd w:w="-45" w:type="dxa"/>
        <w:tblBorders>
          <w:top w:val="single" w:sz="4" w:space="0" w:color="00000A"/>
          <w:left w:val="single" w:sz="4" w:space="0" w:color="00000A"/>
          <w:bottom w:val="single" w:sz="4" w:space="0" w:color="00000A"/>
          <w:insideH w:val="single" w:sz="4" w:space="0" w:color="00000A"/>
        </w:tblBorders>
        <w:tblCellMar>
          <w:top w:w="0" w:type="dxa"/>
          <w:left w:w="6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755"/>
        <w:gridCol w:w="3466"/>
        <w:gridCol w:w="2374"/>
        <w:gridCol w:w="1815"/>
        <w:gridCol w:w="1215"/>
      </w:tblGrid>
      <w:tr>
        <w:trPr>
          <w:trHeight w:val="1140" w:hRule="atLeast"/>
        </w:trPr>
        <w:tc>
          <w:tcPr>
            <w:tcW w:w="52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ind w:left="170" w:hanging="0"/>
              <w:jc w:val="center"/>
              <w:rPr/>
            </w:pPr>
            <w:r>
              <w:rPr/>
              <w:drawing>
                <wp:inline distT="0" distB="9525" distL="0" distR="9525">
                  <wp:extent cx="3019425" cy="714375"/>
                  <wp:effectExtent l="0" t="0" r="0" b="0"/>
                  <wp:docPr id="1" name="Picture" descr="PRÓ-REITORIA DE GESTÃO DE PESSO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" descr="PRÓ-REITORIA DE GESTÃO DE PESSO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0" t="0" r="54665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942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ind w:left="170" w:hanging="0"/>
              <w:jc w:val="center"/>
              <w:rPr>
                <w:sz w:val="44"/>
                <w:szCs w:val="44"/>
              </w:rPr>
            </w:pPr>
            <w:r>
              <w:rPr>
                <w:rFonts w:cs="Calibri" w:ascii="Calibri" w:hAnsi="Calibri"/>
                <w:b/>
                <w:sz w:val="44"/>
                <w:szCs w:val="44"/>
              </w:rPr>
              <w:t xml:space="preserve">PRÓ-REITORIA DE </w:t>
            </w:r>
          </w:p>
          <w:p>
            <w:pPr>
              <w:pStyle w:val="Normal"/>
              <w:ind w:left="170" w:hanging="0"/>
              <w:jc w:val="center"/>
              <w:rPr>
                <w:sz w:val="44"/>
                <w:szCs w:val="44"/>
              </w:rPr>
            </w:pPr>
            <w:r>
              <w:rPr>
                <w:rFonts w:cs="Calibri" w:ascii="Calibri" w:hAnsi="Calibri"/>
                <w:b/>
                <w:sz w:val="44"/>
                <w:szCs w:val="44"/>
              </w:rPr>
              <w:t>GESTÃO DE PESSOAS</w:t>
            </w:r>
          </w:p>
        </w:tc>
      </w:tr>
      <w:tr>
        <w:trPr/>
        <w:tc>
          <w:tcPr>
            <w:tcW w:w="759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/>
                <w:sz w:val="36"/>
                <w:szCs w:val="36"/>
              </w:rPr>
              <w:t>PROCEDIMENTO OPERACIONAL PADRÃO</w:t>
            </w:r>
          </w:p>
        </w:tc>
        <w:tc>
          <w:tcPr>
            <w:tcW w:w="1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ascii="Calibri" w:hAnsi="Calibri"/>
              </w:rPr>
            </w:pPr>
            <w:r>
              <w:rPr>
                <w:rFonts w:cs="Lao UI" w:ascii="Calibri" w:hAnsi="Calibri"/>
                <w:b/>
                <w:sz w:val="36"/>
                <w:szCs w:val="36"/>
              </w:rPr>
              <w:t>POP</w:t>
            </w:r>
          </w:p>
        </w:tc>
        <w:tc>
          <w:tcPr>
            <w:tcW w:w="12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ascii="Calibri" w:hAnsi="Calibri"/>
                <w:b/>
                <w:bCs/>
              </w:rPr>
              <w:t xml:space="preserve">Nº </w:t>
            </w:r>
          </w:p>
        </w:tc>
      </w:tr>
      <w:tr>
        <w:trPr>
          <w:trHeight w:val="418" w:hRule="atLeast"/>
        </w:trPr>
        <w:tc>
          <w:tcPr>
            <w:tcW w:w="7595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  <w:vAlign w:val="center"/>
          </w:tcPr>
          <w:p>
            <w:pPr>
              <w:pStyle w:val="Normal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Ministério da Educação</w:t>
            </w:r>
          </w:p>
          <w:p>
            <w:pPr>
              <w:pStyle w:val="Normal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Universidade Federal dos Vales do Jequitinhonha e Mucuri – UFVJM</w:t>
            </w:r>
          </w:p>
          <w:p>
            <w:pPr>
              <w:pStyle w:val="Normal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Pró-Reitoria de Gestão de Pessoas – PROGEP</w:t>
            </w:r>
          </w:p>
          <w:p>
            <w:pPr>
              <w:pStyle w:val="Normal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Diretoria de Seleção e Desenvolvimento de Pessoas – DSD</w:t>
            </w:r>
          </w:p>
          <w:p>
            <w:pPr>
              <w:pStyle w:val="Normal"/>
              <w:rPr/>
            </w:pPr>
            <w:r>
              <w:rPr>
                <w:rFonts w:ascii="Calibri" w:hAnsi="Calibri"/>
                <w:b/>
              </w:rPr>
              <w:t>Divisão de Seleção e Controle de Vagas</w:t>
            </w:r>
          </w:p>
        </w:tc>
        <w:tc>
          <w:tcPr>
            <w:tcW w:w="1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rPr>
                <w:rFonts w:ascii="Calibri" w:hAnsi="Calibri"/>
              </w:rPr>
            </w:pPr>
            <w:r>
              <w:rPr>
                <w:rFonts w:ascii="Calibri" w:hAnsi="Calibri"/>
                <w:sz w:val="16"/>
                <w:szCs w:val="16"/>
              </w:rPr>
              <w:t>Versão Nº</w:t>
            </w:r>
          </w:p>
        </w:tc>
        <w:tc>
          <w:tcPr>
            <w:tcW w:w="12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02</w:t>
            </w:r>
          </w:p>
        </w:tc>
      </w:tr>
      <w:tr>
        <w:trPr>
          <w:trHeight w:val="422" w:hRule="atLeast"/>
        </w:trPr>
        <w:tc>
          <w:tcPr>
            <w:tcW w:w="7595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</w:tc>
        <w:tc>
          <w:tcPr>
            <w:tcW w:w="1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rPr>
                <w:rFonts w:ascii="Calibri" w:hAnsi="Calibri"/>
              </w:rPr>
            </w:pPr>
            <w:r>
              <w:rPr>
                <w:rFonts w:ascii="Calibri" w:hAnsi="Calibri"/>
                <w:sz w:val="16"/>
                <w:szCs w:val="16"/>
              </w:rPr>
              <w:t>Data de Aprovação</w:t>
            </w:r>
          </w:p>
        </w:tc>
        <w:tc>
          <w:tcPr>
            <w:tcW w:w="12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</w:r>
          </w:p>
        </w:tc>
      </w:tr>
      <w:tr>
        <w:trPr>
          <w:trHeight w:val="426" w:hRule="atLeast"/>
        </w:trPr>
        <w:tc>
          <w:tcPr>
            <w:tcW w:w="7595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</w:tc>
        <w:tc>
          <w:tcPr>
            <w:tcW w:w="1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rPr>
                <w:rFonts w:ascii="Calibri" w:hAnsi="Calibri"/>
              </w:rPr>
            </w:pPr>
            <w:r>
              <w:rPr>
                <w:rFonts w:ascii="Calibri" w:hAnsi="Calibri"/>
                <w:sz w:val="16"/>
                <w:szCs w:val="16"/>
              </w:rPr>
              <w:t>Data de Publicação</w:t>
            </w:r>
          </w:p>
        </w:tc>
        <w:tc>
          <w:tcPr>
            <w:tcW w:w="12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</w:r>
          </w:p>
        </w:tc>
      </w:tr>
      <w:tr>
        <w:trPr>
          <w:trHeight w:val="409" w:hRule="atLeast"/>
        </w:trPr>
        <w:tc>
          <w:tcPr>
            <w:tcW w:w="7595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</w:tc>
        <w:tc>
          <w:tcPr>
            <w:tcW w:w="1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rPr>
                <w:rFonts w:ascii="Calibri" w:hAnsi="Calibri"/>
              </w:rPr>
            </w:pPr>
            <w:r>
              <w:rPr>
                <w:rFonts w:ascii="Calibri" w:hAnsi="Calibri"/>
                <w:sz w:val="16"/>
                <w:szCs w:val="16"/>
              </w:rPr>
              <w:t>Data da última revisão</w:t>
            </w:r>
          </w:p>
        </w:tc>
        <w:tc>
          <w:tcPr>
            <w:tcW w:w="12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25/04/2018</w:t>
            </w:r>
          </w:p>
        </w:tc>
      </w:tr>
      <w:tr>
        <w:trPr/>
        <w:tc>
          <w:tcPr>
            <w:tcW w:w="1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Elaborador por</w:t>
            </w:r>
          </w:p>
        </w:tc>
        <w:tc>
          <w:tcPr>
            <w:tcW w:w="584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rPr>
                <w:rFonts w:ascii="Calibri" w:hAnsi="Calibri"/>
              </w:rPr>
            </w:pPr>
            <w:r>
              <w:rPr>
                <w:rFonts w:ascii="Calibri" w:hAnsi="Calibri"/>
                <w:b/>
                <w:bCs/>
              </w:rPr>
              <w:t xml:space="preserve"> </w:t>
            </w:r>
            <w:r>
              <w:rPr>
                <w:rFonts w:ascii="Calibri" w:hAnsi="Calibri"/>
                <w:b/>
                <w:bCs/>
              </w:rPr>
              <w:t xml:space="preserve">Débora Cristina dos Santos </w:t>
            </w:r>
          </w:p>
        </w:tc>
        <w:tc>
          <w:tcPr>
            <w:tcW w:w="1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Data da elaboração</w:t>
            </w:r>
          </w:p>
        </w:tc>
        <w:tc>
          <w:tcPr>
            <w:tcW w:w="12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color w:val="00000A"/>
                <w:sz w:val="16"/>
                <w:szCs w:val="16"/>
              </w:rPr>
              <w:t>25/04/2018</w:t>
            </w:r>
          </w:p>
        </w:tc>
      </w:tr>
      <w:tr>
        <w:trPr/>
        <w:tc>
          <w:tcPr>
            <w:tcW w:w="1062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rPr/>
            </w:pPr>
            <w:r>
              <w:rPr>
                <w:rFonts w:ascii="Calibri" w:hAnsi="Calibri"/>
                <w:sz w:val="22"/>
                <w:szCs w:val="22"/>
              </w:rPr>
              <w:t xml:space="preserve">Gestor: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Patrícia Neves Orsetti</w:t>
            </w:r>
          </w:p>
        </w:tc>
      </w:tr>
      <w:tr>
        <w:trPr/>
        <w:tc>
          <w:tcPr>
            <w:tcW w:w="1062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rPr/>
            </w:pPr>
            <w:r>
              <w:rPr>
                <w:rFonts w:ascii="Calibri" w:hAnsi="Calibri"/>
                <w:sz w:val="22"/>
                <w:szCs w:val="22"/>
              </w:rPr>
              <w:t xml:space="preserve">Título: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Nomeação de Servidores</w:t>
            </w:r>
          </w:p>
        </w:tc>
      </w:tr>
    </w:tbl>
    <w:p>
      <w:pPr>
        <w:pStyle w:val="Normal"/>
        <w:rPr/>
      </w:pPr>
      <w:r>
        <w:rPr/>
      </w:r>
    </w:p>
    <w:tbl>
      <w:tblPr>
        <w:tblW w:w="10665" w:type="dxa"/>
        <w:jc w:val="left"/>
        <w:tblInd w:w="-4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6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0665"/>
      </w:tblGrid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Descrição</w:t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>Ato formal de provimento de cargo público efetivo ou em comissão, devidamente publicado no Diário Oficial da União, por autoridade competente.</w:t>
            </w:r>
          </w:p>
          <w:p>
            <w:pPr>
              <w:pStyle w:val="Normal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Objetivos</w:t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São objetivos do Processo de Nomeação:</w:t>
            </w:r>
          </w:p>
          <w:p>
            <w:pPr>
              <w:pStyle w:val="Normal"/>
              <w:jc w:val="both"/>
              <w:rPr/>
            </w:pPr>
            <w:r>
              <w:rPr/>
            </w:r>
          </w:p>
          <w:p>
            <w:pPr>
              <w:pStyle w:val="Normal"/>
              <w:numPr>
                <w:ilvl w:val="0"/>
                <w:numId w:val="2"/>
              </w:num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Formalizar a atribuição de cargo a candidatos aprovados em concurso público.</w:t>
            </w:r>
          </w:p>
          <w:p>
            <w:pPr>
              <w:pStyle w:val="Normal"/>
              <w:numPr>
                <w:ilvl w:val="0"/>
                <w:numId w:val="2"/>
              </w:num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</w:rPr>
              <w:t>Suprir a carência de Servidores  do Quadro Efetivo da UFVJM, conforme a necessidade.</w:t>
            </w:r>
          </w:p>
          <w:p>
            <w:pPr>
              <w:pStyle w:val="Normal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Público Alvo</w:t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>Candidatos aprovados em Concurso Público</w:t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Pré-requisitos</w:t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Corpodetexto"/>
              <w:numPr>
                <w:ilvl w:val="0"/>
                <w:numId w:val="3"/>
              </w:numPr>
              <w:spacing w:before="0" w:after="14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Prévia Habilitação em Concurso Público.</w:t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/>
            </w:pPr>
            <w:r>
              <w:rPr>
                <w:rFonts w:ascii="Calibri" w:hAnsi="Calibri"/>
                <w:b/>
                <w:sz w:val="22"/>
                <w:szCs w:val="22"/>
              </w:rPr>
              <w:t>Responsáveis</w:t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 xml:space="preserve">Divisão de Seleção e Controle de Vagas / Diretoria de Seleção e Desenvolvimento de Pessoas </w:t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Atividades</w:t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  <w:tbl>
            <w:tblPr>
              <w:tblW w:w="9921" w:type="dxa"/>
              <w:jc w:val="left"/>
              <w:tblInd w:w="392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  <w:insideH w:val="single" w:sz="4" w:space="0" w:color="00000A"/>
                <w:insideV w:val="single" w:sz="4" w:space="0" w:color="00000A"/>
              </w:tblBorders>
              <w:tblCellMar>
                <w:top w:w="0" w:type="dxa"/>
                <w:left w:w="63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1988"/>
              <w:gridCol w:w="4583"/>
              <w:gridCol w:w="1587"/>
              <w:gridCol w:w="1762"/>
            </w:tblGrid>
            <w:tr>
              <w:trPr>
                <w:trHeight w:val="390" w:hRule="atLeast"/>
              </w:trPr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tbl>
                  <w:tblPr>
                    <w:tblW w:w="1698" w:type="dxa"/>
                    <w:jc w:val="left"/>
                    <w:tblInd w:w="108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firstRow="0" w:noVBand="0" w:lastRow="0" w:firstColumn="0" w:lastColumn="0" w:noHBand="0" w:val="0000"/>
                  </w:tblPr>
                  <w:tblGrid>
                    <w:gridCol w:w="990"/>
                    <w:gridCol w:w="236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0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rPr>
                            <w:rFonts w:ascii="Calibri" w:hAnsi="Calibri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alibri" w:hAnsi="Calibri"/>
                            <w:b/>
                            <w:bCs/>
                            <w:sz w:val="20"/>
                            <w:szCs w:val="20"/>
                          </w:rPr>
                          <w:t xml:space="preserve">Nº </w:t>
                        </w:r>
                      </w:p>
                    </w:tc>
                    <w:tc>
                      <w:tcPr>
                        <w:tcW w:w="236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rPr>
                            <w:rFonts w:ascii="Calibri" w:hAnsi="Calibri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rPr>
                            <w:rFonts w:ascii="Calibri" w:hAnsi="Calibri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rPr>
                            <w:rFonts w:ascii="Calibri" w:hAnsi="Calibri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  <w:t>Atividade / Descrição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  <w:t>Responsável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  <w:t>Prazo de execução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Receber Demanda de Nomeação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"/>
                    <w:jc w:val="center"/>
                    <w:rPr/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DSCV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01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Comunicar a Diretora de Seleção e Desenvolvimento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"/>
                    <w:jc w:val="center"/>
                    <w:rPr/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DSCV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01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Receber relação dos locais de lotação dos novos servidores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"/>
                    <w:jc w:val="center"/>
                    <w:rPr/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DSCV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01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 xml:space="preserve">Encaminhar a Papeleta de Nomeação em 02 vias à Divisão de Protocolo, para fichar processo. Uma via irá anexada ao processo que será fichado e outra irá para a pasta de papeletas da PROGEP. O fichamento do processo ocorrerá com o nome do candidato aprovado no concurso público e o cargo a ser ocupado. </w:t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/>
                  </w:pPr>
                  <w:r>
                    <w:rPr/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DSCV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Quando autorizada a nomeação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/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Receber o processo da Divisão de Protocolo e inserir no Processo a Cópia da Portaria Interministerial, que atualiza o quantitativo de cargos efetivos das Instituições Federais de Ensino; Cópia da Publicação do Edital de Abertura do Concurso Público no D.O.U; Cópia da Publicação do Edital de Homologação do Concurso Público no D.O.U.; Cópia da Portaria de provimento da vaga .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DSCV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 xml:space="preserve">05 dias 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/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06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/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Encaminhar para a Divisão de Legislação e Normas um despacho em forma de Memorando, numerado e  com ciência da diretoria, solicitando a nomeação do candidato, juntamente com  o Processo de Nomeação. (O Processo deve ser tramitado no SIGA).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DSCV</w:t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01 dia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/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07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Proceder à lavratura de portaria.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DLN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05 dias</w:t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Se houver alguma inconsistência nos dados ou documentação, o processo será devolvido à DSCV.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DLN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Corrigindo as inconsistências, a DSCV encaminha o processo à DLN.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DSCV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/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/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Não havendo inconsistência, a portaria será lavrada.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 xml:space="preserve">DLN 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O prazo compreende os 5 dias.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Após a lavratura da Portaria, é realizada a publicação no DOU.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DLN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O prazo compreende os 5 dias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A Portaria é enviada à Reitoria para assinatura do Reitor ou Vice- Reitor.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DLN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O prazo compreende os 5 dias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Após a assinatura, a portaria é enviada à DLN.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Reitoria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A Portaria é juntada ao Processo, com a publicação do DOU e tramitado e despachado à DSCV.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DLN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03 dias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/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/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Receber da Divisão de Legislação e Normas o processo e dar entrada no SIGA.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DSCV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/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/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Elaborar ofício informando ao candidato de sua nomeação.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DSCV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01 dia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/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/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Após a publicação da portaria de nomeação  no D.O.U, encaminhar ao candidato e-mail com o ofício de Nomeação, contendo as instruções para a realização do exame admissional e a relação de documentos que devem ser apresentados para a Posse no cargo..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DSCV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01 dia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/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/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Encaminhar via Correios o ofício de Nomeação juntamente com a cópia da publicação no D.O.U.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DSCV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01 dia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/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alibri" w:hAnsi="Calibri"/>
                      <w:sz w:val="20"/>
                      <w:szCs w:val="20"/>
                    </w:rPr>
                    <w:t>Verificar junto à Reitoria datas previstas para posse, observando o prazo máximo de 30 dias após a publicação da nomeação no D.O.U. Quando o candidato  manifestar seu interesse em tomar a posse, agendar  a conferência da documentação solicitada para investidura no cargo.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DSCV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01 dia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/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Conferir a documentação do candidato conforme o edital e a listagem encaminhada por e-mail. Se a documentação estiver correta agendar a data da posse. Caso haja dúvidas em relação à documentação exigida, verificar  com a Unidade Acadêmica quando  professor e com os demais órgãos consultivos da UFVJM, visando orientação para resolução do problema. O candidato deverá ser esclarecido sobre o problema e orientado para sua correção.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DSCV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 xml:space="preserve">Sob. Demanda 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Digitalizar toda a documentação solicitada para posse e salvar na pasta compartilhada para inclusão e manutenção do Assentamento Funcional Digital.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DSCV</w:t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ASRH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01 dia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/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/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Confeccionar o Termo de Posse, que deverá ser assinado pelo Reitor ou Vice e pelo candidato empossado.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DSCV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01 dia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/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/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Entregar para o Servidor, no dia da Posse, o Código de Ética Profissional do Servidor Público Civil do Poder Executivo Federal, aprovado pelo  DECRETO Nº 1.171, DE 22 DE JUNHO DE 1994.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DSCV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</w:tc>
            </w:tr>
            <w:tr>
              <w:trPr>
                <w:trHeight w:val="421" w:hRule="atLeast"/>
              </w:trPr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color w:val="00000A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color w:val="00000A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Encaminhar processo para a Divisão de Cadastros.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DSCV</w:t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01 dia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Receber o Processo de Nomeação via SIGA.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  <w:vAlign w:val="center"/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Div. Cadastros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01 dia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Proceder à confecção do Cadastro Manual em formulário disponível no Setor.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color w:val="00000A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Div. Cadastros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01 dia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Proceder à inclusão dos dados do novo servidor no sistema de cadastros SIAPE, onde será gerada a matrícula SIAPE. Anotar matrícula no Cadastro Manual.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color w:val="00000A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Div. Cadastros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 w:asciiTheme="minorHAnsi" w:hAnsiTheme="minorHAns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 w:asciiTheme="minorHAnsi" w:hAnsiTheme="minorHAnsi"/>
                      <w:color w:val="00000A"/>
                      <w:sz w:val="20"/>
                      <w:szCs w:val="20"/>
                    </w:rPr>
                    <w:t>01 dia - Observar o cronograma da Folha de Pagamento/MPOG.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Apor no verso do Ofício de Entrada em Exercício e da Portaria de Nomeação, a confirmação de inclusão dos dados, assinatura e data.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color w:val="00000A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Div. Cadastros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 w:asciiTheme="minorHAnsi" w:hAnsiTheme="minorHAns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 w:asciiTheme="minorHAnsi" w:hAnsiTheme="minorHAnsi"/>
                      <w:color w:val="00000A"/>
                      <w:sz w:val="20"/>
                      <w:szCs w:val="20"/>
                    </w:rPr>
                    <w:t>Imediatamente após a inclusão dos dados no sistema.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Encaminhar o Processo à Divisão de Pagamentos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  <w:vAlign w:val="center"/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Div. Cadastros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 w:asciiTheme="minorHAnsi" w:hAnsiTheme="minorHAns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 w:asciiTheme="minorHAnsi" w:hAnsiTheme="minorHAnsi"/>
                      <w:color w:val="00000A"/>
                      <w:sz w:val="20"/>
                      <w:szCs w:val="20"/>
                    </w:rPr>
                    <w:t>Imediatamente após a inclusão dos dados no sistema.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Verificar a folha de Pagamento do novo servidor (gerada automaticamente quando o cadastro é finalizado).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  <w:vAlign w:val="center"/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Divisão de Pagamentos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 w:asciiTheme="minorHAnsi" w:hAnsiTheme="minorHAns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 w:asciiTheme="minorHAnsi" w:hAnsiTheme="minorHAnsi"/>
                      <w:color w:val="00000A"/>
                      <w:sz w:val="20"/>
                      <w:szCs w:val="20"/>
                    </w:rPr>
                    <w:t>01 dia - Observar o cronograma da Folha de Pagamento/MPOG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Conferir se os valores estão de acordo com as tabelas de remunerações e auxílios vigentes.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  <w:vAlign w:val="center"/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Divisão de Pagamentos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 w:asciiTheme="minorHAnsi" w:hAnsiTheme="minorHAns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 w:asciiTheme="minorHAnsi" w:hAnsiTheme="minorHAnsi"/>
                      <w:color w:val="00000A"/>
                      <w:sz w:val="20"/>
                      <w:szCs w:val="20"/>
                    </w:rPr>
                    <w:t>01 dia - Observar o cronograma da Folha de Pagamento/MPOG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Realizar quando necessário o cálculo manual de valores retroativos (mês anterior da folha de pagamento vigente) e lançar no sistema.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  <w:vAlign w:val="center"/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Divisão de Pagamentos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 w:asciiTheme="minorHAnsi" w:hAnsiTheme="minorHAns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 w:asciiTheme="minorHAnsi" w:hAnsiTheme="minorHAnsi"/>
                      <w:color w:val="00000A"/>
                      <w:sz w:val="20"/>
                      <w:szCs w:val="20"/>
                    </w:rPr>
                    <w:t>01 dia - Observar o cronograma da Folha de Pagamento/MPOG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Imprimir uma ficha financeira de comprovação da execução do pagamento.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  <w:vAlign w:val="center"/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Divisão de Pagamentos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 w:asciiTheme="minorHAnsi" w:hAnsiTheme="minorHAns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 w:asciiTheme="minorHAnsi" w:hAnsiTheme="minorHAnsi"/>
                      <w:color w:val="00000A"/>
                      <w:sz w:val="20"/>
                      <w:szCs w:val="20"/>
                    </w:rPr>
                    <w:t>01 dia - Observar o cronograma da Folha de Pagamento/MPOG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Apor no verso do Ofício de Entrada em Exercício e da Portaria de Nomeação, a confirmação de inclusão do pagamento, assinatura e data.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  <w:vAlign w:val="center"/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Divisão de Pagamentos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 w:asciiTheme="minorHAnsi" w:hAnsiTheme="minorHAns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 w:asciiTheme="minorHAnsi" w:hAnsiTheme="minorHAnsi"/>
                      <w:color w:val="00000A"/>
                      <w:sz w:val="20"/>
                      <w:szCs w:val="20"/>
                    </w:rPr>
                    <w:t>Imediatamente após a confirmação de lançamento do pagamento.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33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Encaminhar o processo para a Divisão de Cadastros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  <w:vAlign w:val="center"/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Divisão de Pagamentos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 w:asciiTheme="minorHAnsi" w:hAnsiTheme="minorHAns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 w:asciiTheme="minorHAnsi" w:hAnsiTheme="minorHAnsi"/>
                      <w:color w:val="00000A"/>
                      <w:sz w:val="20"/>
                      <w:szCs w:val="20"/>
                    </w:rPr>
                    <w:t>Imediatamente após a confirmação de lançamento do pagamento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34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 xml:space="preserve">Manter o Processo sob guarda até a data de Homologação da Folha de Pagamentos. 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color w:val="00000A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Div. Cadastros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 w:asciiTheme="minorHAnsi" w:hAnsiTheme="minorHAns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 w:asciiTheme="minorHAnsi" w:hAnsiTheme="minorHAnsi"/>
                      <w:color w:val="00000A"/>
                      <w:sz w:val="20"/>
                      <w:szCs w:val="20"/>
                    </w:rPr>
                    <w:t>Observar o cronograma da Folha de Pagamento/MPOG.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Por ocasião da Homologação da Folha, conferir os dados lançados no sistema (proceder às eventuais correções) e imprimir Relatórios de Dados Pessoais e Funcionais e anexá-los ao Processo.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color w:val="00000A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Div. Cadastros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 w:asciiTheme="minorHAnsi" w:hAnsiTheme="minorHAns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 w:asciiTheme="minorHAnsi" w:hAnsiTheme="minorHAnsi"/>
                      <w:color w:val="00000A"/>
                      <w:sz w:val="20"/>
                      <w:szCs w:val="20"/>
                    </w:rPr>
                    <w:t>01 dia - Observar o cronograma da Folha de Pagamento/MPOG.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Lançar exercício do novo servidor no SIGA.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  <w:vAlign w:val="center"/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Div. Cadastros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 w:asciiTheme="minorHAnsi" w:hAnsiTheme="minorHAns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 w:asciiTheme="minorHAnsi" w:hAnsiTheme="minorHAnsi"/>
                      <w:color w:val="00000A"/>
                      <w:sz w:val="20"/>
                      <w:szCs w:val="20"/>
                    </w:rPr>
                    <w:t>01 dia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37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Tramitar Processo para a DLN via SIGA.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  <w:vAlign w:val="center"/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A"/>
                      <w:sz w:val="20"/>
                      <w:szCs w:val="20"/>
                    </w:rPr>
                    <w:t>Div. Cadastros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 w:asciiTheme="minorHAnsi" w:hAnsiTheme="minorHAns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 w:asciiTheme="minorHAnsi" w:hAnsiTheme="minorHAnsi"/>
                      <w:color w:val="00000A"/>
                      <w:sz w:val="20"/>
                      <w:szCs w:val="20"/>
                    </w:rPr>
                    <w:t>01 dia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38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Se faltar alguma documentação, enviar o processo à DSCV para complementação.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DLN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 w:asciiTheme="minorHAnsi" w:hAnsiTheme="minorHAns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hAnsi="Calibri" w:asciiTheme="minorHAnsi" w:hAnsiTheme="minorHAnsi"/>
                      <w:color w:val="00000A"/>
                      <w:sz w:val="20"/>
                      <w:szCs w:val="20"/>
                    </w:rPr>
                    <w:t>01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39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Completar a documentação faltosa, e retornar o processo à DLN.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DSCV</w:t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="Calibri" w:hAnsi="Calibri" w:asciiTheme="minorHAnsi" w:hAnsiTheme="minorHAnsi"/>
                      <w:sz w:val="20"/>
                      <w:szCs w:val="20"/>
                    </w:rPr>
                    <w:t>01</w:t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ascii="Calibri" w:hAnsi="Calibri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jc w:val="both"/>
                    <w:rPr>
                      <w:rFonts w:ascii="Calibri" w:hAnsi="Calibri"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="Calibri" w:hAnsi="Calibri" w:asciiTheme="minorHAnsi" w:hAnsiTheme="minorHAnsi"/>
                      <w:sz w:val="20"/>
                      <w:szCs w:val="20"/>
                    </w:rPr>
                    <w:t>Enviar o processo ao Arquivo da PROGEP.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ascii="Calibri" w:hAnsi="Calibri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41</w:t>
                  </w:r>
                </w:p>
              </w:tc>
              <w:tc>
                <w:tcPr>
                  <w:tcW w:w="45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jc w:val="both"/>
                    <w:rPr>
                      <w:rFonts w:ascii="Calibri" w:hAnsi="Calibri"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="Calibri" w:hAnsi="Calibri" w:asciiTheme="minorHAnsi" w:hAnsiTheme="minorHAnsi"/>
                      <w:sz w:val="20"/>
                      <w:szCs w:val="20"/>
                    </w:rPr>
                    <w:t>Arquivar o processo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</w:tc>
              <w:tc>
                <w:tcPr>
                  <w:tcW w:w="17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ascii="Calibri" w:hAnsi="Calibri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Lista de contatos para realização da ação</w:t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tbl>
            <w:tblPr>
              <w:tblW w:w="9801" w:type="dxa"/>
              <w:jc w:val="left"/>
              <w:tblInd w:w="392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  <w:insideH w:val="single" w:sz="4" w:space="0" w:color="00000A"/>
                <w:insideV w:val="single" w:sz="4" w:space="0" w:color="00000A"/>
              </w:tblBorders>
              <w:tblCellMar>
                <w:top w:w="0" w:type="dxa"/>
                <w:left w:w="63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2975"/>
              <w:gridCol w:w="1843"/>
              <w:gridCol w:w="4983"/>
            </w:tblGrid>
            <w:tr>
              <w:trPr/>
              <w:tc>
                <w:tcPr>
                  <w:tcW w:w="29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tbl>
                  <w:tblPr>
                    <w:tblW w:w="1698" w:type="dxa"/>
                    <w:jc w:val="left"/>
                    <w:tblInd w:w="108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firstRow="0" w:noVBand="0" w:lastRow="0" w:firstColumn="0" w:lastColumn="0" w:noHBand="0" w:val="0000"/>
                  </w:tblPr>
                  <w:tblGrid>
                    <w:gridCol w:w="990"/>
                    <w:gridCol w:w="236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0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rPr>
                            <w:rFonts w:ascii="Calibri" w:hAnsi="Calibri"/>
                            <w:sz w:val="22"/>
                            <w:szCs w:val="22"/>
                          </w:rPr>
                        </w:pPr>
                        <w:r>
                          <w:rPr>
                            <w:rFonts w:ascii="Calibri" w:hAnsi="Calibri"/>
                            <w:b/>
                            <w:bCs/>
                            <w:sz w:val="22"/>
                            <w:szCs w:val="22"/>
                          </w:rPr>
                          <w:t xml:space="preserve">Nome </w:t>
                        </w:r>
                      </w:p>
                    </w:tc>
                    <w:tc>
                      <w:tcPr>
                        <w:tcW w:w="236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rPr>
                            <w:rFonts w:ascii="Calibri" w:hAnsi="Calibri"/>
                            <w:sz w:val="22"/>
                            <w:szCs w:val="22"/>
                          </w:rPr>
                        </w:pPr>
                        <w:r>
                          <w:rPr>
                            <w:rFonts w:ascii="Calibri" w:hAnsi="Calibri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rPr>
                            <w:rFonts w:ascii="Calibri" w:hAnsi="Calibri"/>
                            <w:sz w:val="22"/>
                            <w:szCs w:val="22"/>
                          </w:rPr>
                        </w:pPr>
                        <w:r>
                          <w:rPr>
                            <w:rFonts w:ascii="Calibri" w:hAnsi="Calibri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rPr>
                            <w:rFonts w:ascii="Calibri" w:hAnsi="Calibri"/>
                            <w:sz w:val="22"/>
                            <w:szCs w:val="22"/>
                          </w:rPr>
                        </w:pPr>
                        <w:r>
                          <w:rPr>
                            <w:rFonts w:ascii="Calibri" w:hAnsi="Calibri"/>
                            <w:sz w:val="22"/>
                            <w:szCs w:val="22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</w:r>
                </w:p>
              </w:tc>
              <w:tc>
                <w:tcPr>
                  <w:tcW w:w="18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sz w:val="22"/>
                      <w:szCs w:val="22"/>
                    </w:rPr>
                    <w:t>voip</w:t>
                  </w:r>
                </w:p>
              </w:tc>
              <w:tc>
                <w:tcPr>
                  <w:tcW w:w="49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/>
                  </w:pPr>
                  <w:r>
                    <w:rPr>
                      <w:rFonts w:ascii="Calibri" w:hAnsi="Calibri"/>
                      <w:b/>
                      <w:bCs/>
                      <w:sz w:val="22"/>
                      <w:szCs w:val="22"/>
                    </w:rPr>
                    <w:t>E-mail</w:t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sz w:val="22"/>
                      <w:szCs w:val="22"/>
                    </w:rPr>
                  </w:r>
                </w:p>
              </w:tc>
            </w:tr>
            <w:tr>
              <w:trPr/>
              <w:tc>
                <w:tcPr>
                  <w:tcW w:w="29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="Calibri" w:hAnsi="Calibri" w:asciiTheme="minorHAnsi" w:hAnsiTheme="minorHAnsi"/>
                      <w:sz w:val="22"/>
                      <w:szCs w:val="22"/>
                    </w:rPr>
                    <w:t>Divisão de Seleção e Controle de Vagas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/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8168</w:t>
                  </w:r>
                </w:p>
              </w:tc>
              <w:tc>
                <w:tcPr>
                  <w:tcW w:w="49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="Calibri" w:hAnsi="Calibri" w:asciiTheme="minorHAnsi" w:hAnsiTheme="minorHAnsi"/>
                      <w:sz w:val="22"/>
                      <w:szCs w:val="22"/>
                    </w:rPr>
                    <w:t>concursos@ufvjm.edu.br</w:t>
                  </w:r>
                </w:p>
              </w:tc>
            </w:tr>
            <w:tr>
              <w:trPr/>
              <w:tc>
                <w:tcPr>
                  <w:tcW w:w="29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Divisão de Legislação e Normas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8170 ou 8062</w:t>
                  </w:r>
                </w:p>
              </w:tc>
              <w:tc>
                <w:tcPr>
                  <w:tcW w:w="49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dln.progep@ufvjm.edu.br</w:t>
                  </w:r>
                </w:p>
              </w:tc>
            </w:tr>
            <w:tr>
              <w:trPr/>
              <w:tc>
                <w:tcPr>
                  <w:tcW w:w="29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Divisão de Cadastros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8173 ou 8169</w:t>
                  </w:r>
                </w:p>
              </w:tc>
              <w:tc>
                <w:tcPr>
                  <w:tcW w:w="49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cadastro.progep@ufvjm.edu.br</w:t>
                  </w:r>
                </w:p>
              </w:tc>
            </w:tr>
            <w:tr>
              <w:trPr/>
              <w:tc>
                <w:tcPr>
                  <w:tcW w:w="29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Divisão de Pagamento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color w:val="00000A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A"/>
                      <w:sz w:val="22"/>
                      <w:szCs w:val="22"/>
                    </w:rPr>
                    <w:t>8174</w:t>
                  </w:r>
                </w:p>
              </w:tc>
              <w:tc>
                <w:tcPr>
                  <w:tcW w:w="49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/>
                  </w:pPr>
                  <w:hyperlink r:id="rId3">
                    <w:r>
                      <w:rPr>
                        <w:rStyle w:val="LinkdaInternet"/>
                        <w:rFonts w:ascii="Calibri" w:hAnsi="Calibri"/>
                        <w:color w:val="00000A"/>
                        <w:sz w:val="22"/>
                        <w:szCs w:val="22"/>
                        <w:u w:val="none"/>
                      </w:rPr>
                      <w:t>pagamento.progep@ufvjm.edu.br</w:t>
                    </w:r>
                  </w:hyperlink>
                </w:p>
              </w:tc>
            </w:tr>
            <w:tr>
              <w:trPr/>
              <w:tc>
                <w:tcPr>
                  <w:tcW w:w="29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Divisão de Arquivo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8171</w:t>
                  </w:r>
                </w:p>
              </w:tc>
              <w:tc>
                <w:tcPr>
                  <w:tcW w:w="49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arquivo.progep@ufvjm.edu.br</w:t>
                  </w:r>
                </w:p>
              </w:tc>
            </w:tr>
          </w:tbl>
          <w:p>
            <w:pPr>
              <w:pStyle w:val="Normal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</w:t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Definições / Legenda</w:t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spacing w:before="0" w:after="0"/>
              <w:ind w:left="720" w:hanging="680"/>
              <w:contextualSpacing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CGU: Controladoria Geral da União</w:t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MPOG: Ministério do Planejamento, Orçamento e Gestão.</w:t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SIAPE: Sistema Integrado de Administração de Recursos Humanos.</w:t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SIGA: Sistema Integrado de Gestão Acadêmica.</w:t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Material de suporte</w:t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numPr>
                <w:ilvl w:val="0"/>
                <w:numId w:val="4"/>
              </w:numPr>
              <w:rPr>
                <w:color w:val="00000A"/>
              </w:rPr>
            </w:pPr>
            <w:r>
              <w:rPr>
                <w:rFonts w:cs="Times New Roman" w:ascii="Calibri" w:hAnsi="Calibri"/>
                <w:color w:val="00000A"/>
                <w:sz w:val="22"/>
                <w:szCs w:val="22"/>
              </w:rPr>
              <w:t>Lei n.º 8.112 de 11/12/1990.</w:t>
            </w:r>
          </w:p>
          <w:p>
            <w:pPr>
              <w:pStyle w:val="Normal"/>
              <w:ind w:left="720" w:hanging="0"/>
              <w:rPr/>
            </w:pPr>
            <w:hyperlink r:id="rId4">
              <w:r>
                <w:rPr>
                  <w:rStyle w:val="LinkdaInternet"/>
                  <w:rFonts w:cs="Times New Roman" w:ascii="Calibri" w:hAnsi="Calibri"/>
                  <w:color w:val="00000A"/>
                  <w:u w:val="none"/>
                </w:rPr>
                <w:t>http://www.planalto.gov.br/ccivil_03/leis/L8112cons.htm</w:t>
              </w:r>
            </w:hyperlink>
          </w:p>
          <w:p>
            <w:pPr>
              <w:pStyle w:val="Normal"/>
              <w:numPr>
                <w:ilvl w:val="0"/>
                <w:numId w:val="4"/>
              </w:numPr>
              <w:rPr>
                <w:color w:val="00000A"/>
              </w:rPr>
            </w:pPr>
            <w:r>
              <w:rPr>
                <w:rFonts w:cs="Times New Roman" w:ascii="Calibri" w:hAnsi="Calibri"/>
                <w:color w:val="00000A"/>
                <w:sz w:val="22"/>
                <w:szCs w:val="22"/>
              </w:rPr>
              <w:t>Portaria Interministerial  vigente no período da nomeação</w:t>
            </w:r>
          </w:p>
          <w:p>
            <w:pPr>
              <w:pStyle w:val="Normal"/>
              <w:numPr>
                <w:ilvl w:val="0"/>
                <w:numId w:val="4"/>
              </w:numPr>
              <w:rPr>
                <w:color w:val="00000A"/>
              </w:rPr>
            </w:pPr>
            <w:r>
              <w:rPr>
                <w:rFonts w:cs="Times New Roman" w:ascii="Calibri" w:hAnsi="Calibri"/>
                <w:color w:val="00000A"/>
                <w:sz w:val="22"/>
                <w:szCs w:val="22"/>
              </w:rPr>
              <w:t>Lei nº 12.772 de 28/12/2012 alterada pela Lei nº 12.863 de 24/09/2013.</w:t>
            </w:r>
          </w:p>
          <w:p>
            <w:pPr>
              <w:pStyle w:val="Normal"/>
              <w:ind w:left="720" w:hanging="0"/>
              <w:rPr/>
            </w:pPr>
            <w:hyperlink r:id="rId5">
              <w:r>
                <w:rPr>
                  <w:rStyle w:val="LinkdaInternet"/>
                  <w:rFonts w:cs="Times New Roman" w:ascii="Calibri" w:hAnsi="Calibri"/>
                  <w:color w:val="00000A"/>
                  <w:u w:val="none"/>
                </w:rPr>
                <w:t>http://www.planalto.gov.br/ccivil_03/_ato2011-2014/2012/lei/l12772.htm</w:t>
              </w:r>
            </w:hyperlink>
          </w:p>
          <w:p>
            <w:pPr>
              <w:pStyle w:val="Normal"/>
              <w:ind w:left="720" w:hanging="0"/>
              <w:jc w:val="both"/>
              <w:rPr/>
            </w:pPr>
            <w:hyperlink r:id="rId6">
              <w:r>
                <w:rPr>
                  <w:rStyle w:val="LinkdaInternet"/>
                  <w:rFonts w:ascii="Calibri" w:hAnsi="Calibri"/>
                  <w:color w:val="00000A"/>
                  <w:u w:val="none"/>
                </w:rPr>
                <w:t>http://www.planalto.gov.br/ccivil_03/_ato2011-2014/2013/Lei/L12863.htm</w:t>
              </w:r>
            </w:hyperlink>
          </w:p>
          <w:p>
            <w:pPr>
              <w:pStyle w:val="Normal"/>
              <w:numPr>
                <w:ilvl w:val="0"/>
                <w:numId w:val="4"/>
              </w:numPr>
              <w:rPr>
                <w:color w:val="00000A"/>
              </w:rPr>
            </w:pPr>
            <w:r>
              <w:rPr>
                <w:rFonts w:cs="Times New Roman" w:ascii="Calibri" w:hAnsi="Calibri"/>
                <w:color w:val="00000A"/>
                <w:sz w:val="22"/>
                <w:szCs w:val="22"/>
              </w:rPr>
              <w:t>Decreto nº 6.944 de 21/08/2009.</w:t>
            </w:r>
          </w:p>
          <w:p>
            <w:pPr>
              <w:pStyle w:val="Normal"/>
              <w:ind w:left="720" w:hanging="0"/>
              <w:rPr/>
            </w:pPr>
            <w:hyperlink r:id="rId7">
              <w:r>
                <w:rPr>
                  <w:rStyle w:val="LinkdaInternet"/>
                  <w:rFonts w:ascii="Calibri" w:hAnsi="Calibri"/>
                  <w:color w:val="00000A"/>
                  <w:u w:val="none"/>
                </w:rPr>
                <w:t>http://www.planalto.gov.br/ccivil_03/_ato2007-2010/2009/decreto/d6944.htm</w:t>
              </w:r>
            </w:hyperlink>
          </w:p>
          <w:p>
            <w:pPr>
              <w:pStyle w:val="Normal"/>
              <w:numPr>
                <w:ilvl w:val="0"/>
                <w:numId w:val="4"/>
              </w:numPr>
              <w:rPr>
                <w:color w:val="00000A"/>
              </w:rPr>
            </w:pPr>
            <w:r>
              <w:rPr>
                <w:rFonts w:cs="Times New Roman" w:ascii="Calibri" w:hAnsi="Calibri"/>
                <w:color w:val="00000A"/>
                <w:sz w:val="22"/>
                <w:szCs w:val="22"/>
              </w:rPr>
              <w:t>Lei n.º 12.990 de 09/06/2014.</w:t>
            </w:r>
          </w:p>
          <w:p>
            <w:pPr>
              <w:pStyle w:val="Normal"/>
              <w:ind w:left="720" w:hanging="0"/>
              <w:rPr/>
            </w:pPr>
            <w:hyperlink r:id="rId8">
              <w:r>
                <w:rPr>
                  <w:rStyle w:val="LinkdaInternet"/>
                  <w:color w:val="00000A"/>
                  <w:u w:val="none"/>
                </w:rPr>
                <w:t>http://www.planalto.gov.br/ccivil_03/_Ato2011-2014/2014/Lei/L12990.htm</w:t>
              </w:r>
            </w:hyperlink>
          </w:p>
          <w:p>
            <w:pPr>
              <w:pStyle w:val="Normal"/>
              <w:numPr>
                <w:ilvl w:val="0"/>
                <w:numId w:val="4"/>
              </w:numPr>
              <w:rPr>
                <w:color w:val="00000A"/>
              </w:rPr>
            </w:pPr>
            <w:r>
              <w:rPr>
                <w:rFonts w:cs="Times New Roman" w:ascii="Calibri" w:hAnsi="Calibri"/>
                <w:color w:val="00000A"/>
                <w:sz w:val="22"/>
                <w:szCs w:val="22"/>
              </w:rPr>
              <w:t>Decreto n.º 3.298 de 20/12/1999.</w:t>
            </w:r>
          </w:p>
          <w:p>
            <w:pPr>
              <w:pStyle w:val="Normal"/>
              <w:ind w:left="720" w:hanging="0"/>
              <w:rPr/>
            </w:pPr>
            <w:hyperlink r:id="rId9">
              <w:r>
                <w:rPr>
                  <w:rStyle w:val="LinkdaInternet"/>
                  <w:color w:val="00000A"/>
                  <w:u w:val="none"/>
                </w:rPr>
                <w:t>http://www.planalto.gov.br/ccivil_03/decreto/d3298.htm</w:t>
              </w:r>
            </w:hyperlink>
          </w:p>
          <w:p>
            <w:pPr>
              <w:pStyle w:val="Normal"/>
              <w:numPr>
                <w:ilvl w:val="0"/>
                <w:numId w:val="4"/>
              </w:numPr>
              <w:rPr>
                <w:color w:val="00000A"/>
              </w:rPr>
            </w:pPr>
            <w:r>
              <w:rPr>
                <w:rFonts w:cs="Times New Roman" w:ascii="Calibri" w:hAnsi="Calibri"/>
                <w:color w:val="00000A"/>
                <w:sz w:val="22"/>
                <w:szCs w:val="22"/>
              </w:rPr>
              <w:t>Decreto n.º 1.171 de 22/06/1994.</w:t>
            </w:r>
          </w:p>
          <w:p>
            <w:pPr>
              <w:pStyle w:val="Normal"/>
              <w:ind w:left="720" w:hanging="0"/>
              <w:rPr/>
            </w:pPr>
            <w:hyperlink r:id="rId10">
              <w:r>
                <w:rPr>
                  <w:rStyle w:val="LinkdaInternet"/>
                  <w:color w:val="00000A"/>
                  <w:u w:val="none"/>
                </w:rPr>
                <w:t>http://www.planalto.gov.br/ccivil_03/decreto/d1171.htm</w:t>
              </w:r>
            </w:hyperlink>
          </w:p>
          <w:p>
            <w:pPr>
              <w:pStyle w:val="Normal"/>
              <w:numPr>
                <w:ilvl w:val="0"/>
                <w:numId w:val="4"/>
              </w:numPr>
              <w:rPr>
                <w:color w:val="00000A"/>
              </w:rPr>
            </w:pPr>
            <w:r>
              <w:rPr>
                <w:rFonts w:cs="Times New Roman" w:ascii="Calibri" w:hAnsi="Calibri"/>
                <w:color w:val="00000A"/>
                <w:sz w:val="22"/>
                <w:szCs w:val="22"/>
              </w:rPr>
              <w:t>Resolução nº 13 – CONSU de 11/10/2013 alterada pela Resolução nº 16 – CONSU de 11/07/2014.</w:t>
            </w:r>
          </w:p>
          <w:p>
            <w:pPr>
              <w:pStyle w:val="Normal"/>
              <w:ind w:left="720" w:hanging="0"/>
              <w:jc w:val="both"/>
              <w:rPr/>
            </w:pPr>
            <w:hyperlink r:id="rId11">
              <w:r>
                <w:rPr>
                  <w:rStyle w:val="LinkdaInternet"/>
                  <w:rFonts w:ascii="Calibri" w:hAnsi="Calibri"/>
                  <w:color w:val="00000A"/>
                  <w:u w:val="none"/>
                </w:rPr>
                <w:t>http://www.ufvjm.edu.br/</w:t>
              </w:r>
            </w:hyperlink>
            <w:r>
              <w:rPr>
                <w:rFonts w:ascii="Calibri" w:hAnsi="Calibri"/>
                <w:color w:val="00000A"/>
              </w:rPr>
              <w:t xml:space="preserve"> -  Administração - Conselhos – CONSU- Resoluções </w:t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Fluxograma do processo</w:t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rPr>
                <w:rFonts w:ascii="Calibri" w:hAnsi="Calibri"/>
                <w:sz w:val="22"/>
                <w:szCs w:val="22"/>
              </w:rPr>
            </w:pPr>
            <w:r>
              <w:rPr/>
              <w:drawing>
                <wp:inline distT="0" distB="0" distL="0" distR="8255">
                  <wp:extent cx="6221730" cy="7759065"/>
                  <wp:effectExtent l="0" t="0" r="0" b="0"/>
                  <wp:docPr id="2" name="Imagem 3" descr="e:\Users\usuario\Desktop\fluxo nomeação 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m 3" descr="e:\Users\usuario\Desktop\fluxo nomeação 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1730" cy="7759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Elaboração, aprovação, publicação, revisão</w:t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spacing w:before="0" w:after="0"/>
              <w:contextualSpacing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tbl>
            <w:tblPr>
              <w:tblW w:w="9945" w:type="dxa"/>
              <w:jc w:val="left"/>
              <w:tblInd w:w="250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  <w:insideH w:val="single" w:sz="4" w:space="0" w:color="00000A"/>
                <w:insideV w:val="single" w:sz="4" w:space="0" w:color="00000A"/>
              </w:tblBorders>
              <w:tblCellMar>
                <w:top w:w="0" w:type="dxa"/>
                <w:left w:w="63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1993"/>
              <w:gridCol w:w="1142"/>
              <w:gridCol w:w="4711"/>
              <w:gridCol w:w="2098"/>
            </w:tblGrid>
            <w:tr>
              <w:trPr/>
              <w:tc>
                <w:tcPr>
                  <w:tcW w:w="19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tbl>
                  <w:tblPr>
                    <w:tblW w:w="1814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firstRow="0" w:noVBand="0" w:lastRow="0" w:firstColumn="0" w:lastColumn="0" w:noHBand="0" w:val="0000"/>
                  </w:tblPr>
                  <w:tblGrid>
                    <w:gridCol w:w="1139"/>
                    <w:gridCol w:w="223"/>
                    <w:gridCol w:w="222"/>
                    <w:gridCol w:w="229"/>
                  </w:tblGrid>
                  <w:tr>
                    <w:trPr>
                      <w:trHeight w:val="280" w:hRule="atLeast"/>
                    </w:trPr>
                    <w:tc>
                      <w:tcPr>
                        <w:tcW w:w="1139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rPr>
                            <w:rFonts w:ascii="Calibri" w:hAnsi="Calibri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alibri" w:hAnsi="Calibri"/>
                            <w:b/>
                            <w:bCs/>
                            <w:sz w:val="20"/>
                            <w:szCs w:val="20"/>
                          </w:rPr>
                          <w:t xml:space="preserve">Atividade </w:t>
                        </w:r>
                      </w:p>
                    </w:tc>
                    <w:tc>
                      <w:tcPr>
                        <w:tcW w:w="223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rPr>
                            <w:rFonts w:ascii="Calibri" w:hAnsi="Calibri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22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rPr>
                            <w:rFonts w:ascii="Calibri" w:hAnsi="Calibri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29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rPr>
                            <w:rFonts w:ascii="Calibri" w:hAnsi="Calibri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</w:tc>
              <w:tc>
                <w:tcPr>
                  <w:tcW w:w="11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  <w:t>Data</w:t>
                  </w:r>
                </w:p>
              </w:tc>
              <w:tc>
                <w:tcPr>
                  <w:tcW w:w="471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/>
                  </w:pPr>
                  <w:r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  <w:t>Nome</w:t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b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</w:r>
                </w:p>
              </w:tc>
              <w:tc>
                <w:tcPr>
                  <w:tcW w:w="20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  <w:t>Função</w:t>
                  </w:r>
                </w:p>
              </w:tc>
            </w:tr>
            <w:tr>
              <w:trPr/>
              <w:tc>
                <w:tcPr>
                  <w:tcW w:w="19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Data da elaboração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0"/>
                      <w:szCs w:val="20"/>
                    </w:rPr>
                  </w:pPr>
                  <w:bookmarkStart w:id="0" w:name="_GoBack"/>
                  <w:bookmarkEnd w:id="0"/>
                  <w:r>
                    <w:rPr>
                      <w:rFonts w:ascii="Calibri" w:hAnsi="Calibri"/>
                      <w:sz w:val="20"/>
                      <w:szCs w:val="20"/>
                    </w:rPr>
                    <w:t>25/04/2018</w:t>
                  </w:r>
                </w:p>
              </w:tc>
              <w:tc>
                <w:tcPr>
                  <w:tcW w:w="471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Débora Cristina dos Santos</w:t>
                  </w:r>
                </w:p>
              </w:tc>
              <w:tc>
                <w:tcPr>
                  <w:tcW w:w="20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Assistente em Administração/Chefe da Divisão de Seleção e Controle de Vagas</w:t>
                  </w:r>
                </w:p>
              </w:tc>
            </w:tr>
            <w:tr>
              <w:trPr/>
              <w:tc>
                <w:tcPr>
                  <w:tcW w:w="19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Data da aprovação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</w:tc>
              <w:tc>
                <w:tcPr>
                  <w:tcW w:w="471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</w:tc>
              <w:tc>
                <w:tcPr>
                  <w:tcW w:w="20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19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Data da publicação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</w:tc>
              <w:tc>
                <w:tcPr>
                  <w:tcW w:w="471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</w:tc>
              <w:tc>
                <w:tcPr>
                  <w:tcW w:w="20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19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Data da revisão</w:t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</w:tc>
              <w:tc>
                <w:tcPr>
                  <w:tcW w:w="11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25/04/2018</w:t>
                  </w:r>
                </w:p>
              </w:tc>
              <w:tc>
                <w:tcPr>
                  <w:tcW w:w="471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Débora Cristina dos Santos</w:t>
                  </w:r>
                </w:p>
              </w:tc>
              <w:tc>
                <w:tcPr>
                  <w:tcW w:w="209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Assistente em Administração/Chefe da Divisão de Seleção e Controle de Vagas</w:t>
                  </w:r>
                </w:p>
              </w:tc>
            </w:tr>
          </w:tbl>
          <w:p>
            <w:pPr>
              <w:pStyle w:val="ListParagraph"/>
              <w:spacing w:before="0" w:after="0"/>
              <w:contextualSpacing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Histórico de revisões</w:t>
            </w:r>
          </w:p>
        </w:tc>
      </w:tr>
      <w:tr>
        <w:trPr>
          <w:trHeight w:val="1570" w:hRule="atLeast"/>
        </w:trPr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spacing w:before="0" w:after="0"/>
              <w:contextualSpacing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tbl>
            <w:tblPr>
              <w:tblW w:w="9801" w:type="dxa"/>
              <w:jc w:val="left"/>
              <w:tblInd w:w="392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  <w:insideH w:val="single" w:sz="4" w:space="0" w:color="00000A"/>
                <w:insideV w:val="single" w:sz="4" w:space="0" w:color="00000A"/>
              </w:tblBorders>
              <w:tblCellMar>
                <w:top w:w="0" w:type="dxa"/>
                <w:left w:w="63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1986"/>
              <w:gridCol w:w="927"/>
              <w:gridCol w:w="4881"/>
              <w:gridCol w:w="2006"/>
            </w:tblGrid>
            <w:tr>
              <w:trPr/>
              <w:tc>
                <w:tcPr>
                  <w:tcW w:w="198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tbl>
                  <w:tblPr>
                    <w:tblW w:w="1698" w:type="dxa"/>
                    <w:jc w:val="left"/>
                    <w:tblInd w:w="108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firstRow="0" w:noVBand="0" w:lastRow="0" w:firstColumn="0" w:lastColumn="0" w:noHBand="0" w:val="0000"/>
                  </w:tblPr>
                  <w:tblGrid>
                    <w:gridCol w:w="990"/>
                    <w:gridCol w:w="236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0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rPr>
                            <w:rFonts w:ascii="Calibri" w:hAnsi="Calibri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alibri" w:hAnsi="Calibri"/>
                            <w:b/>
                            <w:bCs/>
                            <w:sz w:val="20"/>
                            <w:szCs w:val="20"/>
                          </w:rPr>
                          <w:t xml:space="preserve">Versão </w:t>
                        </w:r>
                      </w:p>
                    </w:tc>
                    <w:tc>
                      <w:tcPr>
                        <w:tcW w:w="236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rPr>
                            <w:rFonts w:ascii="Calibri" w:hAnsi="Calibri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rPr>
                            <w:rFonts w:ascii="Calibri" w:hAnsi="Calibri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rPr>
                            <w:rFonts w:ascii="Calibri" w:hAnsi="Calibri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</w:tc>
              <w:tc>
                <w:tcPr>
                  <w:tcW w:w="92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  <w:t>Data</w:t>
                  </w:r>
                </w:p>
              </w:tc>
              <w:tc>
                <w:tcPr>
                  <w:tcW w:w="488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/>
                  </w:pPr>
                  <w:r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  <w:t>Descrição das mudanças</w:t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b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</w:r>
                </w:p>
              </w:tc>
              <w:tc>
                <w:tcPr>
                  <w:tcW w:w="200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  <w:t>Requisitado por:</w:t>
                  </w:r>
                </w:p>
              </w:tc>
            </w:tr>
            <w:tr>
              <w:trPr/>
              <w:tc>
                <w:tcPr>
                  <w:tcW w:w="198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</w:tc>
              <w:tc>
                <w:tcPr>
                  <w:tcW w:w="92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</w:tc>
              <w:tc>
                <w:tcPr>
                  <w:tcW w:w="488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</w:r>
                </w:p>
              </w:tc>
              <w:tc>
                <w:tcPr>
                  <w:tcW w:w="200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</w:r>
                </w:p>
              </w:tc>
            </w:tr>
            <w:tr>
              <w:trPr/>
              <w:tc>
                <w:tcPr>
                  <w:tcW w:w="198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</w:r>
                </w:p>
              </w:tc>
              <w:tc>
                <w:tcPr>
                  <w:tcW w:w="92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</w:r>
                </w:p>
              </w:tc>
              <w:tc>
                <w:tcPr>
                  <w:tcW w:w="488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</w:r>
                </w:p>
              </w:tc>
              <w:tc>
                <w:tcPr>
                  <w:tcW w:w="200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</w:r>
                </w:p>
              </w:tc>
            </w:tr>
            <w:tr>
              <w:trPr/>
              <w:tc>
                <w:tcPr>
                  <w:tcW w:w="198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</w:r>
                </w:p>
              </w:tc>
              <w:tc>
                <w:tcPr>
                  <w:tcW w:w="92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</w:r>
                </w:p>
              </w:tc>
              <w:tc>
                <w:tcPr>
                  <w:tcW w:w="488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</w:r>
                </w:p>
              </w:tc>
              <w:tc>
                <w:tcPr>
                  <w:tcW w:w="200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</w:r>
                </w:p>
              </w:tc>
            </w:tr>
          </w:tbl>
          <w:p>
            <w:pPr>
              <w:pStyle w:val="ListParagraph"/>
              <w:spacing w:before="0" w:after="0"/>
              <w:contextualSpacing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footerReference w:type="default" r:id="rId13"/>
      <w:type w:val="nextPage"/>
      <w:pgSz w:w="11906" w:h="16838"/>
      <w:pgMar w:left="720" w:right="720" w:header="0" w:top="720" w:footer="708" w:bottom="765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Verdana">
    <w:charset w:val="00"/>
    <w:family w:val="roman"/>
    <w:pitch w:val="variable"/>
  </w:font>
  <w:font w:name="Tahoma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Calibri">
    <w:charset w:val="00"/>
    <w:family w:val="roman"/>
    <w:pitch w:val="variable"/>
  </w:font>
  <w:font w:name="Arial Narrow">
    <w:charset w:val="00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jc w:val="right"/>
      <w:rPr/>
    </w:pPr>
    <w:r>
      <w:rPr>
        <w:color w:val="76923C"/>
      </w:rPr>
      <w:t>_______________________________________________________________________________________________</w:t>
    </w:r>
  </w:p>
  <w:p>
    <w:pPr>
      <w:pStyle w:val="Rodap"/>
      <w:jc w:val="right"/>
      <w:rPr/>
    </w:pPr>
    <w:r>
      <w:rPr/>
      <w:t xml:space="preserve">Página </w:t>
    </w:r>
    <w:r>
      <w:rPr/>
      <w:fldChar w:fldCharType="begin"/>
    </w:r>
    <w:r>
      <w:instrText> PAGE </w:instrText>
    </w:r>
    <w:r>
      <w:fldChar w:fldCharType="separate"/>
    </w:r>
    <w:r>
      <w:t>6</w:t>
    </w:r>
    <w:r>
      <w:fldChar w:fldCharType="end"/>
    </w:r>
    <w:r>
      <w:rPr/>
      <w:t xml:space="preserve"> de </w:t>
    </w:r>
    <w:r>
      <w:rPr/>
      <w:fldChar w:fldCharType="begin"/>
    </w:r>
    <w:r>
      <w:instrText> NUMPAGES </w:instrText>
    </w:r>
    <w:r>
      <w:fldChar w:fldCharType="separate"/>
    </w:r>
    <w:r>
      <w:t>6</w:t>
    </w:r>
    <w:r>
      <w:fldChar w:fldCharType="end"/>
    </w:r>
  </w:p>
  <w:p>
    <w:pPr>
      <w:pStyle w:val="Standard"/>
      <w:jc w:val="center"/>
      <w:rPr/>
    </w:pPr>
    <w:r>
      <w:rPr>
        <w:rFonts w:cs="Arial Narrow" w:ascii="Arial Narrow" w:hAnsi="Arial Narrow"/>
        <w:sz w:val="14"/>
        <w:szCs w:val="14"/>
      </w:rPr>
      <w:t>PROGEP/UFVJM:  Rodovia MGT 367- km 583, nº 5000 – Alto da Jacuba / CEP: 39100-000  Diamantina-MG-Brasil / PABX: (38) 3532-1200</w:t>
    </w:r>
  </w:p>
  <w:p>
    <w:pPr>
      <w:pStyle w:val="Rodap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91"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e5daf"/>
    <w:pPr>
      <w:widowControl/>
      <w:suppressAutoHyphens w:val="true"/>
      <w:bidi w:val="0"/>
      <w:spacing w:lineRule="atLeast" w:line="100"/>
      <w:jc w:val="left"/>
    </w:pPr>
    <w:rPr>
      <w:rFonts w:ascii="Verdana" w:hAnsi="Verdana" w:eastAsia="Lucida Sans Unicode" w:cs="Verdana"/>
      <w:color w:val="000000"/>
      <w:sz w:val="24"/>
      <w:szCs w:val="24"/>
      <w:lang w:eastAsia="en-US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qFormat/>
    <w:rsid w:val="000e5daf"/>
    <w:rPr>
      <w:rFonts w:ascii="Tahoma" w:hAnsi="Tahoma" w:cs="Tahoma"/>
      <w:sz w:val="16"/>
      <w:szCs w:val="16"/>
    </w:rPr>
  </w:style>
  <w:style w:type="character" w:styleId="CabealhoChar" w:customStyle="1">
    <w:name w:val="Cabeçalho Char"/>
    <w:basedOn w:val="DefaultParagraphFont"/>
    <w:qFormat/>
    <w:rsid w:val="000e5daf"/>
    <w:rPr/>
  </w:style>
  <w:style w:type="character" w:styleId="RodapChar" w:customStyle="1">
    <w:name w:val="Rodapé Char"/>
    <w:basedOn w:val="DefaultParagraphFont"/>
    <w:qFormat/>
    <w:rsid w:val="000e5daf"/>
    <w:rPr/>
  </w:style>
  <w:style w:type="character" w:styleId="WW8Num1ztrue" w:customStyle="1">
    <w:name w:val="WW8Num1ztrue"/>
    <w:qFormat/>
    <w:rsid w:val="000e5daf"/>
    <w:rPr/>
  </w:style>
  <w:style w:type="character" w:styleId="LinkdaInternet">
    <w:name w:val="Link da Internet"/>
    <w:uiPriority w:val="99"/>
    <w:unhideWhenUsed/>
    <w:rsid w:val="00ae7f89"/>
    <w:rPr>
      <w:color w:val="0000FF"/>
      <w:u w:val="single"/>
    </w:rPr>
  </w:style>
  <w:style w:type="character" w:styleId="ListLabel1" w:customStyle="1">
    <w:name w:val="ListLabel 1"/>
    <w:qFormat/>
    <w:rsid w:val="000e5daf"/>
    <w:rPr>
      <w:rFonts w:cs="Courier New"/>
    </w:rPr>
  </w:style>
  <w:style w:type="character" w:styleId="Marcas" w:customStyle="1">
    <w:name w:val="Marcas"/>
    <w:qFormat/>
    <w:rsid w:val="000e5daf"/>
    <w:rPr>
      <w:rFonts w:ascii="OpenSymbol" w:hAnsi="OpenSymbol" w:eastAsia="OpenSymbol" w:cs="OpenSymbol"/>
    </w:rPr>
  </w:style>
  <w:style w:type="character" w:styleId="ListLabel2" w:customStyle="1">
    <w:name w:val="ListLabel 2"/>
    <w:qFormat/>
    <w:rsid w:val="000e5daf"/>
    <w:rPr>
      <w:rFonts w:cs="OpenSymbol"/>
    </w:rPr>
  </w:style>
  <w:style w:type="character" w:styleId="ListLabel3" w:customStyle="1">
    <w:name w:val="ListLabel 3"/>
    <w:qFormat/>
    <w:rsid w:val="000e5daf"/>
    <w:rPr>
      <w:rFonts w:cs="OpenSymbol"/>
    </w:rPr>
  </w:style>
  <w:style w:type="character" w:styleId="ListLabel4" w:customStyle="1">
    <w:name w:val="ListLabel 4"/>
    <w:qFormat/>
    <w:rsid w:val="000e5daf"/>
    <w:rPr>
      <w:rFonts w:cs="OpenSymbol"/>
    </w:rPr>
  </w:style>
  <w:style w:type="character" w:styleId="ListLabel5" w:customStyle="1">
    <w:name w:val="ListLabel 5"/>
    <w:qFormat/>
    <w:rsid w:val="000e5daf"/>
    <w:rPr>
      <w:rFonts w:cs="OpenSymbol"/>
    </w:rPr>
  </w:style>
  <w:style w:type="character" w:styleId="ListLabel6" w:customStyle="1">
    <w:name w:val="ListLabel 6"/>
    <w:qFormat/>
    <w:rsid w:val="000e5daf"/>
    <w:rPr>
      <w:rFonts w:cs="OpenSymbol"/>
    </w:rPr>
  </w:style>
  <w:style w:type="character" w:styleId="ListLabel7" w:customStyle="1">
    <w:name w:val="ListLabel 7"/>
    <w:qFormat/>
    <w:rsid w:val="000e5daf"/>
    <w:rPr>
      <w:rFonts w:cs="OpenSymbol"/>
    </w:rPr>
  </w:style>
  <w:style w:type="character" w:styleId="ListLabel8" w:customStyle="1">
    <w:name w:val="ListLabel 8"/>
    <w:qFormat/>
    <w:rsid w:val="000e5daf"/>
    <w:rPr>
      <w:rFonts w:cs="OpenSymbol"/>
    </w:rPr>
  </w:style>
  <w:style w:type="character" w:styleId="ListLabel9" w:customStyle="1">
    <w:name w:val="ListLabel 9"/>
    <w:qFormat/>
    <w:rsid w:val="000e5daf"/>
    <w:rPr>
      <w:rFonts w:cs="OpenSymbol"/>
    </w:rPr>
  </w:style>
  <w:style w:type="character" w:styleId="ListLabel10" w:customStyle="1">
    <w:name w:val="ListLabel 10"/>
    <w:qFormat/>
    <w:rsid w:val="000e5daf"/>
    <w:rPr>
      <w:rFonts w:cs="OpenSymbol"/>
    </w:rPr>
  </w:style>
  <w:style w:type="character" w:styleId="ListLabel11" w:customStyle="1">
    <w:name w:val="ListLabel 11"/>
    <w:qFormat/>
    <w:rsid w:val="000e5daf"/>
    <w:rPr>
      <w:rFonts w:cs="OpenSymbol"/>
    </w:rPr>
  </w:style>
  <w:style w:type="character" w:styleId="ListLabel12" w:customStyle="1">
    <w:name w:val="ListLabel 12"/>
    <w:qFormat/>
    <w:rsid w:val="000e5daf"/>
    <w:rPr>
      <w:rFonts w:cs="OpenSymbol"/>
    </w:rPr>
  </w:style>
  <w:style w:type="character" w:styleId="ListLabel13" w:customStyle="1">
    <w:name w:val="ListLabel 13"/>
    <w:qFormat/>
    <w:rsid w:val="000e5daf"/>
    <w:rPr>
      <w:rFonts w:cs="OpenSymbol"/>
    </w:rPr>
  </w:style>
  <w:style w:type="character" w:styleId="ListLabel14" w:customStyle="1">
    <w:name w:val="ListLabel 14"/>
    <w:qFormat/>
    <w:rsid w:val="000e5daf"/>
    <w:rPr>
      <w:rFonts w:cs="OpenSymbol"/>
    </w:rPr>
  </w:style>
  <w:style w:type="character" w:styleId="ListLabel15" w:customStyle="1">
    <w:name w:val="ListLabel 15"/>
    <w:qFormat/>
    <w:rsid w:val="000e5daf"/>
    <w:rPr>
      <w:rFonts w:cs="OpenSymbol"/>
    </w:rPr>
  </w:style>
  <w:style w:type="character" w:styleId="ListLabel16" w:customStyle="1">
    <w:name w:val="ListLabel 16"/>
    <w:qFormat/>
    <w:rsid w:val="000e5daf"/>
    <w:rPr>
      <w:rFonts w:cs="OpenSymbol"/>
    </w:rPr>
  </w:style>
  <w:style w:type="character" w:styleId="ListLabel17" w:customStyle="1">
    <w:name w:val="ListLabel 17"/>
    <w:qFormat/>
    <w:rsid w:val="000e5daf"/>
    <w:rPr>
      <w:rFonts w:cs="OpenSymbol"/>
    </w:rPr>
  </w:style>
  <w:style w:type="character" w:styleId="ListLabel18" w:customStyle="1">
    <w:name w:val="ListLabel 18"/>
    <w:qFormat/>
    <w:rsid w:val="000e5daf"/>
    <w:rPr>
      <w:rFonts w:cs="OpenSymbol"/>
    </w:rPr>
  </w:style>
  <w:style w:type="character" w:styleId="ListLabel19" w:customStyle="1">
    <w:name w:val="ListLabel 19"/>
    <w:qFormat/>
    <w:rsid w:val="000e5daf"/>
    <w:rPr>
      <w:rFonts w:cs="OpenSymbol"/>
    </w:rPr>
  </w:style>
  <w:style w:type="character" w:styleId="ListLabel20" w:customStyle="1">
    <w:name w:val="ListLabel 20"/>
    <w:qFormat/>
    <w:rsid w:val="000e5daf"/>
    <w:rPr>
      <w:rFonts w:cs="OpenSymbol"/>
    </w:rPr>
  </w:style>
  <w:style w:type="character" w:styleId="ListLabel21" w:customStyle="1">
    <w:name w:val="ListLabel 21"/>
    <w:qFormat/>
    <w:rsid w:val="000e5daf"/>
    <w:rPr>
      <w:rFonts w:cs="OpenSymbol"/>
    </w:rPr>
  </w:style>
  <w:style w:type="character" w:styleId="ListLabel22" w:customStyle="1">
    <w:name w:val="ListLabel 22"/>
    <w:qFormat/>
    <w:rsid w:val="000e5daf"/>
    <w:rPr>
      <w:rFonts w:cs="OpenSymbol"/>
    </w:rPr>
  </w:style>
  <w:style w:type="character" w:styleId="ListLabel23" w:customStyle="1">
    <w:name w:val="ListLabel 23"/>
    <w:qFormat/>
    <w:rsid w:val="000e5daf"/>
    <w:rPr>
      <w:rFonts w:cs="OpenSymbol"/>
    </w:rPr>
  </w:style>
  <w:style w:type="character" w:styleId="ListLabel24" w:customStyle="1">
    <w:name w:val="ListLabel 24"/>
    <w:qFormat/>
    <w:rsid w:val="000e5daf"/>
    <w:rPr>
      <w:rFonts w:cs="OpenSymbol"/>
    </w:rPr>
  </w:style>
  <w:style w:type="character" w:styleId="ListLabel25" w:customStyle="1">
    <w:name w:val="ListLabel 25"/>
    <w:qFormat/>
    <w:rsid w:val="000e5daf"/>
    <w:rPr>
      <w:rFonts w:cs="OpenSymbol"/>
    </w:rPr>
  </w:style>
  <w:style w:type="character" w:styleId="ListLabel26" w:customStyle="1">
    <w:name w:val="ListLabel 26"/>
    <w:qFormat/>
    <w:rsid w:val="000e5daf"/>
    <w:rPr>
      <w:rFonts w:cs="OpenSymbol"/>
    </w:rPr>
  </w:style>
  <w:style w:type="character" w:styleId="ListLabel27" w:customStyle="1">
    <w:name w:val="ListLabel 27"/>
    <w:qFormat/>
    <w:rsid w:val="000e5daf"/>
    <w:rPr>
      <w:rFonts w:cs="OpenSymbol"/>
    </w:rPr>
  </w:style>
  <w:style w:type="character" w:styleId="ListLabel28" w:customStyle="1">
    <w:name w:val="ListLabel 28"/>
    <w:qFormat/>
    <w:rsid w:val="000e5daf"/>
    <w:rPr>
      <w:rFonts w:cs="OpenSymbol"/>
    </w:rPr>
  </w:style>
  <w:style w:type="character" w:styleId="ListLabel29" w:customStyle="1">
    <w:name w:val="ListLabel 29"/>
    <w:qFormat/>
    <w:rsid w:val="00e8074e"/>
    <w:rPr>
      <w:rFonts w:cs="OpenSymbol"/>
    </w:rPr>
  </w:style>
  <w:style w:type="character" w:styleId="ListLabel30" w:customStyle="1">
    <w:name w:val="ListLabel 30"/>
    <w:qFormat/>
    <w:rsid w:val="00e8074e"/>
    <w:rPr>
      <w:rFonts w:cs="OpenSymbol"/>
    </w:rPr>
  </w:style>
  <w:style w:type="character" w:styleId="ListLabel31" w:customStyle="1">
    <w:name w:val="ListLabel 31"/>
    <w:qFormat/>
    <w:rsid w:val="00e8074e"/>
    <w:rPr>
      <w:rFonts w:cs="OpenSymbol"/>
    </w:rPr>
  </w:style>
  <w:style w:type="character" w:styleId="ListLabel32" w:customStyle="1">
    <w:name w:val="ListLabel 32"/>
    <w:qFormat/>
    <w:rsid w:val="00e8074e"/>
    <w:rPr>
      <w:rFonts w:cs="OpenSymbol"/>
    </w:rPr>
  </w:style>
  <w:style w:type="character" w:styleId="ListLabel33" w:customStyle="1">
    <w:name w:val="ListLabel 33"/>
    <w:qFormat/>
    <w:rsid w:val="00e8074e"/>
    <w:rPr>
      <w:rFonts w:cs="OpenSymbol"/>
    </w:rPr>
  </w:style>
  <w:style w:type="character" w:styleId="ListLabel34" w:customStyle="1">
    <w:name w:val="ListLabel 34"/>
    <w:qFormat/>
    <w:rsid w:val="00e8074e"/>
    <w:rPr>
      <w:rFonts w:cs="OpenSymbol"/>
    </w:rPr>
  </w:style>
  <w:style w:type="character" w:styleId="ListLabel35" w:customStyle="1">
    <w:name w:val="ListLabel 35"/>
    <w:qFormat/>
    <w:rsid w:val="00e8074e"/>
    <w:rPr>
      <w:rFonts w:cs="OpenSymbol"/>
    </w:rPr>
  </w:style>
  <w:style w:type="character" w:styleId="ListLabel36" w:customStyle="1">
    <w:name w:val="ListLabel 36"/>
    <w:qFormat/>
    <w:rsid w:val="00e8074e"/>
    <w:rPr>
      <w:rFonts w:cs="OpenSymbol"/>
    </w:rPr>
  </w:style>
  <w:style w:type="character" w:styleId="ListLabel37" w:customStyle="1">
    <w:name w:val="ListLabel 37"/>
    <w:qFormat/>
    <w:rsid w:val="00e8074e"/>
    <w:rPr>
      <w:rFonts w:cs="OpenSymbol"/>
    </w:rPr>
  </w:style>
  <w:style w:type="character" w:styleId="ListLabel38">
    <w:name w:val="ListLabel 38"/>
    <w:qFormat/>
    <w:rPr>
      <w:rFonts w:cs="OpenSymbol"/>
    </w:rPr>
  </w:style>
  <w:style w:type="character" w:styleId="ListLabel39">
    <w:name w:val="ListLabel 39"/>
    <w:qFormat/>
    <w:rPr>
      <w:rFonts w:cs="OpenSymbol"/>
    </w:rPr>
  </w:style>
  <w:style w:type="character" w:styleId="ListLabel40">
    <w:name w:val="ListLabel 40"/>
    <w:qFormat/>
    <w:rPr>
      <w:rFonts w:cs="OpenSymbol"/>
    </w:rPr>
  </w:style>
  <w:style w:type="character" w:styleId="ListLabel41">
    <w:name w:val="ListLabel 41"/>
    <w:qFormat/>
    <w:rPr>
      <w:rFonts w:cs="OpenSymbol"/>
    </w:rPr>
  </w:style>
  <w:style w:type="character" w:styleId="ListLabel42">
    <w:name w:val="ListLabel 42"/>
    <w:qFormat/>
    <w:rPr>
      <w:rFonts w:cs="OpenSymbol"/>
    </w:rPr>
  </w:style>
  <w:style w:type="character" w:styleId="ListLabel43">
    <w:name w:val="ListLabel 43"/>
    <w:qFormat/>
    <w:rPr>
      <w:rFonts w:cs="OpenSymbol"/>
    </w:rPr>
  </w:style>
  <w:style w:type="character" w:styleId="ListLabel44">
    <w:name w:val="ListLabel 44"/>
    <w:qFormat/>
    <w:rPr>
      <w:rFonts w:cs="OpenSymbol"/>
    </w:rPr>
  </w:style>
  <w:style w:type="character" w:styleId="ListLabel45">
    <w:name w:val="ListLabel 45"/>
    <w:qFormat/>
    <w:rPr>
      <w:rFonts w:cs="OpenSymbol"/>
    </w:rPr>
  </w:style>
  <w:style w:type="character" w:styleId="ListLabel46">
    <w:name w:val="ListLabel 46"/>
    <w:qFormat/>
    <w:rPr>
      <w:rFonts w:cs="OpenSymbol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Lucida Sans Unicode" w:cs="Mangal"/>
      <w:sz w:val="28"/>
      <w:szCs w:val="28"/>
    </w:rPr>
  </w:style>
  <w:style w:type="paragraph" w:styleId="Corpodetexto">
    <w:name w:val="Body Text"/>
    <w:basedOn w:val="Normal"/>
    <w:rsid w:val="000e5daf"/>
    <w:pPr>
      <w:spacing w:lineRule="auto" w:line="288" w:before="0" w:after="140"/>
    </w:pPr>
    <w:rPr/>
  </w:style>
  <w:style w:type="paragraph" w:styleId="Lista">
    <w:name w:val="List"/>
    <w:basedOn w:val="Corpodetexto"/>
    <w:rsid w:val="000e5daf"/>
    <w:pPr>
      <w:widowControl w:val="false"/>
    </w:pPr>
    <w:rPr>
      <w:rFonts w:ascii="Liberation Serif" w:hAnsi="Liberation Serif" w:eastAsia="SimSun" w:cs="Mangal"/>
      <w:color w:val="00000A"/>
      <w:sz w:val="20"/>
      <w:lang w:eastAsia="zh-CN" w:bidi="hi-IN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rsid w:val="000e5daf"/>
    <w:pPr>
      <w:suppressLineNumbers/>
    </w:pPr>
    <w:rPr>
      <w:rFonts w:cs="Mangal"/>
    </w:rPr>
  </w:style>
  <w:style w:type="paragraph" w:styleId="Ttulododocumento" w:customStyle="1">
    <w:name w:val="Title"/>
    <w:basedOn w:val="Normal"/>
    <w:qFormat/>
    <w:rsid w:val="000e5daf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Caption">
    <w:name w:val="caption"/>
    <w:basedOn w:val="Normal"/>
    <w:qFormat/>
    <w:rsid w:val="000e5daf"/>
    <w:pPr>
      <w:suppressLineNumbers/>
      <w:spacing w:before="120" w:after="120"/>
    </w:pPr>
    <w:rPr>
      <w:rFonts w:cs="Mangal"/>
      <w:i/>
      <w:iCs/>
    </w:rPr>
  </w:style>
  <w:style w:type="paragraph" w:styleId="Corpodotexto" w:customStyle="1">
    <w:name w:val="Corpo do texto"/>
    <w:basedOn w:val="Normal"/>
    <w:qFormat/>
    <w:rsid w:val="000e5daf"/>
    <w:pPr>
      <w:spacing w:before="0" w:after="120"/>
    </w:pPr>
    <w:rPr/>
  </w:style>
  <w:style w:type="paragraph" w:styleId="BalloonText">
    <w:name w:val="Balloon Text"/>
    <w:basedOn w:val="Normal"/>
    <w:qFormat/>
    <w:rsid w:val="000e5daf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0e5daf"/>
    <w:pPr>
      <w:spacing w:before="0" w:after="200"/>
      <w:ind w:left="720" w:hanging="0"/>
      <w:contextualSpacing/>
    </w:pPr>
    <w:rPr/>
  </w:style>
  <w:style w:type="paragraph" w:styleId="Cabealho">
    <w:name w:val="Header"/>
    <w:basedOn w:val="Normal"/>
    <w:rsid w:val="000e5daf"/>
    <w:pPr>
      <w:tabs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rsid w:val="000e5daf"/>
    <w:pPr>
      <w:tabs>
        <w:tab w:val="center" w:pos="4252" w:leader="none"/>
        <w:tab w:val="right" w:pos="8504" w:leader="none"/>
      </w:tabs>
    </w:pPr>
    <w:rPr/>
  </w:style>
  <w:style w:type="paragraph" w:styleId="Normal1" w:customStyle="1">
    <w:name w:val="Normal1"/>
    <w:qFormat/>
    <w:rsid w:val="000e5daf"/>
    <w:pPr>
      <w:widowControl/>
      <w:suppressAutoHyphens w:val="true"/>
      <w:bidi w:val="0"/>
      <w:spacing w:lineRule="atLeast" w:line="100"/>
      <w:jc w:val="left"/>
    </w:pPr>
    <w:rPr>
      <w:rFonts w:ascii="Times New Roman" w:hAnsi="Times New Roman" w:eastAsia="Times New Roman" w:cs="Times New Roman"/>
      <w:color w:val="000000"/>
      <w:sz w:val="24"/>
      <w:szCs w:val="24"/>
      <w:lang w:eastAsia="zh-CN" w:val="pt-BR" w:bidi="ar-SA"/>
    </w:rPr>
  </w:style>
  <w:style w:type="paragraph" w:styleId="Standard" w:customStyle="1">
    <w:name w:val="Standard"/>
    <w:qFormat/>
    <w:rsid w:val="000e5daf"/>
    <w:pPr>
      <w:widowControl w:val="false"/>
      <w:suppressAutoHyphens w:val="true"/>
      <w:bidi w:val="0"/>
      <w:spacing w:lineRule="atLeast" w:line="100"/>
      <w:jc w:val="left"/>
      <w:textAlignment w:val="baseline"/>
    </w:pPr>
    <w:rPr>
      <w:rFonts w:ascii="Times New Roman" w:hAnsi="Times New Roman" w:eastAsia="Lucida Sans Unicode" w:cs="Mangal"/>
      <w:color w:val="00000A"/>
      <w:sz w:val="24"/>
      <w:szCs w:val="24"/>
      <w:lang w:eastAsia="zh-CN" w:bidi="hi-IN" w:val="pt-BR"/>
    </w:rPr>
  </w:style>
  <w:style w:type="paragraph" w:styleId="Contedodatabela" w:customStyle="1">
    <w:name w:val="Conteúdo da tabela"/>
    <w:basedOn w:val="Normal"/>
    <w:qFormat/>
    <w:rsid w:val="000e5daf"/>
    <w:pPr/>
    <w:rPr/>
  </w:style>
  <w:style w:type="paragraph" w:styleId="Ttulodetabela" w:customStyle="1">
    <w:name w:val="Título de tabela"/>
    <w:basedOn w:val="Contedodatabela"/>
    <w:qFormat/>
    <w:rsid w:val="000e5daf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pagamento.progep@ufvjm.edu.br" TargetMode="External"/><Relationship Id="rId4" Type="http://schemas.openxmlformats.org/officeDocument/2006/relationships/hyperlink" Target="http://www.planalto.gov.br/ccivil_03/leis/L8112cons.htm" TargetMode="External"/><Relationship Id="rId5" Type="http://schemas.openxmlformats.org/officeDocument/2006/relationships/hyperlink" Target="http://www.planalto.gov.br/ccivil_03/_ato2011-2014/2012/lei/l12772.htm" TargetMode="External"/><Relationship Id="rId6" Type="http://schemas.openxmlformats.org/officeDocument/2006/relationships/hyperlink" Target="http://www.planalto.gov.br/ccivil_03/_ato2011-2014/2013/Lei/L12863.htm" TargetMode="External"/><Relationship Id="rId7" Type="http://schemas.openxmlformats.org/officeDocument/2006/relationships/hyperlink" Target="http://www.planalto.gov.br/ccivil_03/_ato2007-2010/2009/decreto/d6944.htm" TargetMode="External"/><Relationship Id="rId8" Type="http://schemas.openxmlformats.org/officeDocument/2006/relationships/hyperlink" Target="http://www.planalto.gov.br/ccivil_03/_Ato2011-2014/2014/Lei/L12990.htm" TargetMode="External"/><Relationship Id="rId9" Type="http://schemas.openxmlformats.org/officeDocument/2006/relationships/hyperlink" Target="http://www.planalto.gov.br/ccivil_03/decreto/d3298.htm" TargetMode="External"/><Relationship Id="rId10" Type="http://schemas.openxmlformats.org/officeDocument/2006/relationships/hyperlink" Target="http://www.planalto.gov.br/ccivil_03/decreto/d1171.htm" TargetMode="External"/><Relationship Id="rId11" Type="http://schemas.openxmlformats.org/officeDocument/2006/relationships/hyperlink" Target="http://www.ufvjm.edu.br/" TargetMode="External"/><Relationship Id="rId12" Type="http://schemas.openxmlformats.org/officeDocument/2006/relationships/image" Target="media/image2.png"/><Relationship Id="rId13" Type="http://schemas.openxmlformats.org/officeDocument/2006/relationships/footer" Target="footer1.xml"/><Relationship Id="rId14" Type="http://schemas.openxmlformats.org/officeDocument/2006/relationships/numbering" Target="numbering.xml"/><Relationship Id="rId15" Type="http://schemas.openxmlformats.org/officeDocument/2006/relationships/fontTable" Target="fontTable.xml"/><Relationship Id="rId16" Type="http://schemas.openxmlformats.org/officeDocument/2006/relationships/settings" Target="settings.xml"/><Relationship Id="rId17" Type="http://schemas.openxmlformats.org/officeDocument/2006/relationships/theme" Target="theme/theme1.xml"/><Relationship Id="rId1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91A7ED-77E3-4871-BA64-7744156E9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POP - Nomeação - Final</Template>
  <TotalTime>55</TotalTime>
  <Application>LibreOffice/5.1.5.2$Windows_x86 LibreOffice_project/7a864d8825610a8c07cfc3bc01dd4fce6a9447e5</Application>
  <Pages>1</Pages>
  <Words>1598</Words>
  <CharactersWithSpaces>8631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2018-04-25T13:44:00Z</dcterms:created>
  <dc:creator>Usuario</dc:creator>
  <dc:description/>
  <dc:language>pt-BR</dc:language>
  <cp:lastModifiedBy>r</cp:lastModifiedBy>
  <cp:lastPrinted>2018-04-25T14:16:00Z</cp:lastPrinted>
  <dcterms:modified xsi:type="dcterms:W3CDTF">2018-04-26T11:24:00Z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